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pPr>
        <w:jc w:val="center"/>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lang w:eastAsia="zh-CN"/>
        </w:rPr>
        <w:t>安全监管局</w:t>
      </w:r>
      <w:r>
        <w:rPr>
          <w:rFonts w:hint="eastAsia" w:ascii="方正小标宋简体" w:hAnsi="方正小标宋简体" w:eastAsia="方正小标宋简体" w:cs="方正小标宋简体"/>
          <w:b w:val="0"/>
          <w:bCs/>
          <w:color w:val="auto"/>
          <w:sz w:val="44"/>
          <w:szCs w:val="44"/>
        </w:rPr>
        <w:t>矿山安全监管重点工作开展情况检查表</w:t>
      </w:r>
    </w:p>
    <w:bookmarkEnd w:id="0"/>
    <w:p>
      <w:pPr>
        <w:rPr>
          <w:rFonts w:hint="eastAsia" w:ascii="仿宋" w:hAnsi="仿宋" w:eastAsia="仿宋" w:cs="仿宋"/>
          <w:color w:val="auto"/>
          <w:sz w:val="32"/>
          <w:szCs w:val="32"/>
        </w:rPr>
      </w:pPr>
      <w:r>
        <w:rPr>
          <w:rFonts w:hint="eastAsia" w:ascii="仿宋" w:hAnsi="仿宋" w:eastAsia="仿宋" w:cs="仿宋"/>
          <w:color w:val="auto"/>
          <w:sz w:val="32"/>
          <w:szCs w:val="32"/>
        </w:rPr>
        <w:t>被督查单位：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安监局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督查时间：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tbl>
      <w:tblPr>
        <w:tblStyle w:val="4"/>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029"/>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检查项目</w:t>
            </w:r>
          </w:p>
        </w:tc>
        <w:tc>
          <w:tcPr>
            <w:tcW w:w="1002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检查要点及检查方法</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检查结果及存在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一、汛期矿山安全监管工作</w:t>
            </w:r>
          </w:p>
        </w:tc>
        <w:tc>
          <w:tcPr>
            <w:tcW w:w="1002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1.布置汛期矿山安全工作情况。查有关文件。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2.汛期矿山安全检查工作开展情况。查执法检查记录、整改通知书等。</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二、严格安全准入，推进矿山安全生产精细化科学化管理</w:t>
            </w:r>
          </w:p>
        </w:tc>
        <w:tc>
          <w:tcPr>
            <w:tcW w:w="1002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新建、复产复工</w:t>
            </w:r>
            <w:r>
              <w:rPr>
                <w:rFonts w:hint="eastAsia" w:ascii="仿宋" w:hAnsi="仿宋" w:eastAsia="仿宋" w:cs="仿宋"/>
                <w:color w:val="auto"/>
                <w:kern w:val="0"/>
                <w:sz w:val="28"/>
                <w:szCs w:val="28"/>
              </w:rPr>
              <w:t>矿山</w:t>
            </w:r>
            <w:r>
              <w:rPr>
                <w:rFonts w:hint="eastAsia" w:ascii="仿宋" w:hAnsi="仿宋" w:eastAsia="仿宋" w:cs="仿宋"/>
                <w:color w:val="auto"/>
                <w:kern w:val="0"/>
                <w:sz w:val="28"/>
                <w:szCs w:val="28"/>
                <w:lang w:eastAsia="zh-CN"/>
              </w:rPr>
              <w:t>和坑探工程安全监管</w:t>
            </w:r>
            <w:r>
              <w:rPr>
                <w:rFonts w:hint="eastAsia" w:ascii="仿宋" w:hAnsi="仿宋" w:eastAsia="仿宋" w:cs="仿宋"/>
                <w:color w:val="auto"/>
                <w:kern w:val="0"/>
                <w:sz w:val="28"/>
                <w:szCs w:val="28"/>
              </w:rPr>
              <w:t>工作开展情况</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听汇报，</w:t>
            </w:r>
            <w:r>
              <w:rPr>
                <w:rFonts w:hint="eastAsia" w:ascii="仿宋" w:hAnsi="仿宋" w:eastAsia="仿宋" w:cs="仿宋"/>
                <w:color w:val="auto"/>
                <w:kern w:val="0"/>
                <w:sz w:val="28"/>
                <w:szCs w:val="28"/>
                <w:lang w:eastAsia="zh-CN"/>
              </w:rPr>
              <w:t>查资料</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2.矿山</w:t>
            </w:r>
            <w:r>
              <w:rPr>
                <w:rFonts w:hint="eastAsia" w:ascii="仿宋" w:hAnsi="仿宋" w:eastAsia="仿宋" w:cs="仿宋"/>
                <w:color w:val="auto"/>
                <w:kern w:val="0"/>
                <w:sz w:val="28"/>
                <w:szCs w:val="28"/>
                <w:lang w:eastAsia="zh-CN"/>
              </w:rPr>
              <w:t>和坑探工程</w:t>
            </w:r>
            <w:r>
              <w:rPr>
                <w:rFonts w:hint="eastAsia" w:ascii="仿宋" w:hAnsi="仿宋" w:eastAsia="仿宋" w:cs="仿宋"/>
                <w:color w:val="auto"/>
                <w:kern w:val="0"/>
                <w:sz w:val="28"/>
                <w:szCs w:val="28"/>
              </w:rPr>
              <w:t>安全设施设计审查审批是否规范开展，建设工程开工前是否进行施工图设计。听汇报，抽查已开工的建设项目。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3.督促企业开展建设项目竣工验收情况。企业是否按照要求组织验收，是否绘制竣工图。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听汇报，抽查已竣工的建设项目。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复产复工矿山是否经全面安全检查并报安全监管局。查资料，现场抽查企业。</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三、矿山安全隐患排查治理、矿山专项整治工作</w:t>
            </w:r>
          </w:p>
        </w:tc>
        <w:tc>
          <w:tcPr>
            <w:tcW w:w="1002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1.是否布置2018年矿山隐患排查治理工作。查有关文件。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针对性开展矿山重大风险、重点隐患的专项整治工作。有地下矿山、尾矿库的地方，有没有布置以地下矿山防止中毒窒息、火灾、水害为重点，尾矿库防溃坝为重点的安全生产专项整治或者专项检查、专项执法等工作。查布置文件、相关检查情况通报等。</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四、防范遏制重特大事故工作</w:t>
            </w:r>
          </w:p>
        </w:tc>
        <w:tc>
          <w:tcPr>
            <w:tcW w:w="10029"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1.中央</w:t>
            </w:r>
            <w:r>
              <w:rPr>
                <w:rFonts w:hint="eastAsia" w:ascii="仿宋" w:hAnsi="仿宋" w:eastAsia="仿宋" w:cs="仿宋"/>
                <w:color w:val="auto"/>
                <w:kern w:val="0"/>
                <w:sz w:val="28"/>
                <w:szCs w:val="28"/>
                <w:lang w:eastAsia="zh-CN"/>
              </w:rPr>
              <w:t>和自治区</w:t>
            </w:r>
            <w:r>
              <w:rPr>
                <w:rFonts w:hint="eastAsia" w:ascii="仿宋" w:hAnsi="仿宋" w:eastAsia="仿宋" w:cs="仿宋"/>
                <w:color w:val="auto"/>
                <w:kern w:val="0"/>
                <w:sz w:val="28"/>
                <w:szCs w:val="28"/>
              </w:rPr>
              <w:t>财政支持的尾矿库</w:t>
            </w:r>
            <w:r>
              <w:rPr>
                <w:rFonts w:hint="eastAsia" w:ascii="仿宋" w:hAnsi="仿宋" w:eastAsia="仿宋" w:cs="仿宋"/>
                <w:color w:val="auto"/>
                <w:kern w:val="0"/>
                <w:sz w:val="28"/>
                <w:szCs w:val="28"/>
                <w:lang w:eastAsia="zh-CN"/>
              </w:rPr>
              <w:t>综合</w:t>
            </w:r>
            <w:r>
              <w:rPr>
                <w:rFonts w:hint="eastAsia" w:ascii="仿宋" w:hAnsi="仿宋" w:eastAsia="仿宋" w:cs="仿宋"/>
                <w:color w:val="auto"/>
                <w:kern w:val="0"/>
                <w:sz w:val="28"/>
                <w:szCs w:val="28"/>
              </w:rPr>
              <w:t>治理项目工作进展情况、尾矿库“头项库”治理工作完成情况、</w:t>
            </w:r>
            <w:r>
              <w:rPr>
                <w:rFonts w:hint="eastAsia" w:ascii="仿宋" w:hAnsi="仿宋" w:eastAsia="仿宋" w:cs="仿宋"/>
                <w:color w:val="auto"/>
                <w:kern w:val="0"/>
                <w:sz w:val="28"/>
                <w:szCs w:val="28"/>
                <w:lang w:eastAsia="zh-CN"/>
              </w:rPr>
              <w:t>无主</w:t>
            </w:r>
            <w:r>
              <w:rPr>
                <w:rFonts w:hint="eastAsia" w:ascii="仿宋" w:hAnsi="仿宋" w:eastAsia="仿宋" w:cs="仿宋"/>
                <w:color w:val="auto"/>
                <w:kern w:val="0"/>
                <w:sz w:val="28"/>
                <w:szCs w:val="28"/>
              </w:rPr>
              <w:t>尾矿库治理</w:t>
            </w:r>
            <w:r>
              <w:rPr>
                <w:rFonts w:hint="eastAsia" w:ascii="仿宋" w:hAnsi="仿宋" w:eastAsia="仿宋" w:cs="仿宋"/>
                <w:color w:val="auto"/>
                <w:kern w:val="0"/>
                <w:sz w:val="28"/>
                <w:szCs w:val="28"/>
                <w:lang w:eastAsia="zh-CN"/>
              </w:rPr>
              <w:t>和注销</w:t>
            </w:r>
            <w:r>
              <w:rPr>
                <w:rFonts w:hint="eastAsia" w:ascii="仿宋" w:hAnsi="仿宋" w:eastAsia="仿宋" w:cs="仿宋"/>
                <w:color w:val="auto"/>
                <w:kern w:val="0"/>
                <w:sz w:val="28"/>
                <w:szCs w:val="28"/>
              </w:rPr>
              <w:t>工作情况；查资料、抽查尾矿库；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2.推进矿山企业开展双重预防机制建设情况。试点企业按照方案推进试点，并按照要求在其他矿山逐步推进。听汇报，抽查试点企业推进情况。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3.督促相关企业落实重大风险防控、重大隐患排查治理情况。重点是：督促企业开展重大事故隐患排查治理；督促企业落实防范遏制较大以上事故的重点工作措施。听汇报、查台账。</w:t>
            </w:r>
          </w:p>
        </w:tc>
        <w:tc>
          <w:tcPr>
            <w:tcW w:w="253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color w:val="auto"/>
                <w:kern w:val="0"/>
                <w:sz w:val="28"/>
                <w:szCs w:val="28"/>
              </w:rPr>
            </w:pPr>
          </w:p>
        </w:tc>
      </w:tr>
    </w:tbl>
    <w:p>
      <w:pPr>
        <w:jc w:val="left"/>
        <w:rPr>
          <w:rFonts w:hint="eastAsia" w:ascii="仿宋" w:hAnsi="仿宋" w:eastAsia="仿宋" w:cs="仿宋"/>
          <w:color w:val="auto"/>
          <w:sz w:val="32"/>
          <w:szCs w:val="32"/>
        </w:rPr>
      </w:pP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br w:type="page"/>
      </w:r>
      <w:r>
        <w:rPr>
          <w:rFonts w:hint="eastAsia" w:ascii="黑体" w:hAnsi="黑体" w:eastAsia="黑体" w:cs="黑体"/>
          <w:color w:val="auto"/>
          <w:sz w:val="32"/>
          <w:szCs w:val="32"/>
        </w:rPr>
        <w:t>附件2</w:t>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矿山企业安全生产重点工作开展情况检查表</w:t>
      </w:r>
    </w:p>
    <w:p>
      <w:pPr>
        <w:rPr>
          <w:rFonts w:hint="eastAsia" w:ascii="仿宋" w:hAnsi="仿宋" w:eastAsia="仿宋" w:cs="仿宋"/>
          <w:color w:val="auto"/>
          <w:sz w:val="32"/>
          <w:szCs w:val="32"/>
        </w:rPr>
      </w:pPr>
      <w:r>
        <w:rPr>
          <w:rFonts w:hint="eastAsia" w:ascii="仿宋" w:hAnsi="仿宋" w:eastAsia="仿宋" w:cs="仿宋"/>
          <w:color w:val="auto"/>
          <w:sz w:val="32"/>
          <w:szCs w:val="32"/>
        </w:rPr>
        <w:t>被检查单位：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检查时间：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tbl>
      <w:tblPr>
        <w:tblStyle w:val="4"/>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0152"/>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检查项目</w:t>
            </w:r>
          </w:p>
        </w:tc>
        <w:tc>
          <w:tcPr>
            <w:tcW w:w="10152"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检查要点及检查方法</w:t>
            </w:r>
          </w:p>
        </w:tc>
        <w:tc>
          <w:tcPr>
            <w:tcW w:w="2545" w:type="dxa"/>
            <w:vAlign w:val="center"/>
          </w:tcPr>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检查结果及存在</w:t>
            </w:r>
          </w:p>
          <w:p>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center"/>
          </w:tcPr>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一、汛期安全生产工作</w:t>
            </w:r>
          </w:p>
        </w:tc>
        <w:tc>
          <w:tcPr>
            <w:tcW w:w="10152" w:type="dxa"/>
            <w:vAlign w:val="top"/>
          </w:tcPr>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1.2018年矿山、尾矿库汛期安全生产工作安排。查相关文件或者工作安排。</w:t>
            </w:r>
          </w:p>
          <w:p>
            <w:pPr>
              <w:keepNext w:val="0"/>
              <w:keepLines w:val="0"/>
              <w:pageBreakBefore w:val="0"/>
              <w:widowControl w:val="0"/>
              <w:numPr>
                <w:ilvl w:val="0"/>
                <w:numId w:val="2"/>
              </w:numPr>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矿山、尾矿库防洪、排水设施是否符合设计要求，并且完好。查设计及现场检查。</w:t>
            </w:r>
          </w:p>
          <w:p>
            <w:pPr>
              <w:keepNext w:val="0"/>
              <w:keepLines w:val="0"/>
              <w:pageBreakBefore w:val="0"/>
              <w:widowControl w:val="0"/>
              <w:numPr>
                <w:ilvl w:val="0"/>
                <w:numId w:val="2"/>
              </w:numPr>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汛期专项检查工作情况。查有关工作台帐、文件。</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4.防汛应急物资准备、应急预案情况。查仓库及有关材料。</w:t>
            </w:r>
          </w:p>
        </w:tc>
        <w:tc>
          <w:tcPr>
            <w:tcW w:w="2545" w:type="dxa"/>
            <w:vAlign w:val="top"/>
          </w:tcPr>
          <w:p>
            <w:pPr>
              <w:keepNext w:val="0"/>
              <w:keepLines w:val="0"/>
              <w:pageBreakBefore w:val="0"/>
              <w:widowControl w:val="0"/>
              <w:kinsoku/>
              <w:wordWrap/>
              <w:overflowPunct/>
              <w:topLinePunct w:val="0"/>
              <w:bidi w:val="0"/>
              <w:snapToGrid/>
              <w:spacing w:line="480" w:lineRule="exact"/>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center"/>
          </w:tcPr>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二、安全隐患排查治理</w:t>
            </w:r>
          </w:p>
        </w:tc>
        <w:tc>
          <w:tcPr>
            <w:tcW w:w="10152" w:type="dxa"/>
            <w:vAlign w:val="top"/>
          </w:tcPr>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1.企业安全生产隐患排查治理制度建立及日常的隐患排查治理工作开展情况。查有关文件和矿山、班组、重要岗位的工作台帐。</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2.是否按照要求排查、治理、上报重大事故隐患。查有关工作台帐、文件。</w:t>
            </w:r>
          </w:p>
        </w:tc>
        <w:tc>
          <w:tcPr>
            <w:tcW w:w="2545" w:type="dxa"/>
            <w:vAlign w:val="top"/>
          </w:tcPr>
          <w:p>
            <w:pPr>
              <w:keepNext w:val="0"/>
              <w:keepLines w:val="0"/>
              <w:pageBreakBefore w:val="0"/>
              <w:widowControl w:val="0"/>
              <w:kinsoku/>
              <w:wordWrap/>
              <w:overflowPunct/>
              <w:topLinePunct w:val="0"/>
              <w:bidi w:val="0"/>
              <w:snapToGrid/>
              <w:spacing w:line="480" w:lineRule="exact"/>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center"/>
          </w:tcPr>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三、淘汰落后，积极应用先进技术和装备</w:t>
            </w:r>
          </w:p>
        </w:tc>
        <w:tc>
          <w:tcPr>
            <w:tcW w:w="10152" w:type="dxa"/>
            <w:vAlign w:val="top"/>
          </w:tcPr>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1.按照国家安全监管总局发布的金属非金属矿山禁止使用的设备及工艺目录，淘汰禁止使用的设备及工艺情况。现场检查。</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2.根据矿山特点，积极采用先进适用技术和装备，积极开展矿山规范化、机械化、科学化、信息化建设。现场检查。</w:t>
            </w:r>
          </w:p>
        </w:tc>
        <w:tc>
          <w:tcPr>
            <w:tcW w:w="2545" w:type="dxa"/>
            <w:vAlign w:val="top"/>
          </w:tcPr>
          <w:p>
            <w:pPr>
              <w:keepNext w:val="0"/>
              <w:keepLines w:val="0"/>
              <w:pageBreakBefore w:val="0"/>
              <w:widowControl w:val="0"/>
              <w:kinsoku/>
              <w:wordWrap/>
              <w:overflowPunct/>
              <w:topLinePunct w:val="0"/>
              <w:bidi w:val="0"/>
              <w:snapToGrid/>
              <w:spacing w:line="480" w:lineRule="exact"/>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center"/>
          </w:tcPr>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四、防范遏制较大以上事故的重点工作措施</w:t>
            </w:r>
          </w:p>
        </w:tc>
        <w:tc>
          <w:tcPr>
            <w:tcW w:w="10152" w:type="dxa"/>
            <w:vAlign w:val="top"/>
          </w:tcPr>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1.露天矿山</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（1）落实自上而下，分台阶开采；</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（2）工作帮坡角和最终边坡角符合设计要求；边坡高度在200米以上的露天矿山实现边坡在线监测，并且定期开展边坡稳定性专项分析；</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（3）采场外设备、设施安全防护齐全有效；</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（4）排土场纳入设计，并按照设计要求排放。</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查现场、查设计等相关资料。</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2.地下矿山</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（1）按规定开启主要通风机和设置通风构筑物，按要求安装、使用局部通风机和有关监测设施，采掘作业面、行人巷道风量、风质符合要求；</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（2）井下实施动火管制；</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（3）现场没有违规存放可燃材料；</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（4）入井人员按规定携带并会使用自救器；</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（5）采掘班组和安全管理人员下井时携带符合要求的便携式气体检测报警仪；</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（6）水文地质条件中等及以上的地下矿山配备超前探放水设备，并按要求开展探放水工作；</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（7）在采空区积水情况不明等存在突水威胁区域或可疑区域进行采掘作业，应该超前进行探放水；</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（8）地下矿山采空区按照设计要求处理；</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（9）按照设计要求控制采场要素；</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（10）竖井提升系统的防坠器、防过卷、安全门等安全保护装置及信号闭锁齐全有效，并定期进行有效性试验和检测检验。</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查台账，现场检查。</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3.尾矿库</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（1）坝体稳定：没有出现贯穿性横向裂缝、管涌、流土变形、滑动等失稳现象；</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（2）尾矿堆积坝上升速率不大于设计堆积上升速率；</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（3）浸润线埋深大于控制浸润线埋深；</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（4）安全超高和干滩长度大于设计规定；</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（5）排水、排洪系统构筑物符合设计要求，不存在堵塞、坍塌、开裂及变形情况；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（6）消除尾矿库上游可能威胁尾矿库排洪系统安全的泥石流危害。</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（7）尾矿库安全监测（包括人工巡检）符合《尾矿库安全监测技术规范》等要求。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现场检查，查设计等相关资料。</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4.地质勘探</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（1）地质勘探项目是否取得矿产资源勘查许可证；</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（2）从事地质勘探作业的单位是否具备相应地质勘查资质；</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（3）涉及坑探施工的地质勘探项目，是否编制坑探施工技术方案及安全专篇，安全专篇是否报经安全监管局审查同意；</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（4）是否存在“边探边采”、“以采代探”行为；</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（5）坑探工程的坑道通风管理系统是否完善，是否按规定进行风质、风量及有毒有害气体检测。</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zh-CN"/>
              </w:rPr>
              <w:t>现场检查，查设计等相关资料。</w:t>
            </w:r>
          </w:p>
        </w:tc>
        <w:tc>
          <w:tcPr>
            <w:tcW w:w="2545" w:type="dxa"/>
            <w:vAlign w:val="top"/>
          </w:tcPr>
          <w:p>
            <w:pPr>
              <w:keepNext w:val="0"/>
              <w:keepLines w:val="0"/>
              <w:pageBreakBefore w:val="0"/>
              <w:widowControl w:val="0"/>
              <w:kinsoku/>
              <w:wordWrap/>
              <w:overflowPunct/>
              <w:topLinePunct w:val="0"/>
              <w:bidi w:val="0"/>
              <w:snapToGrid/>
              <w:spacing w:line="480" w:lineRule="exact"/>
              <w:textAlignment w:val="auto"/>
              <w:outlineLvl w:val="9"/>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713" w:type="dxa"/>
            <w:vAlign w:val="center"/>
          </w:tcPr>
          <w:p>
            <w:pPr>
              <w:keepNext w:val="0"/>
              <w:keepLines w:val="0"/>
              <w:pageBreakBefore w:val="0"/>
              <w:widowControl w:val="0"/>
              <w:kinsoku/>
              <w:wordWrap/>
              <w:overflowPunct/>
              <w:topLinePunct w:val="0"/>
              <w:bidi w:val="0"/>
              <w:snapToGrid/>
              <w:spacing w:line="480" w:lineRule="exact"/>
              <w:jc w:val="both"/>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五、矿山安全技术工作</w:t>
            </w:r>
          </w:p>
        </w:tc>
        <w:tc>
          <w:tcPr>
            <w:tcW w:w="10152" w:type="dxa"/>
            <w:vAlign w:val="top"/>
          </w:tcPr>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1.技术人员配备是否符合有关要求。查有关用工合同、证书。</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2.是否绘制矿山、尾矿库相关图纸，并及时填图、归档、悬挂。查有关资料、现场检查。</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3.是否按照规定编制作业指导书（采掘作业规程）。查资料。</w:t>
            </w:r>
          </w:p>
          <w:p>
            <w:pPr>
              <w:keepNext w:val="0"/>
              <w:keepLines w:val="0"/>
              <w:pageBreakBefore w:val="0"/>
              <w:widowControl w:val="0"/>
              <w:kinsoku/>
              <w:wordWrap/>
              <w:overflowPunct/>
              <w:topLinePunct w:val="0"/>
              <w:bidi w:val="0"/>
              <w:snapToGrid/>
              <w:spacing w:line="480" w:lineRule="exact"/>
              <w:ind w:firstLine="560" w:firstLineChars="200"/>
              <w:textAlignment w:val="auto"/>
              <w:outlineLvl w:val="9"/>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4.企业安全风险评估情况。矿山企业要组织专业技术人员或委托有关专业机构，对矿山、尾矿库每年开展一次风险评估，查找系统和设备设施及作业环境存在的重大安全风险, 提出并落实防控措施。查评估报告。</w:t>
            </w:r>
          </w:p>
        </w:tc>
        <w:tc>
          <w:tcPr>
            <w:tcW w:w="2545" w:type="dxa"/>
            <w:vAlign w:val="top"/>
          </w:tcPr>
          <w:p>
            <w:pPr>
              <w:keepNext w:val="0"/>
              <w:keepLines w:val="0"/>
              <w:pageBreakBefore w:val="0"/>
              <w:widowControl w:val="0"/>
              <w:kinsoku/>
              <w:wordWrap/>
              <w:overflowPunct/>
              <w:topLinePunct w:val="0"/>
              <w:bidi w:val="0"/>
              <w:snapToGrid/>
              <w:spacing w:line="480" w:lineRule="exact"/>
              <w:textAlignment w:val="auto"/>
              <w:outlineLvl w:val="9"/>
              <w:rPr>
                <w:rFonts w:hint="eastAsia" w:ascii="仿宋" w:hAnsi="仿宋" w:eastAsia="仿宋" w:cs="仿宋"/>
                <w:color w:val="auto"/>
                <w:kern w:val="0"/>
                <w:sz w:val="28"/>
                <w:szCs w:val="28"/>
              </w:rPr>
            </w:pPr>
          </w:p>
        </w:tc>
      </w:tr>
    </w:tbl>
    <w:p>
      <w:pPr>
        <w:ind w:firstLine="640" w:firstLineChars="200"/>
        <w:rPr>
          <w:rFonts w:hint="eastAsia" w:ascii="仿宋" w:hAnsi="仿宋" w:eastAsia="仿宋" w:cs="仿宋"/>
          <w:color w:val="auto"/>
          <w:sz w:val="32"/>
          <w:szCs w:val="32"/>
        </w:rPr>
      </w:pPr>
    </w:p>
    <w:p>
      <w:pPr>
        <w:ind w:firstLine="640" w:firstLineChars="200"/>
        <w:rPr>
          <w:rFonts w:hint="eastAsia" w:ascii="仿宋" w:hAnsi="仿宋" w:eastAsia="仿宋" w:cs="仿宋"/>
          <w:color w:val="auto"/>
          <w:sz w:val="32"/>
          <w:szCs w:val="32"/>
        </w:rPr>
        <w:sectPr>
          <w:footerReference r:id="rId3" w:type="default"/>
          <w:footerReference r:id="rId4" w:type="even"/>
          <w:pgSz w:w="16838" w:h="11906" w:orient="landscape"/>
          <w:pgMar w:top="1474" w:right="1440" w:bottom="1474" w:left="1440" w:header="851" w:footer="992" w:gutter="0"/>
          <w:pgNumType w:fmt="numberInDash"/>
          <w:cols w:space="720" w:num="1"/>
          <w:rtlGutter w:val="0"/>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61312" behindDoc="0" locked="0" layoutInCell="1" allowOverlap="1">
              <wp:simplePos x="0" y="0"/>
              <wp:positionH relativeFrom="margin">
                <wp:posOffset>37465</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95pt;margin-top:-1.25pt;height:144pt;width:144pt;mso-position-horizontal-relative:margin;mso-wrap-style:none;z-index:251661312;mso-width-relative:page;mso-height-relative:page;" filled="f" stroked="f" coordsize="21600,21600" o:gfxdata="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fW18LVAAAACAEAAA8AAAAAAAAAAQAgAAAAIgAAAGRycy9kb3ducmV2LnhtbFBLAQIUABQAAAAI&#10;AIdO4kB7pqW7twEAAFQDAAAOAAAAAAAAAAEAIAAAACQBAABkcnMvZTJvRG9jLnhtbFBLBQYAAAAA&#10;BgAGAFkBAABN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4F742"/>
    <w:multiLevelType w:val="singleLevel"/>
    <w:tmpl w:val="5B14F742"/>
    <w:lvl w:ilvl="0" w:tentative="0">
      <w:start w:val="2"/>
      <w:numFmt w:val="decimal"/>
      <w:suff w:val="nothing"/>
      <w:lvlText w:val="%1."/>
      <w:lvlJc w:val="left"/>
    </w:lvl>
  </w:abstractNum>
  <w:abstractNum w:abstractNumId="1">
    <w:nsid w:val="5B73FDD9"/>
    <w:multiLevelType w:val="singleLevel"/>
    <w:tmpl w:val="5B73FDD9"/>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602DA"/>
    <w:rsid w:val="25A6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2018-08-20T01:35:00Z</dcterms:created>
  <dc:creator>NTKO</dc:creator>
  <cp:lastModifiedBy>NTKO</cp:lastModifiedBy>
  <dcterms:modified xsi:type="dcterms:W3CDTF">2018-08-20T01:35:50Z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2052-10.8.2.6538</vt:lpwstr>
  </property>
</Properties>
</file>