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z w:val="36"/>
          <w:szCs w:val="36"/>
          <w:lang w:eastAsia="zh-CN"/>
        </w:rPr>
      </w:pPr>
      <w:r>
        <w:rPr>
          <w:rFonts w:hint="eastAsia" w:ascii="方正小标宋简体" w:hAnsi="方正小标宋简体" w:eastAsia="方正小标宋简体" w:cs="方正小标宋简体"/>
          <w:sz w:val="36"/>
          <w:szCs w:val="36"/>
          <w:lang w:val="en-US" w:eastAsia="zh-CN"/>
        </w:rPr>
        <w:t>工贸行业涉粉尘爆炸企业安全专项整治</w:t>
      </w: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widowControl/>
        <w:jc w:val="center"/>
        <w:rPr>
          <w:rFonts w:hint="eastAsia" w:ascii="方正小标宋简体" w:hAnsi="黑体" w:eastAsia="方正小标宋简体" w:cs="宋体"/>
          <w:color w:val="000000"/>
          <w:kern w:val="0"/>
          <w:sz w:val="36"/>
          <w:szCs w:val="36"/>
          <w:lang w:val="en-US" w:eastAsia="zh-CN"/>
        </w:rPr>
      </w:pPr>
      <w:r>
        <w:rPr>
          <w:rFonts w:hint="eastAsia" w:ascii="方正小标宋简体" w:hAnsi="黑体" w:eastAsia="方正小标宋简体" w:cs="宋体"/>
          <w:color w:val="000000"/>
          <w:kern w:val="0"/>
          <w:sz w:val="44"/>
          <w:szCs w:val="44"/>
          <w:lang w:val="en-US" w:eastAsia="zh-CN"/>
        </w:rPr>
        <w:t>粉尘涉爆企业基础情况调查表</w:t>
      </w:r>
    </w:p>
    <w:tbl>
      <w:tblPr>
        <w:tblStyle w:val="4"/>
        <w:tblW w:w="14190" w:type="dxa"/>
        <w:tblInd w:w="93" w:type="dxa"/>
        <w:tblLayout w:type="fixed"/>
        <w:tblCellMar>
          <w:top w:w="0" w:type="dxa"/>
          <w:left w:w="108" w:type="dxa"/>
          <w:bottom w:w="0" w:type="dxa"/>
          <w:right w:w="108" w:type="dxa"/>
        </w:tblCellMar>
      </w:tblPr>
      <w:tblGrid>
        <w:gridCol w:w="859"/>
        <w:gridCol w:w="862"/>
        <w:gridCol w:w="2468"/>
        <w:gridCol w:w="959"/>
        <w:gridCol w:w="959"/>
        <w:gridCol w:w="959"/>
        <w:gridCol w:w="959"/>
        <w:gridCol w:w="1065"/>
        <w:gridCol w:w="1207"/>
        <w:gridCol w:w="1244"/>
        <w:gridCol w:w="1154"/>
        <w:gridCol w:w="1495"/>
      </w:tblGrid>
      <w:tr>
        <w:tblPrEx>
          <w:tblLayout w:type="fixed"/>
          <w:tblCellMar>
            <w:top w:w="0" w:type="dxa"/>
            <w:left w:w="108" w:type="dxa"/>
            <w:bottom w:w="0" w:type="dxa"/>
            <w:right w:w="108" w:type="dxa"/>
          </w:tblCellMar>
        </w:tblPrEx>
        <w:trPr>
          <w:trHeight w:val="312" w:hRule="atLeast"/>
        </w:trPr>
        <w:tc>
          <w:tcPr>
            <w:tcW w:w="1721" w:type="dxa"/>
            <w:gridSpan w:val="2"/>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填报单位：</w:t>
            </w:r>
          </w:p>
        </w:tc>
        <w:tc>
          <w:tcPr>
            <w:tcW w:w="2468"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959"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959"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959"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959"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065"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207"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填报人：</w:t>
            </w:r>
          </w:p>
        </w:tc>
        <w:tc>
          <w:tcPr>
            <w:tcW w:w="1244" w:type="dxa"/>
            <w:tcBorders>
              <w:top w:val="nil"/>
              <w:left w:val="nil"/>
              <w:bottom w:val="nil"/>
              <w:right w:val="nil"/>
            </w:tcBorders>
            <w:vAlign w:val="center"/>
          </w:tcPr>
          <w:p>
            <w:pPr>
              <w:widowControl/>
              <w:jc w:val="left"/>
              <w:rPr>
                <w:rFonts w:hint="eastAsia" w:ascii="宋体" w:hAnsi="宋体" w:eastAsia="宋体" w:cs="宋体"/>
                <w:color w:val="000000"/>
                <w:kern w:val="0"/>
                <w:sz w:val="24"/>
              </w:rPr>
            </w:pPr>
          </w:p>
        </w:tc>
        <w:tc>
          <w:tcPr>
            <w:tcW w:w="1154" w:type="dxa"/>
            <w:tcBorders>
              <w:top w:val="nil"/>
              <w:left w:val="nil"/>
              <w:bottom w:val="nil"/>
              <w:right w:val="nil"/>
            </w:tcBorders>
            <w:vAlign w:val="center"/>
          </w:tcPr>
          <w:p>
            <w:pPr>
              <w:widowControl/>
              <w:jc w:val="left"/>
              <w:rPr>
                <w:rFonts w:hint="eastAsia" w:ascii="宋体" w:hAnsi="宋体" w:eastAsia="宋体" w:cs="宋体"/>
                <w:color w:val="000000"/>
                <w:kern w:val="0"/>
                <w:sz w:val="24"/>
              </w:rPr>
            </w:pPr>
          </w:p>
        </w:tc>
        <w:tc>
          <w:tcPr>
            <w:tcW w:w="1495" w:type="dxa"/>
            <w:tcBorders>
              <w:top w:val="nil"/>
              <w:left w:val="nil"/>
              <w:bottom w:val="nil"/>
              <w:right w:val="nil"/>
            </w:tcBorders>
            <w:vAlign w:val="center"/>
          </w:tcPr>
          <w:p>
            <w:pPr>
              <w:widowControl/>
              <w:jc w:val="left"/>
              <w:rPr>
                <w:rFonts w:hint="eastAsia" w:ascii="宋体" w:hAnsi="宋体" w:eastAsia="宋体" w:cs="宋体"/>
                <w:color w:val="000000"/>
                <w:kern w:val="0"/>
                <w:sz w:val="24"/>
              </w:rPr>
            </w:pPr>
          </w:p>
        </w:tc>
      </w:tr>
      <w:tr>
        <w:tblPrEx>
          <w:tblLayout w:type="fixed"/>
          <w:tblCellMar>
            <w:top w:w="0" w:type="dxa"/>
            <w:left w:w="108" w:type="dxa"/>
            <w:bottom w:w="0" w:type="dxa"/>
            <w:right w:w="108" w:type="dxa"/>
          </w:tblCellMar>
        </w:tblPrEx>
        <w:trPr>
          <w:trHeight w:val="240" w:hRule="atLeast"/>
        </w:trPr>
        <w:tc>
          <w:tcPr>
            <w:tcW w:w="859" w:type="dxa"/>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862" w:type="dxa"/>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区县</w:t>
            </w:r>
          </w:p>
        </w:tc>
        <w:tc>
          <w:tcPr>
            <w:tcW w:w="2468" w:type="dxa"/>
            <w:vMerge w:val="restart"/>
            <w:tcBorders>
              <w:top w:val="single" w:color="auto" w:sz="8" w:space="0"/>
              <w:left w:val="single" w:color="auto" w:sz="8" w:space="0"/>
              <w:bottom w:val="nil"/>
              <w:right w:val="single" w:color="000000"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企业名称</w:t>
            </w:r>
          </w:p>
        </w:tc>
        <w:tc>
          <w:tcPr>
            <w:tcW w:w="959" w:type="dxa"/>
            <w:vMerge w:val="restart"/>
            <w:tcBorders>
              <w:top w:val="single" w:color="auto" w:sz="8" w:space="0"/>
              <w:left w:val="single" w:color="000000" w:sz="8" w:space="0"/>
              <w:bottom w:val="nil"/>
              <w:right w:val="single" w:color="000000"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所属行业</w:t>
            </w:r>
          </w:p>
        </w:tc>
        <w:tc>
          <w:tcPr>
            <w:tcW w:w="959" w:type="dxa"/>
            <w:vMerge w:val="restart"/>
            <w:tcBorders>
              <w:top w:val="single" w:color="auto" w:sz="8" w:space="0"/>
              <w:left w:val="single" w:color="000000" w:sz="8" w:space="0"/>
              <w:bottom w:val="nil"/>
              <w:right w:val="single" w:color="000000"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粉尘种类</w:t>
            </w:r>
          </w:p>
        </w:tc>
        <w:tc>
          <w:tcPr>
            <w:tcW w:w="959" w:type="dxa"/>
            <w:vMerge w:val="restart"/>
            <w:tcBorders>
              <w:top w:val="single" w:color="auto" w:sz="8" w:space="0"/>
              <w:left w:val="single" w:color="000000" w:sz="8" w:space="0"/>
              <w:bottom w:val="nil"/>
              <w:right w:val="single" w:color="000000"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企业规模</w:t>
            </w:r>
          </w:p>
        </w:tc>
        <w:tc>
          <w:tcPr>
            <w:tcW w:w="959" w:type="dxa"/>
            <w:vMerge w:val="restart"/>
            <w:tcBorders>
              <w:top w:val="single" w:color="auto" w:sz="8" w:space="0"/>
              <w:left w:val="single" w:color="000000" w:sz="8" w:space="0"/>
              <w:bottom w:val="nil"/>
              <w:right w:val="single" w:color="000000"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员工总数</w:t>
            </w:r>
          </w:p>
        </w:tc>
        <w:tc>
          <w:tcPr>
            <w:tcW w:w="1065" w:type="dxa"/>
            <w:vMerge w:val="restart"/>
            <w:tcBorders>
              <w:top w:val="single" w:color="auto" w:sz="8" w:space="0"/>
              <w:left w:val="single" w:color="000000" w:sz="8" w:space="0"/>
              <w:bottom w:val="nil"/>
              <w:right w:val="single" w:color="000000"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涉粉作业人数</w:t>
            </w:r>
          </w:p>
        </w:tc>
        <w:tc>
          <w:tcPr>
            <w:tcW w:w="2451"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法人代表</w:t>
            </w:r>
          </w:p>
        </w:tc>
        <w:tc>
          <w:tcPr>
            <w:tcW w:w="2649" w:type="dxa"/>
            <w:gridSpan w:val="2"/>
            <w:tcBorders>
              <w:top w:val="single" w:color="auto" w:sz="8" w:space="0"/>
              <w:left w:val="nil"/>
              <w:bottom w:val="single" w:color="auto" w:sz="8" w:space="0"/>
              <w:right w:val="single" w:color="000000"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安全负责人</w:t>
            </w:r>
          </w:p>
        </w:tc>
      </w:tr>
      <w:tr>
        <w:tblPrEx>
          <w:tblLayout w:type="fixed"/>
          <w:tblCellMar>
            <w:top w:w="0" w:type="dxa"/>
            <w:left w:w="108" w:type="dxa"/>
            <w:bottom w:w="0" w:type="dxa"/>
            <w:right w:w="108" w:type="dxa"/>
          </w:tblCellMar>
        </w:tblPrEx>
        <w:trPr>
          <w:trHeight w:val="228" w:hRule="atLeast"/>
        </w:trPr>
        <w:tc>
          <w:tcPr>
            <w:tcW w:w="859" w:type="dxa"/>
            <w:vMerge w:val="continue"/>
            <w:tcBorders>
              <w:top w:val="single" w:color="auto" w:sz="8" w:space="0"/>
              <w:left w:val="single" w:color="auto" w:sz="8" w:space="0"/>
              <w:bottom w:val="nil"/>
              <w:right w:val="single" w:color="auto" w:sz="8" w:space="0"/>
            </w:tcBorders>
            <w:shd w:val="clear" w:color="auto" w:fill="auto"/>
            <w:vAlign w:val="center"/>
          </w:tcPr>
          <w:p>
            <w:pPr>
              <w:widowControl/>
              <w:jc w:val="left"/>
              <w:rPr>
                <w:rFonts w:hint="eastAsia" w:ascii="黑体" w:hAnsi="黑体" w:eastAsia="黑体" w:cs="黑体"/>
                <w:color w:val="000000"/>
                <w:kern w:val="0"/>
                <w:sz w:val="24"/>
                <w:szCs w:val="24"/>
              </w:rPr>
            </w:pPr>
          </w:p>
        </w:tc>
        <w:tc>
          <w:tcPr>
            <w:tcW w:w="862" w:type="dxa"/>
            <w:vMerge w:val="continue"/>
            <w:tcBorders>
              <w:top w:val="single" w:color="auto" w:sz="8" w:space="0"/>
              <w:left w:val="single" w:color="auto" w:sz="8" w:space="0"/>
              <w:bottom w:val="nil"/>
              <w:right w:val="single" w:color="auto" w:sz="8" w:space="0"/>
            </w:tcBorders>
            <w:shd w:val="clear" w:color="auto" w:fill="auto"/>
            <w:vAlign w:val="center"/>
          </w:tcPr>
          <w:p>
            <w:pPr>
              <w:widowControl/>
              <w:jc w:val="left"/>
              <w:rPr>
                <w:rFonts w:hint="eastAsia" w:ascii="黑体" w:hAnsi="黑体" w:eastAsia="黑体" w:cs="黑体"/>
                <w:color w:val="000000"/>
                <w:kern w:val="0"/>
                <w:sz w:val="24"/>
                <w:szCs w:val="24"/>
              </w:rPr>
            </w:pPr>
          </w:p>
        </w:tc>
        <w:tc>
          <w:tcPr>
            <w:tcW w:w="2468" w:type="dxa"/>
            <w:vMerge w:val="continue"/>
            <w:tcBorders>
              <w:top w:val="single" w:color="auto" w:sz="8" w:space="0"/>
              <w:left w:val="single" w:color="auto" w:sz="8" w:space="0"/>
              <w:bottom w:val="nil"/>
              <w:right w:val="single" w:color="000000" w:sz="8" w:space="0"/>
            </w:tcBorders>
            <w:shd w:val="clear" w:color="auto" w:fill="auto"/>
            <w:vAlign w:val="center"/>
          </w:tcPr>
          <w:p>
            <w:pPr>
              <w:widowControl/>
              <w:jc w:val="left"/>
              <w:rPr>
                <w:rFonts w:hint="eastAsia" w:ascii="黑体" w:hAnsi="黑体" w:eastAsia="黑体" w:cs="黑体"/>
                <w:color w:val="000000"/>
                <w:kern w:val="0"/>
                <w:sz w:val="24"/>
                <w:szCs w:val="24"/>
              </w:rPr>
            </w:pPr>
          </w:p>
        </w:tc>
        <w:tc>
          <w:tcPr>
            <w:tcW w:w="959" w:type="dxa"/>
            <w:vMerge w:val="continue"/>
            <w:tcBorders>
              <w:top w:val="single" w:color="auto" w:sz="8" w:space="0"/>
              <w:left w:val="single" w:color="000000" w:sz="8" w:space="0"/>
              <w:bottom w:val="nil"/>
              <w:right w:val="single" w:color="000000" w:sz="8" w:space="0"/>
            </w:tcBorders>
            <w:shd w:val="clear" w:color="auto" w:fill="auto"/>
            <w:vAlign w:val="center"/>
          </w:tcPr>
          <w:p>
            <w:pPr>
              <w:widowControl/>
              <w:jc w:val="left"/>
              <w:rPr>
                <w:rFonts w:hint="eastAsia" w:ascii="黑体" w:hAnsi="黑体" w:eastAsia="黑体" w:cs="黑体"/>
                <w:color w:val="000000"/>
                <w:kern w:val="0"/>
                <w:sz w:val="24"/>
                <w:szCs w:val="24"/>
              </w:rPr>
            </w:pPr>
          </w:p>
        </w:tc>
        <w:tc>
          <w:tcPr>
            <w:tcW w:w="959" w:type="dxa"/>
            <w:vMerge w:val="continue"/>
            <w:tcBorders>
              <w:top w:val="single" w:color="auto" w:sz="8" w:space="0"/>
              <w:left w:val="single" w:color="000000" w:sz="8" w:space="0"/>
              <w:bottom w:val="nil"/>
              <w:right w:val="single" w:color="000000" w:sz="8" w:space="0"/>
            </w:tcBorders>
            <w:shd w:val="clear" w:color="auto" w:fill="auto"/>
            <w:vAlign w:val="center"/>
          </w:tcPr>
          <w:p>
            <w:pPr>
              <w:widowControl/>
              <w:jc w:val="left"/>
              <w:rPr>
                <w:rFonts w:hint="eastAsia" w:ascii="黑体" w:hAnsi="黑体" w:eastAsia="黑体" w:cs="黑体"/>
                <w:color w:val="000000"/>
                <w:kern w:val="0"/>
                <w:sz w:val="24"/>
                <w:szCs w:val="24"/>
              </w:rPr>
            </w:pPr>
          </w:p>
        </w:tc>
        <w:tc>
          <w:tcPr>
            <w:tcW w:w="959" w:type="dxa"/>
            <w:vMerge w:val="continue"/>
            <w:tcBorders>
              <w:top w:val="single" w:color="auto" w:sz="8" w:space="0"/>
              <w:left w:val="single" w:color="000000" w:sz="8" w:space="0"/>
              <w:bottom w:val="nil"/>
              <w:right w:val="single" w:color="000000" w:sz="8" w:space="0"/>
            </w:tcBorders>
            <w:shd w:val="clear" w:color="auto" w:fill="auto"/>
            <w:vAlign w:val="center"/>
          </w:tcPr>
          <w:p>
            <w:pPr>
              <w:widowControl/>
              <w:jc w:val="left"/>
              <w:rPr>
                <w:rFonts w:hint="eastAsia" w:ascii="黑体" w:hAnsi="黑体" w:eastAsia="黑体" w:cs="黑体"/>
                <w:color w:val="000000"/>
                <w:kern w:val="0"/>
                <w:sz w:val="24"/>
                <w:szCs w:val="24"/>
              </w:rPr>
            </w:pPr>
          </w:p>
        </w:tc>
        <w:tc>
          <w:tcPr>
            <w:tcW w:w="959" w:type="dxa"/>
            <w:vMerge w:val="continue"/>
            <w:tcBorders>
              <w:top w:val="single" w:color="auto" w:sz="8" w:space="0"/>
              <w:left w:val="single" w:color="000000" w:sz="8" w:space="0"/>
              <w:bottom w:val="nil"/>
              <w:right w:val="single" w:color="000000" w:sz="8" w:space="0"/>
            </w:tcBorders>
            <w:shd w:val="clear" w:color="auto" w:fill="auto"/>
            <w:vAlign w:val="center"/>
          </w:tcPr>
          <w:p>
            <w:pPr>
              <w:widowControl/>
              <w:jc w:val="left"/>
              <w:rPr>
                <w:rFonts w:hint="eastAsia" w:ascii="黑体" w:hAnsi="黑体" w:eastAsia="黑体" w:cs="黑体"/>
                <w:color w:val="000000"/>
                <w:kern w:val="0"/>
                <w:sz w:val="24"/>
                <w:szCs w:val="24"/>
              </w:rPr>
            </w:pPr>
          </w:p>
        </w:tc>
        <w:tc>
          <w:tcPr>
            <w:tcW w:w="1065" w:type="dxa"/>
            <w:vMerge w:val="continue"/>
            <w:tcBorders>
              <w:top w:val="single" w:color="auto" w:sz="8" w:space="0"/>
              <w:left w:val="single" w:color="000000" w:sz="8" w:space="0"/>
              <w:bottom w:val="nil"/>
              <w:right w:val="single" w:color="000000" w:sz="8" w:space="0"/>
            </w:tcBorders>
            <w:shd w:val="clear" w:color="auto" w:fill="auto"/>
            <w:vAlign w:val="center"/>
          </w:tcPr>
          <w:p>
            <w:pPr>
              <w:widowControl/>
              <w:jc w:val="left"/>
              <w:rPr>
                <w:rFonts w:hint="eastAsia" w:ascii="黑体" w:hAnsi="黑体" w:eastAsia="黑体" w:cs="黑体"/>
                <w:color w:val="000000"/>
                <w:kern w:val="0"/>
                <w:sz w:val="24"/>
                <w:szCs w:val="24"/>
              </w:rPr>
            </w:pPr>
          </w:p>
        </w:tc>
        <w:tc>
          <w:tcPr>
            <w:tcW w:w="1207" w:type="dxa"/>
            <w:tcBorders>
              <w:top w:val="nil"/>
              <w:left w:val="nil"/>
              <w:bottom w:val="nil"/>
              <w:right w:val="single" w:color="000000"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姓名</w:t>
            </w:r>
          </w:p>
        </w:tc>
        <w:tc>
          <w:tcPr>
            <w:tcW w:w="1244" w:type="dxa"/>
            <w:tcBorders>
              <w:top w:val="nil"/>
              <w:left w:val="nil"/>
              <w:bottom w:val="nil"/>
              <w:right w:val="single" w:color="000000"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手机号码</w:t>
            </w:r>
          </w:p>
        </w:tc>
        <w:tc>
          <w:tcPr>
            <w:tcW w:w="1154" w:type="dxa"/>
            <w:tcBorders>
              <w:top w:val="nil"/>
              <w:left w:val="nil"/>
              <w:bottom w:val="nil"/>
              <w:right w:val="single" w:color="000000"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姓名</w:t>
            </w:r>
          </w:p>
        </w:tc>
        <w:tc>
          <w:tcPr>
            <w:tcW w:w="1495" w:type="dxa"/>
            <w:tcBorders>
              <w:top w:val="nil"/>
              <w:left w:val="nil"/>
              <w:bottom w:val="nil"/>
              <w:right w:val="single" w:color="auto" w:sz="8"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手机号码</w:t>
            </w:r>
          </w:p>
        </w:tc>
      </w:tr>
      <w:tr>
        <w:tblPrEx>
          <w:tblLayout w:type="fixed"/>
          <w:tblCellMar>
            <w:top w:w="0" w:type="dxa"/>
            <w:left w:w="108" w:type="dxa"/>
            <w:bottom w:w="0" w:type="dxa"/>
            <w:right w:w="108" w:type="dxa"/>
          </w:tblCellMar>
        </w:tblPrEx>
        <w:trPr>
          <w:trHeight w:val="216" w:hRule="atLeast"/>
        </w:trPr>
        <w:tc>
          <w:tcPr>
            <w:tcW w:w="85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　</w:t>
            </w:r>
            <w:r>
              <w:rPr>
                <w:rFonts w:hint="eastAsia" w:ascii="仿宋" w:hAnsi="仿宋" w:eastAsia="仿宋" w:cs="仿宋"/>
                <w:color w:val="000000"/>
                <w:kern w:val="0"/>
                <w:sz w:val="24"/>
                <w:szCs w:val="24"/>
                <w:lang w:val="en-US" w:eastAsia="zh-CN"/>
              </w:rPr>
              <w:t>1</w:t>
            </w:r>
          </w:p>
        </w:tc>
        <w:tc>
          <w:tcPr>
            <w:tcW w:w="862"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468"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65"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07"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44"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154"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495"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Layout w:type="fixed"/>
          <w:tblCellMar>
            <w:top w:w="0" w:type="dxa"/>
            <w:left w:w="108" w:type="dxa"/>
            <w:bottom w:w="0" w:type="dxa"/>
            <w:right w:w="108" w:type="dxa"/>
          </w:tblCellMar>
        </w:tblPrEx>
        <w:trPr>
          <w:trHeight w:val="216" w:hRule="atLeast"/>
        </w:trPr>
        <w:tc>
          <w:tcPr>
            <w:tcW w:w="859"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　</w:t>
            </w:r>
            <w:r>
              <w:rPr>
                <w:rFonts w:hint="eastAsia" w:ascii="仿宋" w:hAnsi="仿宋" w:eastAsia="仿宋" w:cs="仿宋"/>
                <w:color w:val="000000"/>
                <w:kern w:val="0"/>
                <w:sz w:val="24"/>
                <w:szCs w:val="24"/>
                <w:lang w:val="en-US" w:eastAsia="zh-CN"/>
              </w:rPr>
              <w:t>2</w:t>
            </w:r>
          </w:p>
        </w:tc>
        <w:tc>
          <w:tcPr>
            <w:tcW w:w="86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468"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65"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07"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4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15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495"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Layout w:type="fixed"/>
          <w:tblCellMar>
            <w:top w:w="0" w:type="dxa"/>
            <w:left w:w="108" w:type="dxa"/>
            <w:bottom w:w="0" w:type="dxa"/>
            <w:right w:w="108" w:type="dxa"/>
          </w:tblCellMar>
        </w:tblPrEx>
        <w:trPr>
          <w:trHeight w:val="216" w:hRule="atLeast"/>
        </w:trPr>
        <w:tc>
          <w:tcPr>
            <w:tcW w:w="859"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　</w:t>
            </w:r>
            <w:r>
              <w:rPr>
                <w:rFonts w:hint="eastAsia" w:ascii="仿宋" w:hAnsi="仿宋" w:eastAsia="仿宋" w:cs="仿宋"/>
                <w:color w:val="000000"/>
                <w:kern w:val="0"/>
                <w:sz w:val="24"/>
                <w:szCs w:val="24"/>
                <w:lang w:val="en-US" w:eastAsia="zh-CN"/>
              </w:rPr>
              <w:t>3</w:t>
            </w:r>
          </w:p>
        </w:tc>
        <w:tc>
          <w:tcPr>
            <w:tcW w:w="86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468"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65"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07"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4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15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495"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Layout w:type="fixed"/>
          <w:tblCellMar>
            <w:top w:w="0" w:type="dxa"/>
            <w:left w:w="108" w:type="dxa"/>
            <w:bottom w:w="0" w:type="dxa"/>
            <w:right w:w="108" w:type="dxa"/>
          </w:tblCellMar>
        </w:tblPrEx>
        <w:trPr>
          <w:trHeight w:val="216" w:hRule="atLeast"/>
        </w:trPr>
        <w:tc>
          <w:tcPr>
            <w:tcW w:w="859"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　</w:t>
            </w:r>
          </w:p>
        </w:tc>
        <w:tc>
          <w:tcPr>
            <w:tcW w:w="86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2468"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959"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065"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07"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24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154"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495" w:type="dxa"/>
            <w:tcBorders>
              <w:top w:val="nil"/>
              <w:left w:val="nil"/>
              <w:bottom w:val="single" w:color="auto" w:sz="4" w:space="0"/>
              <w:right w:val="single" w:color="auto" w:sz="4" w:space="0"/>
            </w:tcBorders>
            <w:vAlign w:val="top"/>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tblPrEx>
          <w:tblLayout w:type="fixed"/>
          <w:tblCellMar>
            <w:top w:w="0" w:type="dxa"/>
            <w:left w:w="108" w:type="dxa"/>
            <w:bottom w:w="0" w:type="dxa"/>
            <w:right w:w="108" w:type="dxa"/>
          </w:tblCellMar>
        </w:tblPrEx>
        <w:trPr>
          <w:trHeight w:val="90" w:hRule="atLeast"/>
        </w:trPr>
        <w:tc>
          <w:tcPr>
            <w:tcW w:w="14190" w:type="dxa"/>
            <w:gridSpan w:val="12"/>
            <w:tcBorders>
              <w:top w:val="single" w:color="auto" w:sz="4" w:space="0"/>
              <w:left w:val="nil"/>
              <w:bottom w:val="nil"/>
              <w:right w:val="nil"/>
            </w:tcBorders>
            <w:vAlign w:val="center"/>
          </w:tcPr>
          <w:p>
            <w:pPr>
              <w:widowControl/>
              <w:jc w:val="left"/>
              <w:rPr>
                <w:rFonts w:hint="eastAsia" w:ascii="仿宋" w:hAnsi="仿宋" w:eastAsia="仿宋" w:cs="仿宋"/>
                <w:color w:val="000000"/>
                <w:kern w:val="0"/>
                <w:sz w:val="22"/>
                <w:szCs w:val="22"/>
              </w:rPr>
            </w:pPr>
          </w:p>
          <w:p>
            <w:pPr>
              <w:widowControl/>
              <w:jc w:val="left"/>
              <w:rPr>
                <w:rFonts w:hint="eastAsia" w:ascii="仿宋" w:hAnsi="仿宋" w:eastAsia="仿宋" w:cs="仿宋"/>
                <w:color w:val="000000"/>
                <w:kern w:val="0"/>
                <w:sz w:val="22"/>
                <w:szCs w:val="22"/>
              </w:rPr>
            </w:pPr>
          </w:p>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1.所属行业：填写金属制品加工、木制品纸制品加工、农副产品加工、纺织品加工、煤粉制备、橡胶及塑料加工、烟草加工等。</w:t>
            </w:r>
          </w:p>
        </w:tc>
      </w:tr>
      <w:tr>
        <w:tblPrEx>
          <w:tblLayout w:type="fixed"/>
          <w:tblCellMar>
            <w:top w:w="0" w:type="dxa"/>
            <w:left w:w="108" w:type="dxa"/>
            <w:bottom w:w="0" w:type="dxa"/>
            <w:right w:w="108" w:type="dxa"/>
          </w:tblCellMar>
        </w:tblPrEx>
        <w:trPr>
          <w:trHeight w:val="576" w:hRule="atLeast"/>
        </w:trPr>
        <w:tc>
          <w:tcPr>
            <w:tcW w:w="14190" w:type="dxa"/>
            <w:gridSpan w:val="12"/>
            <w:tcBorders>
              <w:top w:val="nil"/>
              <w:left w:val="nil"/>
              <w:bottom w:val="nil"/>
              <w:right w:val="nil"/>
            </w:tcBorders>
            <w:vAlign w:val="center"/>
          </w:tcPr>
          <w:p>
            <w:pPr>
              <w:widowControl/>
              <w:ind w:left="240" w:hanging="220" w:hangingChars="1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2.粉尘种类：可参考《工贸行业重点可燃性粉尘目录》，务必核查准确，填写铝粉、镁粉、锌粉、钛粉、木粉、纸粉、面粉、淀粉、糖粉、奶粉、血粉、鱼骨粉、纺织纤维粉、煤粉、橡胶塑料粉、烟草等。</w:t>
            </w:r>
          </w:p>
        </w:tc>
      </w:tr>
      <w:tr>
        <w:tblPrEx>
          <w:tblLayout w:type="fixed"/>
          <w:tblCellMar>
            <w:top w:w="0" w:type="dxa"/>
            <w:left w:w="108" w:type="dxa"/>
            <w:bottom w:w="0" w:type="dxa"/>
            <w:right w:w="108" w:type="dxa"/>
          </w:tblCellMar>
        </w:tblPrEx>
        <w:trPr>
          <w:trHeight w:val="504" w:hRule="atLeast"/>
        </w:trPr>
        <w:tc>
          <w:tcPr>
            <w:tcW w:w="14190" w:type="dxa"/>
            <w:gridSpan w:val="12"/>
            <w:tcBorders>
              <w:top w:val="nil"/>
              <w:left w:val="nil"/>
              <w:bottom w:val="nil"/>
              <w:right w:val="nil"/>
            </w:tcBorders>
            <w:vAlign w:val="center"/>
          </w:tcPr>
          <w:p>
            <w:pPr>
              <w:widowControl/>
              <w:ind w:left="240" w:hanging="220" w:hangingChars="1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3.涉粉作业人数：是指可能受到粉尘爆炸伤害的最多作业人数。主要区域包括：存在粉尘爆炸危险的生产车间、除尘管道通过的建构筑物、与爆炸危险场所毗邻且未设置隔离设施的工作区域。</w:t>
            </w:r>
          </w:p>
        </w:tc>
      </w:tr>
    </w:tbl>
    <w:p>
      <w:pPr>
        <w:rPr>
          <w:rFonts w:hint="eastAsia" w:ascii="仿宋" w:hAnsi="仿宋" w:eastAsia="仿宋" w:cs="仿宋"/>
          <w:sz w:val="32"/>
          <w:szCs w:val="32"/>
          <w:lang w:val="en-US" w:eastAsia="zh-CN"/>
        </w:rPr>
        <w:sectPr>
          <w:pgSz w:w="16838" w:h="11906" w:orient="landscape"/>
          <w:pgMar w:top="1800" w:right="1440" w:bottom="1800" w:left="1440" w:header="851" w:footer="992" w:gutter="0"/>
          <w:pgNumType w:fmt="numberInDash"/>
          <w:cols w:space="720" w:num="1"/>
          <w:docGrid w:type="lines" w:linePitch="312" w:charSpace="0"/>
        </w:sectPr>
      </w:pPr>
    </w:p>
    <w:tbl>
      <w:tblPr>
        <w:tblStyle w:val="4"/>
        <w:tblW w:w="14757" w:type="dxa"/>
        <w:tblInd w:w="93" w:type="dxa"/>
        <w:tblLayout w:type="fixed"/>
        <w:tblCellMar>
          <w:top w:w="0" w:type="dxa"/>
          <w:left w:w="108" w:type="dxa"/>
          <w:bottom w:w="0" w:type="dxa"/>
          <w:right w:w="108" w:type="dxa"/>
        </w:tblCellMar>
      </w:tblPr>
      <w:tblGrid>
        <w:gridCol w:w="811"/>
        <w:gridCol w:w="1043"/>
        <w:gridCol w:w="1759"/>
        <w:gridCol w:w="1044"/>
        <w:gridCol w:w="1044"/>
        <w:gridCol w:w="1044"/>
        <w:gridCol w:w="1044"/>
        <w:gridCol w:w="1044"/>
        <w:gridCol w:w="1044"/>
        <w:gridCol w:w="1044"/>
        <w:gridCol w:w="1044"/>
        <w:gridCol w:w="1045"/>
        <w:gridCol w:w="897"/>
        <w:gridCol w:w="850"/>
      </w:tblGrid>
      <w:tr>
        <w:tblPrEx>
          <w:tblLayout w:type="fixed"/>
          <w:tblCellMar>
            <w:top w:w="0" w:type="dxa"/>
            <w:left w:w="108" w:type="dxa"/>
            <w:bottom w:w="0" w:type="dxa"/>
            <w:right w:w="108" w:type="dxa"/>
          </w:tblCellMar>
        </w:tblPrEx>
        <w:trPr>
          <w:trHeight w:val="374" w:hRule="atLeast"/>
        </w:trPr>
        <w:tc>
          <w:tcPr>
            <w:tcW w:w="14757" w:type="dxa"/>
            <w:gridSpan w:val="14"/>
            <w:tcBorders>
              <w:top w:val="nil"/>
              <w:left w:val="nil"/>
              <w:bottom w:val="nil"/>
            </w:tcBorders>
            <w:vAlign w:val="center"/>
          </w:tcPr>
          <w:p>
            <w:pPr>
              <w:widowControl/>
              <w:jc w:val="left"/>
              <w:rPr>
                <w:rFonts w:ascii="黑体" w:hAnsi="黑体" w:eastAsia="黑体" w:cs="宋体"/>
                <w:color w:val="000000"/>
                <w:kern w:val="0"/>
                <w:sz w:val="22"/>
                <w:szCs w:val="22"/>
              </w:rPr>
            </w:pPr>
            <w:r>
              <w:rPr>
                <w:rFonts w:hint="eastAsia" w:ascii="黑体" w:hAnsi="黑体" w:eastAsia="黑体" w:cs="宋体"/>
                <w:color w:val="000000"/>
                <w:kern w:val="0"/>
                <w:sz w:val="32"/>
                <w:szCs w:val="32"/>
              </w:rPr>
              <w:t>附件2</w:t>
            </w:r>
          </w:p>
        </w:tc>
      </w:tr>
      <w:tr>
        <w:tblPrEx>
          <w:tblLayout w:type="fixed"/>
          <w:tblCellMar>
            <w:top w:w="0" w:type="dxa"/>
            <w:left w:w="108" w:type="dxa"/>
            <w:bottom w:w="0" w:type="dxa"/>
            <w:right w:w="108" w:type="dxa"/>
          </w:tblCellMar>
        </w:tblPrEx>
        <w:trPr>
          <w:trHeight w:val="449" w:hRule="atLeast"/>
        </w:trPr>
        <w:tc>
          <w:tcPr>
            <w:tcW w:w="14757" w:type="dxa"/>
            <w:gridSpan w:val="14"/>
            <w:tcBorders>
              <w:top w:val="nil"/>
              <w:left w:val="nil"/>
              <w:bottom w:val="nil"/>
              <w:right w:val="nil"/>
            </w:tcBorders>
            <w:vAlign w:val="center"/>
          </w:tcPr>
          <w:p>
            <w:pPr>
              <w:widowControl/>
              <w:jc w:val="center"/>
              <w:rPr>
                <w:rFonts w:hint="eastAsia" w:ascii="方正小标宋简体" w:hAnsi="黑体" w:eastAsia="方正小标宋简体" w:cs="宋体"/>
                <w:color w:val="000000"/>
                <w:kern w:val="0"/>
                <w:sz w:val="44"/>
                <w:szCs w:val="44"/>
                <w:lang w:val="en-US" w:eastAsia="zh-CN"/>
              </w:rPr>
            </w:pPr>
            <w:r>
              <w:rPr>
                <w:rFonts w:hint="eastAsia" w:ascii="方正小标宋简体" w:hAnsi="黑体" w:eastAsia="方正小标宋简体" w:cs="宋体"/>
                <w:color w:val="000000"/>
                <w:kern w:val="0"/>
                <w:sz w:val="44"/>
                <w:szCs w:val="44"/>
                <w:lang w:val="en-US" w:eastAsia="zh-CN"/>
              </w:rPr>
              <w:t>粉尘作业场所30人及以上金属粉尘、木粉尘、粮食饲料等</w:t>
            </w:r>
          </w:p>
          <w:p>
            <w:pPr>
              <w:widowControl/>
              <w:jc w:val="center"/>
              <w:rPr>
                <w:rFonts w:ascii="宋体" w:hAnsi="宋体" w:cs="宋体"/>
                <w:color w:val="000000"/>
                <w:kern w:val="0"/>
                <w:sz w:val="22"/>
                <w:szCs w:val="22"/>
              </w:rPr>
            </w:pPr>
            <w:r>
              <w:rPr>
                <w:rFonts w:hint="eastAsia" w:ascii="方正小标宋简体" w:hAnsi="黑体" w:eastAsia="方正小标宋简体" w:cs="宋体"/>
                <w:color w:val="000000"/>
                <w:kern w:val="0"/>
                <w:sz w:val="44"/>
                <w:szCs w:val="44"/>
                <w:lang w:val="en-US" w:eastAsia="zh-CN"/>
              </w:rPr>
              <w:t>农副产品粉尘企业检查整改情况调度表</w:t>
            </w:r>
          </w:p>
        </w:tc>
      </w:tr>
      <w:tr>
        <w:tblPrEx>
          <w:tblLayout w:type="fixed"/>
          <w:tblCellMar>
            <w:top w:w="0" w:type="dxa"/>
            <w:left w:w="108" w:type="dxa"/>
            <w:bottom w:w="0" w:type="dxa"/>
            <w:right w:w="108" w:type="dxa"/>
          </w:tblCellMar>
        </w:tblPrEx>
        <w:trPr>
          <w:trHeight w:val="389" w:hRule="atLeast"/>
        </w:trPr>
        <w:tc>
          <w:tcPr>
            <w:tcW w:w="1854" w:type="dxa"/>
            <w:gridSpan w:val="2"/>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填报单位：</w:t>
            </w:r>
          </w:p>
        </w:tc>
        <w:tc>
          <w:tcPr>
            <w:tcW w:w="1759"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044"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044"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044"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044"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044"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2088" w:type="dxa"/>
            <w:gridSpan w:val="2"/>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填报人：</w:t>
            </w:r>
          </w:p>
        </w:tc>
        <w:tc>
          <w:tcPr>
            <w:tcW w:w="1044" w:type="dxa"/>
            <w:tcBorders>
              <w:top w:val="nil"/>
              <w:left w:val="nil"/>
              <w:bottom w:val="nil"/>
              <w:right w:val="nil"/>
            </w:tcBorders>
            <w:vAlign w:val="center"/>
          </w:tcPr>
          <w:p>
            <w:pPr>
              <w:widowControl/>
              <w:jc w:val="left"/>
              <w:rPr>
                <w:rFonts w:hint="eastAsia" w:ascii="仿宋" w:hAnsi="仿宋" w:eastAsia="仿宋" w:cs="仿宋"/>
                <w:color w:val="000000"/>
                <w:kern w:val="0"/>
                <w:sz w:val="24"/>
              </w:rPr>
            </w:pPr>
          </w:p>
        </w:tc>
        <w:tc>
          <w:tcPr>
            <w:tcW w:w="1045" w:type="dxa"/>
            <w:tcBorders>
              <w:top w:val="nil"/>
              <w:left w:val="nil"/>
              <w:bottom w:val="nil"/>
              <w:right w:val="nil"/>
            </w:tcBorders>
            <w:vAlign w:val="center"/>
          </w:tcPr>
          <w:p>
            <w:pPr>
              <w:widowControl/>
              <w:jc w:val="left"/>
              <w:rPr>
                <w:rFonts w:hint="eastAsia" w:ascii="仿宋" w:hAnsi="仿宋" w:eastAsia="仿宋" w:cs="仿宋"/>
                <w:color w:val="000000"/>
                <w:kern w:val="0"/>
                <w:sz w:val="24"/>
              </w:rPr>
            </w:pPr>
          </w:p>
        </w:tc>
        <w:tc>
          <w:tcPr>
            <w:tcW w:w="897" w:type="dxa"/>
            <w:tcBorders>
              <w:top w:val="nil"/>
              <w:left w:val="nil"/>
              <w:bottom w:val="nil"/>
              <w:right w:val="nil"/>
            </w:tcBorders>
            <w:vAlign w:val="center"/>
          </w:tcPr>
          <w:p>
            <w:pPr>
              <w:widowControl/>
              <w:jc w:val="left"/>
              <w:rPr>
                <w:rFonts w:hint="eastAsia" w:ascii="仿宋" w:hAnsi="仿宋" w:eastAsia="仿宋" w:cs="仿宋"/>
                <w:color w:val="000000"/>
                <w:kern w:val="0"/>
                <w:sz w:val="22"/>
                <w:szCs w:val="22"/>
              </w:rPr>
            </w:pPr>
          </w:p>
        </w:tc>
        <w:tc>
          <w:tcPr>
            <w:tcW w:w="850" w:type="dxa"/>
            <w:tcBorders>
              <w:top w:val="nil"/>
              <w:left w:val="nil"/>
              <w:bottom w:val="nil"/>
              <w:right w:val="nil"/>
            </w:tcBorders>
            <w:vAlign w:val="center"/>
          </w:tcPr>
          <w:p>
            <w:pPr>
              <w:widowControl/>
              <w:jc w:val="left"/>
              <w:rPr>
                <w:rFonts w:hint="eastAsia" w:ascii="仿宋" w:hAnsi="仿宋" w:eastAsia="仿宋" w:cs="仿宋"/>
                <w:color w:val="000000"/>
                <w:kern w:val="0"/>
                <w:sz w:val="22"/>
                <w:szCs w:val="22"/>
              </w:rPr>
            </w:pPr>
          </w:p>
        </w:tc>
      </w:tr>
      <w:tr>
        <w:tblPrEx>
          <w:tblLayout w:type="fixed"/>
          <w:tblCellMar>
            <w:top w:w="0" w:type="dxa"/>
            <w:left w:w="108" w:type="dxa"/>
            <w:bottom w:w="0" w:type="dxa"/>
            <w:right w:w="108" w:type="dxa"/>
          </w:tblCellMar>
        </w:tblPrEx>
        <w:trPr>
          <w:trHeight w:val="493" w:hRule="atLeast"/>
        </w:trPr>
        <w:tc>
          <w:tcPr>
            <w:tcW w:w="811" w:type="dxa"/>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1043" w:type="dxa"/>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区县</w:t>
            </w:r>
          </w:p>
        </w:tc>
        <w:tc>
          <w:tcPr>
            <w:tcW w:w="1759" w:type="dxa"/>
            <w:vMerge w:val="restart"/>
            <w:tcBorders>
              <w:top w:val="single" w:color="auto" w:sz="8" w:space="0"/>
              <w:left w:val="single" w:color="auto" w:sz="8" w:space="0"/>
              <w:bottom w:val="nil"/>
              <w:right w:val="single" w:color="000000"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企业名称</w:t>
            </w:r>
          </w:p>
        </w:tc>
        <w:tc>
          <w:tcPr>
            <w:tcW w:w="1044" w:type="dxa"/>
            <w:vMerge w:val="restart"/>
            <w:tcBorders>
              <w:top w:val="single" w:color="auto" w:sz="8" w:space="0"/>
              <w:left w:val="single" w:color="000000" w:sz="8" w:space="0"/>
              <w:bottom w:val="nil"/>
              <w:right w:val="single" w:color="000000"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粉尘种类</w:t>
            </w:r>
          </w:p>
        </w:tc>
        <w:tc>
          <w:tcPr>
            <w:tcW w:w="1044" w:type="dxa"/>
            <w:vMerge w:val="restart"/>
            <w:tcBorders>
              <w:top w:val="single" w:color="auto" w:sz="8" w:space="0"/>
              <w:left w:val="single" w:color="000000" w:sz="8" w:space="0"/>
              <w:bottom w:val="nil"/>
              <w:right w:val="single" w:color="000000"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涉粉作业人数</w:t>
            </w:r>
          </w:p>
        </w:tc>
        <w:tc>
          <w:tcPr>
            <w:tcW w:w="4176" w:type="dxa"/>
            <w:gridSpan w:val="4"/>
            <w:tcBorders>
              <w:top w:val="single" w:color="000000" w:sz="8" w:space="0"/>
              <w:left w:val="nil"/>
              <w:bottom w:val="single" w:color="000000" w:sz="8" w:space="0"/>
              <w:right w:val="single" w:color="000000"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检查发现的重点问题和隐患</w:t>
            </w:r>
          </w:p>
        </w:tc>
        <w:tc>
          <w:tcPr>
            <w:tcW w:w="4030" w:type="dxa"/>
            <w:gridSpan w:val="4"/>
            <w:tcBorders>
              <w:top w:val="single" w:color="000000" w:sz="8" w:space="0"/>
              <w:left w:val="nil"/>
              <w:bottom w:val="single" w:color="000000" w:sz="8" w:space="0"/>
              <w:right w:val="nil"/>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重点问题和隐患是否整改完成</w:t>
            </w:r>
          </w:p>
        </w:tc>
        <w:tc>
          <w:tcPr>
            <w:tcW w:w="850" w:type="dxa"/>
            <w:vMerge w:val="restart"/>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市级部门是否进行了督导核查</w:t>
            </w:r>
          </w:p>
        </w:tc>
      </w:tr>
      <w:tr>
        <w:tblPrEx>
          <w:tblLayout w:type="fixed"/>
          <w:tblCellMar>
            <w:top w:w="0" w:type="dxa"/>
            <w:left w:w="108" w:type="dxa"/>
            <w:bottom w:w="0" w:type="dxa"/>
            <w:right w:w="108" w:type="dxa"/>
          </w:tblCellMar>
        </w:tblPrEx>
        <w:trPr>
          <w:trHeight w:val="1032" w:hRule="atLeast"/>
        </w:trPr>
        <w:tc>
          <w:tcPr>
            <w:tcW w:w="811" w:type="dxa"/>
            <w:vMerge w:val="continue"/>
            <w:tcBorders>
              <w:top w:val="single" w:color="auto" w:sz="8" w:space="0"/>
              <w:left w:val="single" w:color="auto" w:sz="8" w:space="0"/>
              <w:bottom w:val="nil"/>
              <w:right w:val="single" w:color="auto" w:sz="8" w:space="0"/>
            </w:tcBorders>
            <w:shd w:val="clear" w:color="auto" w:fill="auto"/>
            <w:vAlign w:val="center"/>
          </w:tcPr>
          <w:p>
            <w:pPr>
              <w:widowControl/>
              <w:jc w:val="left"/>
              <w:rPr>
                <w:rFonts w:ascii="黑体" w:hAnsi="黑体" w:eastAsia="黑体" w:cs="宋体"/>
                <w:color w:val="000000"/>
                <w:kern w:val="0"/>
                <w:sz w:val="24"/>
              </w:rPr>
            </w:pPr>
          </w:p>
        </w:tc>
        <w:tc>
          <w:tcPr>
            <w:tcW w:w="1043" w:type="dxa"/>
            <w:vMerge w:val="continue"/>
            <w:tcBorders>
              <w:top w:val="single" w:color="auto" w:sz="8" w:space="0"/>
              <w:left w:val="single" w:color="auto" w:sz="8" w:space="0"/>
              <w:bottom w:val="nil"/>
              <w:right w:val="single" w:color="auto" w:sz="8" w:space="0"/>
            </w:tcBorders>
            <w:shd w:val="clear" w:color="auto" w:fill="auto"/>
            <w:vAlign w:val="center"/>
          </w:tcPr>
          <w:p>
            <w:pPr>
              <w:widowControl/>
              <w:jc w:val="left"/>
              <w:rPr>
                <w:rFonts w:ascii="黑体" w:hAnsi="黑体" w:eastAsia="黑体" w:cs="宋体"/>
                <w:color w:val="000000"/>
                <w:kern w:val="0"/>
                <w:sz w:val="24"/>
              </w:rPr>
            </w:pPr>
          </w:p>
        </w:tc>
        <w:tc>
          <w:tcPr>
            <w:tcW w:w="1759" w:type="dxa"/>
            <w:vMerge w:val="continue"/>
            <w:tcBorders>
              <w:top w:val="single" w:color="auto" w:sz="8" w:space="0"/>
              <w:left w:val="single" w:color="auto" w:sz="8" w:space="0"/>
              <w:bottom w:val="nil"/>
              <w:right w:val="single" w:color="000000" w:sz="8" w:space="0"/>
            </w:tcBorders>
            <w:shd w:val="clear" w:color="auto" w:fill="auto"/>
            <w:vAlign w:val="center"/>
          </w:tcPr>
          <w:p>
            <w:pPr>
              <w:widowControl/>
              <w:jc w:val="left"/>
              <w:rPr>
                <w:rFonts w:ascii="黑体" w:hAnsi="黑体" w:eastAsia="黑体" w:cs="宋体"/>
                <w:color w:val="000000"/>
                <w:kern w:val="0"/>
                <w:sz w:val="24"/>
              </w:rPr>
            </w:pPr>
          </w:p>
        </w:tc>
        <w:tc>
          <w:tcPr>
            <w:tcW w:w="1044" w:type="dxa"/>
            <w:vMerge w:val="continue"/>
            <w:tcBorders>
              <w:top w:val="single" w:color="auto" w:sz="8" w:space="0"/>
              <w:left w:val="single" w:color="000000" w:sz="8" w:space="0"/>
              <w:bottom w:val="nil"/>
              <w:right w:val="single" w:color="000000" w:sz="8" w:space="0"/>
            </w:tcBorders>
            <w:shd w:val="clear" w:color="auto" w:fill="auto"/>
            <w:vAlign w:val="center"/>
          </w:tcPr>
          <w:p>
            <w:pPr>
              <w:widowControl/>
              <w:jc w:val="left"/>
              <w:rPr>
                <w:rFonts w:ascii="黑体" w:hAnsi="黑体" w:eastAsia="黑体" w:cs="宋体"/>
                <w:color w:val="000000"/>
                <w:kern w:val="0"/>
                <w:sz w:val="24"/>
              </w:rPr>
            </w:pPr>
          </w:p>
        </w:tc>
        <w:tc>
          <w:tcPr>
            <w:tcW w:w="1044" w:type="dxa"/>
            <w:vMerge w:val="continue"/>
            <w:tcBorders>
              <w:top w:val="single" w:color="auto" w:sz="8" w:space="0"/>
              <w:left w:val="single" w:color="000000" w:sz="8" w:space="0"/>
              <w:bottom w:val="nil"/>
              <w:right w:val="single" w:color="000000" w:sz="8" w:space="0"/>
            </w:tcBorders>
            <w:shd w:val="clear" w:color="auto" w:fill="auto"/>
            <w:vAlign w:val="center"/>
          </w:tcPr>
          <w:p>
            <w:pPr>
              <w:widowControl/>
              <w:jc w:val="left"/>
              <w:rPr>
                <w:rFonts w:ascii="黑体" w:hAnsi="黑体" w:eastAsia="黑体" w:cs="宋体"/>
                <w:color w:val="000000"/>
                <w:kern w:val="0"/>
                <w:sz w:val="24"/>
              </w:rPr>
            </w:pPr>
          </w:p>
        </w:tc>
        <w:tc>
          <w:tcPr>
            <w:tcW w:w="1044" w:type="dxa"/>
            <w:tcBorders>
              <w:top w:val="nil"/>
              <w:left w:val="nil"/>
              <w:bottom w:val="nil"/>
              <w:right w:val="single" w:color="000000" w:sz="8" w:space="0"/>
            </w:tcBorders>
            <w:shd w:val="clear" w:color="000000" w:fill="FFFFFF"/>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建构</w:t>
            </w:r>
          </w:p>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筑物</w:t>
            </w:r>
          </w:p>
        </w:tc>
        <w:tc>
          <w:tcPr>
            <w:tcW w:w="1044" w:type="dxa"/>
            <w:tcBorders>
              <w:top w:val="nil"/>
              <w:left w:val="nil"/>
              <w:bottom w:val="nil"/>
              <w:right w:val="single" w:color="000000" w:sz="8" w:space="0"/>
            </w:tcBorders>
            <w:shd w:val="clear" w:color="000000" w:fill="FFFFFF"/>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除尘</w:t>
            </w:r>
          </w:p>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系统</w:t>
            </w:r>
          </w:p>
        </w:tc>
        <w:tc>
          <w:tcPr>
            <w:tcW w:w="1044" w:type="dxa"/>
            <w:tcBorders>
              <w:top w:val="nil"/>
              <w:left w:val="nil"/>
              <w:bottom w:val="nil"/>
              <w:right w:val="single" w:color="000000" w:sz="8" w:space="0"/>
            </w:tcBorders>
            <w:shd w:val="clear" w:color="auto" w:fill="auto"/>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防火</w:t>
            </w:r>
          </w:p>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防爆</w:t>
            </w:r>
          </w:p>
        </w:tc>
        <w:tc>
          <w:tcPr>
            <w:tcW w:w="1044" w:type="dxa"/>
            <w:tcBorders>
              <w:top w:val="nil"/>
              <w:left w:val="nil"/>
              <w:bottom w:val="nil"/>
              <w:right w:val="single" w:color="000000" w:sz="8" w:space="0"/>
            </w:tcBorders>
            <w:shd w:val="clear" w:color="000000" w:fill="FFFFFF"/>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粉尘</w:t>
            </w:r>
          </w:p>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清理</w:t>
            </w:r>
          </w:p>
        </w:tc>
        <w:tc>
          <w:tcPr>
            <w:tcW w:w="1044" w:type="dxa"/>
            <w:tcBorders>
              <w:top w:val="nil"/>
              <w:left w:val="nil"/>
              <w:bottom w:val="nil"/>
              <w:right w:val="single" w:color="000000" w:sz="8" w:space="0"/>
            </w:tcBorders>
            <w:shd w:val="clear" w:color="000000" w:fill="FFFFFF"/>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建构</w:t>
            </w:r>
          </w:p>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筑物</w:t>
            </w:r>
          </w:p>
        </w:tc>
        <w:tc>
          <w:tcPr>
            <w:tcW w:w="1044" w:type="dxa"/>
            <w:tcBorders>
              <w:top w:val="nil"/>
              <w:left w:val="nil"/>
              <w:bottom w:val="nil"/>
              <w:right w:val="single" w:color="000000" w:sz="8" w:space="0"/>
            </w:tcBorders>
            <w:shd w:val="clear" w:color="000000" w:fill="FFFFFF"/>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除尘</w:t>
            </w:r>
          </w:p>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系统</w:t>
            </w:r>
          </w:p>
        </w:tc>
        <w:tc>
          <w:tcPr>
            <w:tcW w:w="1045" w:type="dxa"/>
            <w:tcBorders>
              <w:top w:val="nil"/>
              <w:left w:val="nil"/>
              <w:bottom w:val="nil"/>
              <w:right w:val="single" w:color="000000" w:sz="8" w:space="0"/>
            </w:tcBorders>
            <w:shd w:val="clear" w:color="auto" w:fill="auto"/>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防火</w:t>
            </w:r>
          </w:p>
          <w:p>
            <w:pPr>
              <w:widowControl/>
              <w:jc w:val="center"/>
              <w:rPr>
                <w:rFonts w:ascii="黑体" w:hAnsi="黑体" w:eastAsia="黑体" w:cs="宋体"/>
                <w:color w:val="000000"/>
                <w:kern w:val="0"/>
                <w:sz w:val="22"/>
                <w:szCs w:val="22"/>
              </w:rPr>
            </w:pPr>
            <w:r>
              <w:rPr>
                <w:rFonts w:hint="eastAsia" w:ascii="黑体" w:hAnsi="黑体" w:eastAsia="黑体" w:cs="宋体"/>
                <w:color w:val="000000"/>
                <w:kern w:val="0"/>
                <w:sz w:val="22"/>
                <w:szCs w:val="22"/>
              </w:rPr>
              <w:t>防爆</w:t>
            </w:r>
          </w:p>
        </w:tc>
        <w:tc>
          <w:tcPr>
            <w:tcW w:w="897" w:type="dxa"/>
            <w:tcBorders>
              <w:top w:val="nil"/>
              <w:left w:val="nil"/>
              <w:bottom w:val="nil"/>
              <w:right w:val="nil"/>
            </w:tcBorders>
            <w:shd w:val="clear" w:color="000000" w:fill="FFFFFF"/>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粉尘</w:t>
            </w:r>
          </w:p>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清理</w:t>
            </w:r>
          </w:p>
        </w:tc>
        <w:tc>
          <w:tcPr>
            <w:tcW w:w="850"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黑体" w:hAnsi="黑体" w:eastAsia="黑体" w:cs="宋体"/>
                <w:color w:val="000000"/>
                <w:kern w:val="0"/>
                <w:sz w:val="24"/>
              </w:rPr>
            </w:pPr>
          </w:p>
        </w:tc>
      </w:tr>
      <w:tr>
        <w:tblPrEx>
          <w:tblLayout w:type="fixed"/>
          <w:tblCellMar>
            <w:top w:w="0" w:type="dxa"/>
            <w:left w:w="108" w:type="dxa"/>
            <w:bottom w:w="0" w:type="dxa"/>
            <w:right w:w="108" w:type="dxa"/>
          </w:tblCellMar>
        </w:tblPrEx>
        <w:trPr>
          <w:trHeight w:val="284" w:hRule="atLeast"/>
        </w:trPr>
        <w:tc>
          <w:tcPr>
            <w:tcW w:w="8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9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69" w:hRule="atLeast"/>
        </w:trPr>
        <w:tc>
          <w:tcPr>
            <w:tcW w:w="8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9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69" w:hRule="atLeast"/>
        </w:trPr>
        <w:tc>
          <w:tcPr>
            <w:tcW w:w="8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9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69" w:hRule="atLeast"/>
        </w:trPr>
        <w:tc>
          <w:tcPr>
            <w:tcW w:w="8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9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69" w:hRule="atLeast"/>
        </w:trPr>
        <w:tc>
          <w:tcPr>
            <w:tcW w:w="8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5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4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9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11" w:hRule="atLeast"/>
        </w:trPr>
        <w:tc>
          <w:tcPr>
            <w:tcW w:w="14757" w:type="dxa"/>
            <w:gridSpan w:val="14"/>
            <w:tcBorders>
              <w:top w:val="single" w:color="auto" w:sz="4" w:space="0"/>
              <w:left w:val="nil"/>
              <w:bottom w:val="nil"/>
              <w:right w:val="nil"/>
            </w:tcBorders>
            <w:vAlign w:val="center"/>
          </w:tcPr>
          <w:p>
            <w:pPr>
              <w:widowControl/>
              <w:ind w:left="220" w:hanging="220" w:hangingChars="100"/>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检查发现的重点问题和隐患：按“10大重点问题和隐患”四个方面分类填写检查出的具体问题和隐患的序号“1,2…10”。如检查出隐患为“干式除尘系统未规范采用泄爆、隔爆、惰化、抑爆等任一种控爆措施。”，则填写为“3”，有多项则填写多项，没有填“无”。</w:t>
            </w:r>
          </w:p>
        </w:tc>
      </w:tr>
      <w:tr>
        <w:tblPrEx>
          <w:tblLayout w:type="fixed"/>
          <w:tblCellMar>
            <w:top w:w="0" w:type="dxa"/>
            <w:left w:w="108" w:type="dxa"/>
            <w:bottom w:w="0" w:type="dxa"/>
            <w:right w:w="108" w:type="dxa"/>
          </w:tblCellMar>
        </w:tblPrEx>
        <w:trPr>
          <w:trHeight w:val="269" w:hRule="atLeast"/>
        </w:trPr>
        <w:tc>
          <w:tcPr>
            <w:tcW w:w="14757" w:type="dxa"/>
            <w:gridSpan w:val="14"/>
            <w:tcBorders>
              <w:top w:val="nil"/>
              <w:left w:val="nil"/>
              <w:bottom w:val="nil"/>
              <w:right w:val="nil"/>
            </w:tcBorders>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2.重点问题和隐患是否整改完成：按“10大重点问题和隐患”四个方面分类填写，完成“是”，未完成“否”。</w:t>
            </w:r>
          </w:p>
        </w:tc>
      </w:tr>
      <w:tr>
        <w:tblPrEx>
          <w:tblLayout w:type="fixed"/>
          <w:tblCellMar>
            <w:top w:w="0" w:type="dxa"/>
            <w:left w:w="108" w:type="dxa"/>
            <w:bottom w:w="0" w:type="dxa"/>
            <w:right w:w="108" w:type="dxa"/>
          </w:tblCellMar>
        </w:tblPrEx>
        <w:trPr>
          <w:trHeight w:val="269" w:hRule="atLeast"/>
        </w:trPr>
        <w:tc>
          <w:tcPr>
            <w:tcW w:w="14757" w:type="dxa"/>
            <w:gridSpan w:val="14"/>
            <w:tcBorders>
              <w:top w:val="nil"/>
              <w:left w:val="nil"/>
              <w:bottom w:val="nil"/>
              <w:right w:val="nil"/>
            </w:tcBorders>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3.市级部门是否进行了督导核查：指是否在检查、执法或整改等环节，对该企业进行了督导核查。</w:t>
            </w:r>
          </w:p>
        </w:tc>
      </w:tr>
    </w:tbl>
    <w:p>
      <w:pPr>
        <w:rPr>
          <w:rFonts w:hint="eastAsia" w:ascii="仿宋" w:hAnsi="仿宋" w:eastAsia="仿宋" w:cs="仿宋"/>
          <w:sz w:val="32"/>
          <w:szCs w:val="32"/>
          <w:lang w:val="en-US" w:eastAsia="zh-CN"/>
        </w:rPr>
        <w:sectPr>
          <w:pgSz w:w="16838" w:h="11906" w:orient="landscape"/>
          <w:pgMar w:top="1800" w:right="1440" w:bottom="180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黑体" w:eastAsia="方正小标宋简体" w:cs="宋体"/>
          <w:color w:val="000000"/>
          <w:kern w:val="0"/>
          <w:sz w:val="36"/>
          <w:szCs w:val="36"/>
          <w:lang w:val="en-US" w:eastAsia="zh-CN"/>
        </w:rPr>
      </w:pPr>
      <w:r>
        <w:rPr>
          <w:rFonts w:hint="eastAsia" w:ascii="方正小标宋简体" w:hAnsi="黑体" w:eastAsia="方正小标宋简体" w:cs="宋体"/>
          <w:color w:val="000000"/>
          <w:kern w:val="0"/>
          <w:sz w:val="44"/>
          <w:szCs w:val="44"/>
          <w:lang w:val="en-US" w:eastAsia="zh-CN"/>
        </w:rPr>
        <w:t>粉尘涉爆企业执法检查表</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eastAsia="仿宋_GB2312"/>
          <w:sz w:val="28"/>
          <w:szCs w:val="28"/>
          <w:u w:val="single"/>
        </w:rPr>
      </w:pPr>
      <w:r>
        <w:rPr>
          <w:rFonts w:hint="eastAsia" w:ascii="仿宋_GB2312" w:eastAsia="仿宋_GB2312"/>
          <w:sz w:val="28"/>
          <w:szCs w:val="28"/>
        </w:rPr>
        <w:t>企业名称（地址）：</w:t>
      </w:r>
      <w:r>
        <w:rPr>
          <w:rFonts w:hint="eastAsia" w:ascii="仿宋_GB2312" w:eastAsia="仿宋_GB2312"/>
          <w:sz w:val="28"/>
          <w:szCs w:val="28"/>
          <w:u w:val="single"/>
        </w:rPr>
        <w:t xml:space="preserve">                </w:t>
      </w:r>
      <w:r>
        <w:rPr>
          <w:rFonts w:hint="eastAsia" w:ascii="仿宋_GB2312" w:eastAsia="仿宋_GB2312"/>
          <w:sz w:val="28"/>
          <w:szCs w:val="28"/>
        </w:rPr>
        <w:t xml:space="preserve"> 检查单位：</w:t>
      </w:r>
      <w:r>
        <w:rPr>
          <w:rFonts w:hint="eastAsia" w:ascii="仿宋_GB2312" w:eastAsia="仿宋_GB2312"/>
          <w:sz w:val="28"/>
          <w:szCs w:val="28"/>
          <w:u w:val="single"/>
        </w:rPr>
        <w:t xml:space="preserve">             </w:t>
      </w:r>
      <w:r>
        <w:rPr>
          <w:rFonts w:hint="eastAsia" w:ascii="仿宋_GB2312" w:eastAsia="仿宋_GB2312"/>
          <w:sz w:val="28"/>
          <w:szCs w:val="28"/>
        </w:rPr>
        <w:t xml:space="preserve"> 检查人员：</w:t>
      </w:r>
      <w:r>
        <w:rPr>
          <w:rFonts w:hint="eastAsia" w:ascii="仿宋_GB2312" w:eastAsia="仿宋_GB2312"/>
          <w:sz w:val="28"/>
          <w:szCs w:val="28"/>
          <w:u w:val="single"/>
        </w:rPr>
        <w:t xml:space="preserve">          </w:t>
      </w:r>
      <w:r>
        <w:rPr>
          <w:rFonts w:hint="eastAsia" w:ascii="仿宋_GB2312" w:eastAsia="仿宋_GB2312"/>
          <w:sz w:val="28"/>
          <w:szCs w:val="28"/>
        </w:rPr>
        <w:t xml:space="preserve"> 检查日期：</w:t>
      </w:r>
      <w:r>
        <w:rPr>
          <w:rFonts w:hint="eastAsia" w:ascii="仿宋_GB2312" w:eastAsia="仿宋_GB2312"/>
          <w:sz w:val="28"/>
          <w:szCs w:val="28"/>
          <w:u w:val="single"/>
        </w:rPr>
        <w:t xml:space="preserve">          </w:t>
      </w:r>
    </w:p>
    <w:tbl>
      <w:tblPr>
        <w:tblStyle w:val="4"/>
        <w:tblW w:w="13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2"/>
        <w:gridCol w:w="8142"/>
        <w:gridCol w:w="3057"/>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7" w:hRule="atLeast"/>
        </w:trPr>
        <w:tc>
          <w:tcPr>
            <w:tcW w:w="1242"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黑体" w:hAnsi="黑体" w:eastAsia="黑体" w:cs="黑体"/>
                <w:b w:val="0"/>
                <w:bCs/>
                <w:sz w:val="24"/>
                <w:szCs w:val="24"/>
              </w:rPr>
            </w:pPr>
            <w:r>
              <w:rPr>
                <w:rFonts w:hint="eastAsia" w:ascii="黑体" w:hAnsi="黑体" w:eastAsia="黑体" w:cs="黑体"/>
                <w:b w:val="0"/>
                <w:bCs/>
                <w:sz w:val="24"/>
                <w:szCs w:val="24"/>
              </w:rPr>
              <w:t>检查类别</w:t>
            </w:r>
          </w:p>
        </w:tc>
        <w:tc>
          <w:tcPr>
            <w:tcW w:w="8142"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02" w:firstLineChars="0"/>
              <w:jc w:val="center"/>
              <w:textAlignment w:val="auto"/>
              <w:outlineLvl w:val="9"/>
              <w:rPr>
                <w:rFonts w:hint="eastAsia" w:ascii="黑体" w:hAnsi="黑体" w:eastAsia="黑体" w:cs="黑体"/>
                <w:b w:val="0"/>
                <w:bCs/>
                <w:sz w:val="24"/>
                <w:szCs w:val="24"/>
              </w:rPr>
            </w:pPr>
            <w:r>
              <w:rPr>
                <w:rFonts w:hint="eastAsia" w:ascii="黑体" w:hAnsi="黑体" w:eastAsia="黑体" w:cs="黑体"/>
                <w:b w:val="0"/>
                <w:bCs/>
                <w:sz w:val="24"/>
                <w:szCs w:val="24"/>
              </w:rPr>
              <w:t>检查项目</w:t>
            </w:r>
          </w:p>
        </w:tc>
        <w:tc>
          <w:tcPr>
            <w:tcW w:w="3057"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黑体" w:hAnsi="黑体" w:eastAsia="黑体" w:cs="黑体"/>
                <w:b w:val="0"/>
                <w:bCs/>
                <w:sz w:val="24"/>
                <w:szCs w:val="24"/>
              </w:rPr>
            </w:pPr>
            <w:r>
              <w:rPr>
                <w:rFonts w:hint="eastAsia" w:ascii="黑体" w:hAnsi="黑体" w:eastAsia="黑体" w:cs="黑体"/>
                <w:b w:val="0"/>
                <w:bCs/>
                <w:sz w:val="24"/>
                <w:szCs w:val="24"/>
              </w:rPr>
              <w:t>执法依据</w:t>
            </w:r>
          </w:p>
        </w:tc>
        <w:tc>
          <w:tcPr>
            <w:tcW w:w="1351"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黑体" w:hAnsi="黑体" w:eastAsia="黑体" w:cs="黑体"/>
                <w:b w:val="0"/>
                <w:bCs/>
                <w:sz w:val="24"/>
                <w:szCs w:val="24"/>
              </w:rPr>
            </w:pPr>
            <w:r>
              <w:rPr>
                <w:rFonts w:hint="eastAsia" w:ascii="黑体" w:hAnsi="黑体" w:eastAsia="黑体" w:cs="黑体"/>
                <w:b w:val="0"/>
                <w:bCs/>
                <w:sz w:val="24"/>
                <w:szCs w:val="24"/>
              </w:rPr>
              <w:t>执法结果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2" w:hRule="atLeast"/>
        </w:trPr>
        <w:tc>
          <w:tcPr>
            <w:tcW w:w="12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仿宋_GB2312" w:hAnsi="宋体" w:eastAsia="仿宋_GB2312" w:cs="宋体"/>
                <w:b/>
                <w:kern w:val="0"/>
                <w:sz w:val="24"/>
                <w:szCs w:val="24"/>
              </w:rPr>
            </w:pPr>
            <w:r>
              <w:rPr>
                <w:rFonts w:hint="eastAsia" w:ascii="仿宋_GB2312" w:hAnsi="宋体" w:eastAsia="仿宋_GB2312" w:cs="宋体"/>
                <w:b/>
                <w:kern w:val="0"/>
                <w:sz w:val="24"/>
                <w:szCs w:val="24"/>
              </w:rPr>
              <w:t>建构筑物</w:t>
            </w:r>
          </w:p>
        </w:tc>
        <w:tc>
          <w:tcPr>
            <w:tcW w:w="81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1.粉尘爆炸危险场所设置在非框架结构的多层建构筑物内或与居民区、员工宿舍、会议室等人员密集场所安全距离不足。</w:t>
            </w:r>
          </w:p>
        </w:tc>
        <w:tc>
          <w:tcPr>
            <w:tcW w:w="305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《安全生产法》第九十九条。</w:t>
            </w:r>
          </w:p>
        </w:tc>
        <w:tc>
          <w:tcPr>
            <w:tcW w:w="1351"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5" w:hRule="atLeast"/>
        </w:trPr>
        <w:tc>
          <w:tcPr>
            <w:tcW w:w="1242"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仿宋_GB2312" w:hAnsi="宋体" w:eastAsia="仿宋_GB2312"/>
                <w:b/>
                <w:sz w:val="24"/>
                <w:szCs w:val="24"/>
              </w:rPr>
            </w:pPr>
            <w:r>
              <w:rPr>
                <w:rFonts w:hint="eastAsia" w:ascii="仿宋_GB2312" w:hAnsi="宋体" w:eastAsia="仿宋_GB2312" w:cs="宋体"/>
                <w:b/>
                <w:kern w:val="0"/>
                <w:sz w:val="24"/>
                <w:szCs w:val="24"/>
              </w:rPr>
              <w:t>除尘系统</w:t>
            </w:r>
          </w:p>
        </w:tc>
        <w:tc>
          <w:tcPr>
            <w:tcW w:w="81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2.可燃性粉尘与可燃气体等易加剧爆炸危险的介质共用一套除尘系统，不同防火分区的除尘系统互联互通。</w:t>
            </w:r>
          </w:p>
        </w:tc>
        <w:tc>
          <w:tcPr>
            <w:tcW w:w="305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《安全生产法》第九十六条、第九十九条。</w:t>
            </w:r>
          </w:p>
        </w:tc>
        <w:tc>
          <w:tcPr>
            <w:tcW w:w="1351"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30" w:hRule="atLeast"/>
        </w:trPr>
        <w:tc>
          <w:tcPr>
            <w:tcW w:w="1242" w:type="dxa"/>
            <w:vMerge w:val="continue"/>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b/>
                <w:sz w:val="24"/>
                <w:szCs w:val="24"/>
              </w:rPr>
            </w:pPr>
          </w:p>
        </w:tc>
        <w:tc>
          <w:tcPr>
            <w:tcW w:w="81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3.干式除尘系统未规范采用泄爆、隔爆、惰化、抑爆等任一种控爆措施。</w:t>
            </w:r>
          </w:p>
        </w:tc>
        <w:tc>
          <w:tcPr>
            <w:tcW w:w="305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《安全生产法》第九十六条、第九十九条。</w:t>
            </w:r>
          </w:p>
        </w:tc>
        <w:tc>
          <w:tcPr>
            <w:tcW w:w="1351"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24" w:hRule="atLeast"/>
        </w:trPr>
        <w:tc>
          <w:tcPr>
            <w:tcW w:w="1242" w:type="dxa"/>
            <w:vMerge w:val="continue"/>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b/>
                <w:sz w:val="24"/>
                <w:szCs w:val="24"/>
              </w:rPr>
            </w:pPr>
          </w:p>
        </w:tc>
        <w:tc>
          <w:tcPr>
            <w:tcW w:w="81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4.除尘系统采用正压吹送粉尘，且未采取可靠的防范点燃源的措施。</w:t>
            </w:r>
          </w:p>
        </w:tc>
        <w:tc>
          <w:tcPr>
            <w:tcW w:w="305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《安全生产法》第九十六条、第九十九条。</w:t>
            </w:r>
          </w:p>
        </w:tc>
        <w:tc>
          <w:tcPr>
            <w:tcW w:w="1351"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4" w:hRule="atLeast"/>
        </w:trPr>
        <w:tc>
          <w:tcPr>
            <w:tcW w:w="1242" w:type="dxa"/>
            <w:vMerge w:val="continue"/>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b/>
                <w:sz w:val="32"/>
                <w:szCs w:val="32"/>
              </w:rPr>
            </w:pPr>
          </w:p>
        </w:tc>
        <w:tc>
          <w:tcPr>
            <w:tcW w:w="81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5.除尘系统采用粉尘沉降室除尘，或者采用干式巷道式构筑物作为除尘风道。</w:t>
            </w:r>
          </w:p>
        </w:tc>
        <w:tc>
          <w:tcPr>
            <w:tcW w:w="305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《安全生产法》第九十六条、第九十九条。</w:t>
            </w:r>
          </w:p>
        </w:tc>
        <w:tc>
          <w:tcPr>
            <w:tcW w:w="1351"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4" w:hRule="atLeast"/>
        </w:trPr>
        <w:tc>
          <w:tcPr>
            <w:tcW w:w="1242" w:type="dxa"/>
            <w:vMerge w:val="continue"/>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b/>
                <w:sz w:val="32"/>
                <w:szCs w:val="32"/>
              </w:rPr>
            </w:pPr>
          </w:p>
        </w:tc>
        <w:tc>
          <w:tcPr>
            <w:tcW w:w="81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6.铝镁等金属粉尘及木质粉尘的干式除尘系统未规范设置锁气卸灰装置。</w:t>
            </w:r>
          </w:p>
        </w:tc>
        <w:tc>
          <w:tcPr>
            <w:tcW w:w="305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《安全生产法》第九十六条、第九十九条。</w:t>
            </w:r>
          </w:p>
        </w:tc>
        <w:tc>
          <w:tcPr>
            <w:tcW w:w="1351"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8" w:hRule="atLeast"/>
        </w:trPr>
        <w:tc>
          <w:tcPr>
            <w:tcW w:w="1242"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宋体" w:hAnsi="宋体" w:cs="宋体"/>
                <w:b/>
                <w:kern w:val="0"/>
                <w:szCs w:val="21"/>
              </w:rPr>
            </w:pPr>
            <w:r>
              <w:rPr>
                <w:rFonts w:hint="eastAsia" w:ascii="仿宋_GB2312" w:hAnsi="宋体" w:eastAsia="仿宋_GB2312" w:cs="宋体"/>
                <w:b/>
                <w:kern w:val="0"/>
                <w:sz w:val="24"/>
                <w:szCs w:val="24"/>
              </w:rPr>
              <w:t>防火措施</w:t>
            </w:r>
          </w:p>
        </w:tc>
        <w:tc>
          <w:tcPr>
            <w:tcW w:w="81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7.粉尘爆炸危险场所的20区未使用防爆电气设备设施。</w:t>
            </w:r>
          </w:p>
        </w:tc>
        <w:tc>
          <w:tcPr>
            <w:tcW w:w="305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《安全生产法》第九十六条、第九十九条。</w:t>
            </w:r>
          </w:p>
        </w:tc>
        <w:tc>
          <w:tcPr>
            <w:tcW w:w="1351"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50" w:hRule="atLeast"/>
        </w:trPr>
        <w:tc>
          <w:tcPr>
            <w:tcW w:w="1242" w:type="dxa"/>
            <w:vMerge w:val="continue"/>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b/>
                <w:sz w:val="32"/>
                <w:szCs w:val="32"/>
              </w:rPr>
            </w:pPr>
          </w:p>
        </w:tc>
        <w:tc>
          <w:tcPr>
            <w:tcW w:w="81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8.在粉碎、研磨、造粒等易于产生机械点火源的工艺设备前，未按规范设置去除铁、石等异物的装置。</w:t>
            </w:r>
          </w:p>
        </w:tc>
        <w:tc>
          <w:tcPr>
            <w:tcW w:w="305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《安全生产法》第九十六条、第九十九条。</w:t>
            </w:r>
          </w:p>
        </w:tc>
        <w:tc>
          <w:tcPr>
            <w:tcW w:w="1351"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15" w:hRule="atLeast"/>
        </w:trPr>
        <w:tc>
          <w:tcPr>
            <w:tcW w:w="1242" w:type="dxa"/>
            <w:vMerge w:val="continue"/>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b/>
                <w:sz w:val="32"/>
                <w:szCs w:val="32"/>
              </w:rPr>
            </w:pPr>
          </w:p>
        </w:tc>
        <w:tc>
          <w:tcPr>
            <w:tcW w:w="81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9.木制品加工企业，与砂光机连接的风管未规范设置火花探测报警装置。</w:t>
            </w:r>
          </w:p>
        </w:tc>
        <w:tc>
          <w:tcPr>
            <w:tcW w:w="305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《安全生产法》第九十六条、第九十九条。</w:t>
            </w:r>
          </w:p>
        </w:tc>
        <w:tc>
          <w:tcPr>
            <w:tcW w:w="1351"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trPr>
        <w:tc>
          <w:tcPr>
            <w:tcW w:w="12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ascii="仿宋_GB2312" w:hAnsi="宋体" w:eastAsia="仿宋_GB2312" w:cs="宋体"/>
                <w:b/>
                <w:kern w:val="0"/>
                <w:sz w:val="24"/>
                <w:szCs w:val="24"/>
              </w:rPr>
            </w:pPr>
            <w:r>
              <w:rPr>
                <w:rFonts w:hint="eastAsia" w:ascii="仿宋_GB2312" w:hAnsi="宋体" w:eastAsia="仿宋_GB2312" w:cs="宋体"/>
                <w:b/>
                <w:kern w:val="0"/>
                <w:sz w:val="24"/>
                <w:szCs w:val="24"/>
              </w:rPr>
              <w:t>粉尘清扫</w:t>
            </w:r>
          </w:p>
        </w:tc>
        <w:tc>
          <w:tcPr>
            <w:tcW w:w="814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10.未制定粉尘清扫制度，作业现场积尘未及时规范清理。</w:t>
            </w:r>
          </w:p>
        </w:tc>
        <w:tc>
          <w:tcPr>
            <w:tcW w:w="3057"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《安全生产法》第九十九条。</w:t>
            </w:r>
          </w:p>
        </w:tc>
        <w:tc>
          <w:tcPr>
            <w:tcW w:w="1351" w:type="dxa"/>
            <w:vAlign w:val="top"/>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0" w:firstLineChars="0"/>
              <w:jc w:val="left"/>
              <w:textAlignment w:val="auto"/>
              <w:outlineLvl w:val="9"/>
              <w:rPr>
                <w:rFonts w:ascii="仿宋_GB2312" w:eastAsia="仿宋_GB2312"/>
                <w:sz w:val="32"/>
                <w:szCs w:val="32"/>
              </w:rPr>
            </w:pPr>
          </w:p>
        </w:tc>
      </w:tr>
    </w:tbl>
    <w:p>
      <w:pPr>
        <w:widowControl/>
        <w:jc w:val="left"/>
        <w:rPr>
          <w:rFonts w:hint="eastAsia" w:ascii="仿宋" w:hAnsi="仿宋" w:eastAsia="仿宋" w:cs="仿宋"/>
          <w:color w:val="000000"/>
          <w:kern w:val="0"/>
          <w:sz w:val="36"/>
          <w:szCs w:val="36"/>
          <w:lang w:val="en-US" w:eastAsia="zh-CN"/>
        </w:rPr>
        <w:sectPr>
          <w:pgSz w:w="16838" w:h="11906" w:orient="landscape"/>
          <w:pgMar w:top="1179" w:right="1440" w:bottom="1179" w:left="1440" w:header="851" w:footer="992" w:gutter="0"/>
          <w:pgNumType w:fmt="numberInDash"/>
          <w:cols w:space="720" w:num="1"/>
          <w:rtlGutter w:val="0"/>
          <w:docGrid w:type="lines" w:linePitch="312" w:charSpace="0"/>
        </w:sectPr>
      </w:pPr>
    </w:p>
    <w:tbl>
      <w:tblPr>
        <w:tblStyle w:val="4"/>
        <w:tblW w:w="16121" w:type="dxa"/>
        <w:tblInd w:w="93" w:type="dxa"/>
        <w:tblLayout w:type="fixed"/>
        <w:tblCellMar>
          <w:top w:w="0" w:type="dxa"/>
          <w:left w:w="108" w:type="dxa"/>
          <w:bottom w:w="0" w:type="dxa"/>
          <w:right w:w="108" w:type="dxa"/>
        </w:tblCellMar>
      </w:tblPr>
      <w:tblGrid>
        <w:gridCol w:w="1080"/>
        <w:gridCol w:w="1360"/>
        <w:gridCol w:w="1360"/>
        <w:gridCol w:w="1440"/>
        <w:gridCol w:w="1360"/>
        <w:gridCol w:w="1320"/>
        <w:gridCol w:w="1260"/>
        <w:gridCol w:w="1320"/>
        <w:gridCol w:w="1760"/>
        <w:gridCol w:w="1647"/>
        <w:gridCol w:w="213"/>
        <w:gridCol w:w="496"/>
        <w:gridCol w:w="425"/>
        <w:gridCol w:w="1080"/>
      </w:tblGrid>
      <w:tr>
        <w:tblPrEx>
          <w:tblLayout w:type="fixed"/>
          <w:tblCellMar>
            <w:top w:w="0" w:type="dxa"/>
            <w:left w:w="108" w:type="dxa"/>
            <w:bottom w:w="0" w:type="dxa"/>
            <w:right w:w="108" w:type="dxa"/>
          </w:tblCellMar>
        </w:tblPrEx>
        <w:trPr>
          <w:gridAfter w:val="1"/>
          <w:wAfter w:w="1080" w:type="dxa"/>
          <w:trHeight w:val="375" w:hRule="atLeast"/>
        </w:trPr>
        <w:tc>
          <w:tcPr>
            <w:tcW w:w="1080" w:type="dxa"/>
            <w:tcBorders>
              <w:top w:val="nil"/>
              <w:left w:val="nil"/>
              <w:bottom w:val="nil"/>
              <w:right w:val="nil"/>
            </w:tcBorders>
            <w:vAlign w:val="center"/>
          </w:tcPr>
          <w:p>
            <w:pPr>
              <w:widowControl/>
              <w:jc w:val="left"/>
              <w:rPr>
                <w:rFonts w:hint="eastAsia" w:ascii="黑体" w:hAnsi="黑体" w:eastAsia="黑体" w:cs="宋体"/>
                <w:color w:val="000000"/>
                <w:kern w:val="0"/>
                <w:sz w:val="28"/>
                <w:szCs w:val="28"/>
                <w:lang w:val="en-US" w:eastAsia="zh-CN"/>
              </w:rPr>
            </w:pPr>
            <w:r>
              <w:rPr>
                <w:rFonts w:hint="eastAsia" w:ascii="黑体" w:hAnsi="黑体" w:eastAsia="黑体" w:cs="宋体"/>
                <w:color w:val="000000"/>
                <w:kern w:val="0"/>
                <w:sz w:val="28"/>
                <w:szCs w:val="28"/>
              </w:rPr>
              <w:t>附件</w:t>
            </w:r>
            <w:r>
              <w:rPr>
                <w:rFonts w:hint="eastAsia" w:ascii="黑体" w:hAnsi="黑体" w:eastAsia="黑体" w:cs="宋体"/>
                <w:color w:val="000000"/>
                <w:kern w:val="0"/>
                <w:sz w:val="28"/>
                <w:szCs w:val="28"/>
                <w:lang w:val="en-US" w:eastAsia="zh-CN"/>
              </w:rPr>
              <w:t>4</w:t>
            </w:r>
          </w:p>
        </w:tc>
        <w:tc>
          <w:tcPr>
            <w:tcW w:w="1360" w:type="dxa"/>
            <w:tcBorders>
              <w:top w:val="nil"/>
              <w:left w:val="nil"/>
              <w:bottom w:val="nil"/>
              <w:right w:val="nil"/>
            </w:tcBorders>
            <w:vAlign w:val="center"/>
          </w:tcPr>
          <w:p>
            <w:pPr>
              <w:widowControl/>
              <w:jc w:val="left"/>
              <w:rPr>
                <w:rFonts w:ascii="黑体" w:hAnsi="黑体" w:eastAsia="黑体" w:cs="宋体"/>
                <w:color w:val="000000"/>
                <w:kern w:val="0"/>
                <w:sz w:val="24"/>
              </w:rPr>
            </w:pPr>
          </w:p>
        </w:tc>
        <w:tc>
          <w:tcPr>
            <w:tcW w:w="1360" w:type="dxa"/>
            <w:tcBorders>
              <w:top w:val="nil"/>
              <w:left w:val="nil"/>
              <w:bottom w:val="nil"/>
              <w:right w:val="nil"/>
            </w:tcBorders>
            <w:vAlign w:val="center"/>
          </w:tcPr>
          <w:p>
            <w:pPr>
              <w:widowControl/>
              <w:jc w:val="left"/>
              <w:rPr>
                <w:rFonts w:ascii="宋体" w:hAnsi="宋体" w:cs="宋体"/>
                <w:color w:val="000000"/>
                <w:kern w:val="0"/>
                <w:sz w:val="24"/>
              </w:rPr>
            </w:pPr>
          </w:p>
        </w:tc>
        <w:tc>
          <w:tcPr>
            <w:tcW w:w="1440" w:type="dxa"/>
            <w:tcBorders>
              <w:top w:val="nil"/>
              <w:left w:val="nil"/>
              <w:bottom w:val="nil"/>
              <w:right w:val="nil"/>
            </w:tcBorders>
            <w:vAlign w:val="center"/>
          </w:tcPr>
          <w:p>
            <w:pPr>
              <w:widowControl/>
              <w:jc w:val="left"/>
              <w:rPr>
                <w:rFonts w:ascii="宋体" w:hAnsi="宋体" w:cs="宋体"/>
                <w:color w:val="000000"/>
                <w:kern w:val="0"/>
                <w:sz w:val="24"/>
              </w:rPr>
            </w:pPr>
          </w:p>
        </w:tc>
        <w:tc>
          <w:tcPr>
            <w:tcW w:w="1360" w:type="dxa"/>
            <w:tcBorders>
              <w:top w:val="nil"/>
              <w:left w:val="nil"/>
              <w:bottom w:val="nil"/>
              <w:right w:val="nil"/>
            </w:tcBorders>
            <w:vAlign w:val="center"/>
          </w:tcPr>
          <w:p>
            <w:pPr>
              <w:widowControl/>
              <w:jc w:val="left"/>
              <w:rPr>
                <w:rFonts w:ascii="宋体" w:hAnsi="宋体" w:cs="宋体"/>
                <w:color w:val="000000"/>
                <w:kern w:val="0"/>
                <w:sz w:val="24"/>
              </w:rPr>
            </w:pPr>
          </w:p>
        </w:tc>
        <w:tc>
          <w:tcPr>
            <w:tcW w:w="1320" w:type="dxa"/>
            <w:tcBorders>
              <w:top w:val="nil"/>
              <w:left w:val="nil"/>
              <w:bottom w:val="nil"/>
              <w:right w:val="nil"/>
            </w:tcBorders>
            <w:vAlign w:val="center"/>
          </w:tcPr>
          <w:p>
            <w:pPr>
              <w:widowControl/>
              <w:jc w:val="left"/>
              <w:rPr>
                <w:rFonts w:ascii="宋体" w:hAnsi="宋体" w:cs="宋体"/>
                <w:color w:val="000000"/>
                <w:kern w:val="0"/>
                <w:sz w:val="24"/>
              </w:rPr>
            </w:pPr>
          </w:p>
        </w:tc>
        <w:tc>
          <w:tcPr>
            <w:tcW w:w="1260" w:type="dxa"/>
            <w:tcBorders>
              <w:top w:val="nil"/>
              <w:left w:val="nil"/>
              <w:bottom w:val="nil"/>
              <w:right w:val="nil"/>
            </w:tcBorders>
            <w:vAlign w:val="center"/>
          </w:tcPr>
          <w:p>
            <w:pPr>
              <w:widowControl/>
              <w:jc w:val="left"/>
              <w:rPr>
                <w:rFonts w:ascii="宋体" w:hAnsi="宋体" w:cs="宋体"/>
                <w:color w:val="000000"/>
                <w:kern w:val="0"/>
                <w:sz w:val="24"/>
              </w:rPr>
            </w:pPr>
          </w:p>
        </w:tc>
        <w:tc>
          <w:tcPr>
            <w:tcW w:w="1320" w:type="dxa"/>
            <w:tcBorders>
              <w:top w:val="nil"/>
              <w:left w:val="nil"/>
              <w:bottom w:val="nil"/>
              <w:right w:val="nil"/>
            </w:tcBorders>
            <w:vAlign w:val="center"/>
          </w:tcPr>
          <w:p>
            <w:pPr>
              <w:widowControl/>
              <w:jc w:val="left"/>
              <w:rPr>
                <w:rFonts w:ascii="宋体" w:hAnsi="宋体" w:cs="宋体"/>
                <w:color w:val="000000"/>
                <w:kern w:val="0"/>
                <w:sz w:val="24"/>
              </w:rPr>
            </w:pPr>
          </w:p>
        </w:tc>
        <w:tc>
          <w:tcPr>
            <w:tcW w:w="1760" w:type="dxa"/>
            <w:tcBorders>
              <w:top w:val="nil"/>
              <w:left w:val="nil"/>
              <w:bottom w:val="nil"/>
              <w:right w:val="nil"/>
            </w:tcBorders>
            <w:vAlign w:val="center"/>
          </w:tcPr>
          <w:p>
            <w:pPr>
              <w:widowControl/>
              <w:jc w:val="left"/>
              <w:rPr>
                <w:rFonts w:ascii="宋体" w:hAnsi="宋体" w:cs="宋体"/>
                <w:color w:val="000000"/>
                <w:kern w:val="0"/>
                <w:sz w:val="24"/>
              </w:rPr>
            </w:pPr>
          </w:p>
        </w:tc>
        <w:tc>
          <w:tcPr>
            <w:tcW w:w="1860" w:type="dxa"/>
            <w:gridSpan w:val="2"/>
            <w:tcBorders>
              <w:top w:val="nil"/>
              <w:left w:val="nil"/>
              <w:bottom w:val="nil"/>
              <w:right w:val="nil"/>
            </w:tcBorders>
            <w:vAlign w:val="center"/>
          </w:tcPr>
          <w:p>
            <w:pPr>
              <w:widowControl/>
              <w:jc w:val="left"/>
              <w:rPr>
                <w:rFonts w:ascii="宋体" w:hAnsi="宋体" w:cs="宋体"/>
                <w:color w:val="000000"/>
                <w:kern w:val="0"/>
                <w:sz w:val="24"/>
              </w:rPr>
            </w:pPr>
          </w:p>
        </w:tc>
        <w:tc>
          <w:tcPr>
            <w:tcW w:w="921" w:type="dxa"/>
            <w:gridSpan w:val="2"/>
            <w:tcBorders>
              <w:top w:val="nil"/>
              <w:left w:val="nil"/>
              <w:bottom w:val="nil"/>
              <w:right w:val="nil"/>
            </w:tcBorders>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50" w:hRule="atLeast"/>
        </w:trPr>
        <w:tc>
          <w:tcPr>
            <w:tcW w:w="16121" w:type="dxa"/>
            <w:gridSpan w:val="14"/>
            <w:tcBorders>
              <w:top w:val="nil"/>
              <w:left w:val="nil"/>
              <w:bottom w:val="nil"/>
              <w:right w:val="nil"/>
            </w:tcBorders>
            <w:vAlign w:val="center"/>
          </w:tcPr>
          <w:p>
            <w:pPr>
              <w:widowControl/>
              <w:jc w:val="center"/>
              <w:rPr>
                <w:rFonts w:ascii="宋体" w:hAnsi="宋体" w:cs="宋体"/>
                <w:color w:val="000000"/>
                <w:kern w:val="0"/>
                <w:sz w:val="36"/>
                <w:szCs w:val="36"/>
              </w:rPr>
            </w:pPr>
            <w:r>
              <w:rPr>
                <w:rFonts w:hint="eastAsia" w:ascii="方正小标宋简体" w:hAnsi="方正小标宋简体" w:eastAsia="方正小标宋简体" w:cs="方正小标宋简体"/>
                <w:color w:val="000000"/>
                <w:kern w:val="0"/>
                <w:sz w:val="44"/>
                <w:szCs w:val="44"/>
              </w:rPr>
              <w:t>粉尘防爆专项整治工作情况汇总表</w:t>
            </w:r>
          </w:p>
        </w:tc>
      </w:tr>
      <w:tr>
        <w:tblPrEx>
          <w:tblLayout w:type="fixed"/>
          <w:tblCellMar>
            <w:top w:w="0" w:type="dxa"/>
            <w:left w:w="108" w:type="dxa"/>
            <w:bottom w:w="0" w:type="dxa"/>
            <w:right w:w="108" w:type="dxa"/>
          </w:tblCellMar>
        </w:tblPrEx>
        <w:trPr>
          <w:gridAfter w:val="2"/>
          <w:wAfter w:w="1505" w:type="dxa"/>
          <w:trHeight w:val="390" w:hRule="atLeast"/>
        </w:trPr>
        <w:tc>
          <w:tcPr>
            <w:tcW w:w="2440" w:type="dxa"/>
            <w:gridSpan w:val="2"/>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填报单位：</w:t>
            </w:r>
          </w:p>
        </w:tc>
        <w:tc>
          <w:tcPr>
            <w:tcW w:w="1360"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440"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360"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320"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260"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320"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p>
        </w:tc>
        <w:tc>
          <w:tcPr>
            <w:tcW w:w="1760" w:type="dxa"/>
            <w:tcBorders>
              <w:top w:val="nil"/>
              <w:left w:val="nil"/>
              <w:bottom w:val="nil"/>
              <w:right w:val="nil"/>
            </w:tcBorders>
            <w:vAlign w:val="center"/>
          </w:tcPr>
          <w:p>
            <w:pPr>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填报人：</w:t>
            </w:r>
          </w:p>
        </w:tc>
        <w:tc>
          <w:tcPr>
            <w:tcW w:w="1647" w:type="dxa"/>
            <w:tcBorders>
              <w:top w:val="nil"/>
              <w:left w:val="nil"/>
              <w:bottom w:val="nil"/>
              <w:right w:val="nil"/>
            </w:tcBorders>
            <w:vAlign w:val="center"/>
          </w:tcPr>
          <w:p>
            <w:pPr>
              <w:widowControl/>
              <w:jc w:val="left"/>
              <w:rPr>
                <w:rFonts w:hint="eastAsia" w:ascii="仿宋" w:hAnsi="仿宋" w:eastAsia="仿宋" w:cs="仿宋"/>
                <w:color w:val="000000"/>
                <w:kern w:val="0"/>
                <w:sz w:val="24"/>
              </w:rPr>
            </w:pPr>
          </w:p>
        </w:tc>
        <w:tc>
          <w:tcPr>
            <w:tcW w:w="709" w:type="dxa"/>
            <w:gridSpan w:val="2"/>
            <w:tcBorders>
              <w:top w:val="nil"/>
              <w:left w:val="nil"/>
              <w:bottom w:val="nil"/>
              <w:right w:val="nil"/>
            </w:tcBorders>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1360" w:type="dxa"/>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区县</w:t>
            </w:r>
          </w:p>
        </w:tc>
        <w:tc>
          <w:tcPr>
            <w:tcW w:w="1360" w:type="dxa"/>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201</w:t>
            </w:r>
            <w:r>
              <w:rPr>
                <w:rFonts w:hint="eastAsia" w:ascii="黑体" w:hAnsi="黑体" w:eastAsia="黑体" w:cs="宋体"/>
                <w:color w:val="000000"/>
                <w:kern w:val="0"/>
                <w:sz w:val="24"/>
                <w:lang w:val="en-US" w:eastAsia="zh-CN"/>
              </w:rPr>
              <w:t>7</w:t>
            </w:r>
            <w:r>
              <w:rPr>
                <w:rFonts w:hint="eastAsia" w:ascii="黑体" w:hAnsi="黑体" w:eastAsia="黑体" w:cs="宋体"/>
                <w:color w:val="000000"/>
                <w:kern w:val="0"/>
                <w:sz w:val="24"/>
              </w:rPr>
              <w:t>年底粉尘企业底数</w:t>
            </w:r>
          </w:p>
        </w:tc>
        <w:tc>
          <w:tcPr>
            <w:tcW w:w="1440" w:type="dxa"/>
            <w:vMerge w:val="restart"/>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新排查出</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粉尘企业</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数量</w:t>
            </w:r>
          </w:p>
        </w:tc>
        <w:tc>
          <w:tcPr>
            <w:tcW w:w="1360" w:type="dxa"/>
            <w:vMerge w:val="restart"/>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排除非涉爆</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企业数量</w:t>
            </w:r>
          </w:p>
        </w:tc>
        <w:tc>
          <w:tcPr>
            <w:tcW w:w="1320" w:type="dxa"/>
            <w:vMerge w:val="restart"/>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取缔关闭</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企业数量</w:t>
            </w:r>
          </w:p>
        </w:tc>
        <w:tc>
          <w:tcPr>
            <w:tcW w:w="1260" w:type="dxa"/>
            <w:vMerge w:val="restart"/>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停产整顿</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企业数量</w:t>
            </w:r>
          </w:p>
        </w:tc>
        <w:tc>
          <w:tcPr>
            <w:tcW w:w="1320" w:type="dxa"/>
            <w:vMerge w:val="restart"/>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限期整改</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企业数量</w:t>
            </w:r>
          </w:p>
        </w:tc>
        <w:tc>
          <w:tcPr>
            <w:tcW w:w="1760" w:type="dxa"/>
            <w:vMerge w:val="restart"/>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201</w:t>
            </w:r>
            <w:r>
              <w:rPr>
                <w:rFonts w:hint="eastAsia" w:ascii="黑体" w:hAnsi="黑体" w:eastAsia="黑体" w:cs="宋体"/>
                <w:color w:val="000000"/>
                <w:kern w:val="0"/>
                <w:sz w:val="24"/>
                <w:lang w:val="en-US" w:eastAsia="zh-CN"/>
              </w:rPr>
              <w:t>8</w:t>
            </w:r>
            <w:r>
              <w:rPr>
                <w:rFonts w:hint="eastAsia" w:ascii="黑体" w:hAnsi="黑体" w:eastAsia="黑体" w:cs="宋体"/>
                <w:color w:val="000000"/>
                <w:kern w:val="0"/>
                <w:sz w:val="24"/>
              </w:rPr>
              <w:t>年底</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粉尘企业</w:t>
            </w:r>
            <w:r>
              <w:rPr>
                <w:rFonts w:hint="eastAsia" w:ascii="黑体" w:hAnsi="黑体" w:eastAsia="黑体" w:cs="宋体"/>
                <w:color w:val="000000"/>
                <w:kern w:val="0"/>
                <w:sz w:val="24"/>
              </w:rPr>
              <w:br w:type="textWrapping"/>
            </w:r>
            <w:r>
              <w:rPr>
                <w:rFonts w:hint="eastAsia" w:ascii="黑体" w:hAnsi="黑体" w:eastAsia="黑体" w:cs="宋体"/>
                <w:color w:val="000000"/>
                <w:kern w:val="0"/>
                <w:sz w:val="24"/>
              </w:rPr>
              <w:t>数量</w:t>
            </w:r>
          </w:p>
        </w:tc>
        <w:tc>
          <w:tcPr>
            <w:tcW w:w="1647" w:type="dxa"/>
            <w:vMerge w:val="restart"/>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未完成十大重点问题和隐患整改的企业数量</w:t>
            </w:r>
          </w:p>
        </w:tc>
        <w:tc>
          <w:tcPr>
            <w:tcW w:w="709" w:type="dxa"/>
            <w:gridSpan w:val="2"/>
            <w:vMerge w:val="restart"/>
            <w:tcBorders>
              <w:top w:val="single" w:color="auto" w:sz="8" w:space="0"/>
              <w:left w:val="single" w:color="auto" w:sz="8" w:space="0"/>
              <w:bottom w:val="single" w:color="auto" w:sz="4" w:space="0"/>
              <w:right w:val="single" w:color="auto" w:sz="8" w:space="0"/>
            </w:tcBorders>
            <w:shd w:val="clear" w:color="000000" w:fill="FFFFFF"/>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备注</w:t>
            </w:r>
          </w:p>
        </w:tc>
      </w:tr>
      <w:tr>
        <w:tblPrEx>
          <w:tblLayout w:type="fixed"/>
          <w:tblCellMar>
            <w:top w:w="0" w:type="dxa"/>
            <w:left w:w="108" w:type="dxa"/>
            <w:bottom w:w="0" w:type="dxa"/>
            <w:right w:w="108" w:type="dxa"/>
          </w:tblCellMar>
        </w:tblPrEx>
        <w:trPr>
          <w:gridAfter w:val="2"/>
          <w:wAfter w:w="1505" w:type="dxa"/>
          <w:trHeight w:val="915" w:hRule="atLeast"/>
        </w:trPr>
        <w:tc>
          <w:tcPr>
            <w:tcW w:w="1080" w:type="dxa"/>
            <w:vMerge w:val="continue"/>
            <w:tcBorders>
              <w:top w:val="single" w:color="auto" w:sz="8" w:space="0"/>
              <w:left w:val="single" w:color="auto" w:sz="8" w:space="0"/>
              <w:bottom w:val="nil"/>
              <w:right w:val="single" w:color="auto" w:sz="8" w:space="0"/>
            </w:tcBorders>
            <w:vAlign w:val="center"/>
          </w:tcPr>
          <w:p>
            <w:pPr>
              <w:widowControl/>
              <w:jc w:val="left"/>
              <w:rPr>
                <w:rFonts w:ascii="黑体" w:hAnsi="黑体" w:eastAsia="黑体" w:cs="宋体"/>
                <w:color w:val="000000"/>
                <w:kern w:val="0"/>
                <w:sz w:val="24"/>
              </w:rPr>
            </w:pPr>
          </w:p>
        </w:tc>
        <w:tc>
          <w:tcPr>
            <w:tcW w:w="1360" w:type="dxa"/>
            <w:vMerge w:val="continue"/>
            <w:tcBorders>
              <w:top w:val="single" w:color="auto" w:sz="8" w:space="0"/>
              <w:left w:val="single" w:color="auto" w:sz="8" w:space="0"/>
              <w:bottom w:val="nil"/>
              <w:right w:val="single" w:color="auto" w:sz="8" w:space="0"/>
            </w:tcBorders>
            <w:vAlign w:val="center"/>
          </w:tcPr>
          <w:p>
            <w:pPr>
              <w:widowControl/>
              <w:jc w:val="left"/>
              <w:rPr>
                <w:rFonts w:ascii="黑体" w:hAnsi="黑体" w:eastAsia="黑体" w:cs="宋体"/>
                <w:color w:val="000000"/>
                <w:kern w:val="0"/>
                <w:sz w:val="24"/>
              </w:rPr>
            </w:pPr>
          </w:p>
        </w:tc>
        <w:tc>
          <w:tcPr>
            <w:tcW w:w="1360" w:type="dxa"/>
            <w:vMerge w:val="continue"/>
            <w:tcBorders>
              <w:top w:val="single" w:color="auto" w:sz="8" w:space="0"/>
              <w:left w:val="single" w:color="auto" w:sz="8" w:space="0"/>
              <w:bottom w:val="nil"/>
              <w:right w:val="single" w:color="auto" w:sz="8" w:space="0"/>
            </w:tcBorders>
            <w:vAlign w:val="center"/>
          </w:tcPr>
          <w:p>
            <w:pPr>
              <w:widowControl/>
              <w:jc w:val="left"/>
              <w:rPr>
                <w:rFonts w:ascii="黑体" w:hAnsi="黑体" w:eastAsia="黑体" w:cs="宋体"/>
                <w:color w:val="000000"/>
                <w:kern w:val="0"/>
                <w:sz w:val="24"/>
              </w:rPr>
            </w:pPr>
          </w:p>
        </w:tc>
        <w:tc>
          <w:tcPr>
            <w:tcW w:w="1440"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黑体" w:hAnsi="黑体" w:eastAsia="黑体" w:cs="宋体"/>
                <w:color w:val="000000"/>
                <w:kern w:val="0"/>
                <w:sz w:val="24"/>
              </w:rPr>
            </w:pPr>
          </w:p>
        </w:tc>
        <w:tc>
          <w:tcPr>
            <w:tcW w:w="1360"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黑体" w:hAnsi="黑体" w:eastAsia="黑体" w:cs="宋体"/>
                <w:color w:val="000000"/>
                <w:kern w:val="0"/>
                <w:sz w:val="24"/>
              </w:rPr>
            </w:pPr>
          </w:p>
        </w:tc>
        <w:tc>
          <w:tcPr>
            <w:tcW w:w="1320"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黑体" w:hAnsi="黑体" w:eastAsia="黑体" w:cs="宋体"/>
                <w:color w:val="000000"/>
                <w:kern w:val="0"/>
                <w:sz w:val="24"/>
              </w:rPr>
            </w:pPr>
          </w:p>
        </w:tc>
        <w:tc>
          <w:tcPr>
            <w:tcW w:w="1260"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黑体" w:hAnsi="黑体" w:eastAsia="黑体" w:cs="宋体"/>
                <w:color w:val="000000"/>
                <w:kern w:val="0"/>
                <w:sz w:val="24"/>
              </w:rPr>
            </w:pPr>
          </w:p>
        </w:tc>
        <w:tc>
          <w:tcPr>
            <w:tcW w:w="1320"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黑体" w:hAnsi="黑体" w:eastAsia="黑体" w:cs="宋体"/>
                <w:color w:val="000000"/>
                <w:kern w:val="0"/>
                <w:sz w:val="24"/>
              </w:rPr>
            </w:pPr>
          </w:p>
        </w:tc>
        <w:tc>
          <w:tcPr>
            <w:tcW w:w="1760"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黑体" w:hAnsi="黑体" w:eastAsia="黑体" w:cs="宋体"/>
                <w:color w:val="000000"/>
                <w:kern w:val="0"/>
                <w:sz w:val="24"/>
              </w:rPr>
            </w:pPr>
          </w:p>
        </w:tc>
        <w:tc>
          <w:tcPr>
            <w:tcW w:w="1647"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黑体" w:hAnsi="黑体" w:eastAsia="黑体" w:cs="宋体"/>
                <w:color w:val="000000"/>
                <w:kern w:val="0"/>
                <w:sz w:val="24"/>
              </w:rPr>
            </w:pPr>
          </w:p>
        </w:tc>
        <w:tc>
          <w:tcPr>
            <w:tcW w:w="709" w:type="dxa"/>
            <w:gridSpan w:val="2"/>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黑体" w:hAnsi="黑体" w:eastAsia="黑体" w:cs="宋体"/>
                <w:color w:val="000000"/>
                <w:kern w:val="0"/>
                <w:sz w:val="24"/>
              </w:rPr>
            </w:pP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gridAfter w:val="2"/>
          <w:wAfter w:w="1505" w:type="dxa"/>
          <w:trHeight w:val="270" w:hRule="atLeast"/>
        </w:trPr>
        <w:tc>
          <w:tcPr>
            <w:tcW w:w="108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44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3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4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709"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
      <w:pPr>
        <w:spacing w:line="560" w:lineRule="exact"/>
        <w:jc w:val="center"/>
        <w:rPr>
          <w:rFonts w:hint="eastAsia" w:ascii="黑体" w:hAnsi="黑体" w:eastAsia="黑体"/>
          <w:sz w:val="32"/>
          <w:szCs w:val="32"/>
        </w:rPr>
      </w:pPr>
      <w:r>
        <w:rPr>
          <w:rFonts w:hint="eastAsia" w:ascii="方正小标宋简体" w:hAnsi="方正小标宋简体" w:eastAsia="方正小标宋简体" w:cs="方正小标宋简体"/>
          <w:b w:val="0"/>
          <w:bCs/>
          <w:color w:val="000000"/>
          <w:kern w:val="0"/>
          <w:sz w:val="36"/>
          <w:szCs w:val="36"/>
          <w:shd w:val="clear" w:color="auto" w:fill="FFFFFF"/>
          <w:lang w:val="en-US" w:eastAsia="zh-CN" w:bidi="ar"/>
        </w:rPr>
        <w:t>钢铁企业重大生产安全事故隐患排查治理专项行动</w:t>
      </w:r>
    </w:p>
    <w:p>
      <w:pPr>
        <w:spacing w:line="560" w:lineRule="exact"/>
        <w:rPr>
          <w:rFonts w:ascii="黑体" w:hAnsi="黑体" w:eastAsia="黑体"/>
          <w:b w:val="0"/>
          <w:bCs w:val="0"/>
          <w:sz w:val="36"/>
          <w:szCs w:val="36"/>
        </w:rPr>
      </w:pPr>
      <w:r>
        <w:rPr>
          <w:rFonts w:hint="eastAsia" w:ascii="黑体" w:hAnsi="黑体" w:eastAsia="黑体"/>
          <w:sz w:val="32"/>
          <w:szCs w:val="32"/>
        </w:rPr>
        <w:t>附件1</w:t>
      </w:r>
    </w:p>
    <w:p>
      <w:pPr>
        <w:spacing w:line="560" w:lineRule="exact"/>
        <w:jc w:val="center"/>
        <w:rPr>
          <w:rFonts w:ascii="方正小标宋简体" w:eastAsia="方正小标宋简体"/>
          <w:b w:val="0"/>
          <w:bCs w:val="0"/>
          <w:sz w:val="36"/>
          <w:szCs w:val="36"/>
        </w:rPr>
      </w:pPr>
      <w:r>
        <w:rPr>
          <w:rFonts w:hint="eastAsia" w:ascii="方正小标宋简体" w:eastAsia="方正小标宋简体"/>
          <w:b w:val="0"/>
          <w:bCs w:val="0"/>
          <w:sz w:val="36"/>
          <w:szCs w:val="36"/>
        </w:rPr>
        <w:t>企业自查表</w:t>
      </w:r>
    </w:p>
    <w:p>
      <w:pPr>
        <w:spacing w:line="560" w:lineRule="exact"/>
        <w:jc w:val="center"/>
        <w:rPr>
          <w:rFonts w:ascii="方正小标宋简体" w:eastAsia="方正小标宋简体"/>
          <w:b/>
          <w:sz w:val="36"/>
          <w:szCs w:val="36"/>
        </w:rPr>
      </w:pPr>
    </w:p>
    <w:p>
      <w:pPr>
        <w:spacing w:line="560" w:lineRule="exact"/>
        <w:rPr>
          <w:rFonts w:hint="eastAsia" w:ascii="仿宋_GB2312" w:eastAsia="仿宋_GB2312"/>
          <w:sz w:val="32"/>
          <w:szCs w:val="32"/>
        </w:rPr>
      </w:pPr>
      <w:r>
        <w:rPr>
          <w:rFonts w:hint="eastAsia" w:ascii="仿宋_GB2312" w:eastAsia="仿宋_GB2312"/>
          <w:sz w:val="32"/>
          <w:szCs w:val="32"/>
        </w:rPr>
        <w:t>填表人：</w:t>
      </w:r>
      <w:r>
        <w:rPr>
          <w:rFonts w:hint="eastAsia" w:ascii="仿宋_GB2312" w:eastAsia="仿宋_GB2312"/>
          <w:sz w:val="32"/>
          <w:szCs w:val="32"/>
          <w:u w:val="single"/>
        </w:rPr>
        <w:t xml:space="preserve">        </w:t>
      </w:r>
      <w:r>
        <w:rPr>
          <w:rFonts w:hint="eastAsia" w:ascii="仿宋_GB2312" w:eastAsia="仿宋_GB2312"/>
          <w:sz w:val="32"/>
          <w:szCs w:val="32"/>
        </w:rPr>
        <w:t>填表时间：</w:t>
      </w:r>
      <w:r>
        <w:rPr>
          <w:rFonts w:hint="eastAsia" w:ascii="仿宋_GB2312" w:eastAsia="仿宋_GB2312"/>
          <w:sz w:val="32"/>
          <w:szCs w:val="32"/>
          <w:u w:val="single"/>
        </w:rPr>
        <w:t xml:space="preserve">               </w:t>
      </w:r>
      <w:r>
        <w:rPr>
          <w:rFonts w:hint="eastAsia" w:ascii="仿宋_GB2312" w:eastAsia="仿宋_GB2312"/>
          <w:sz w:val="32"/>
          <w:szCs w:val="32"/>
        </w:rPr>
        <w:t>企业负责人签字：</w:t>
      </w:r>
      <w:r>
        <w:rPr>
          <w:rFonts w:hint="eastAsia" w:ascii="仿宋_GB2312" w:eastAsia="仿宋_GB2312"/>
          <w:sz w:val="32"/>
          <w:szCs w:val="32"/>
          <w:u w:val="single"/>
        </w:rPr>
        <w:t xml:space="preserve">          </w:t>
      </w:r>
      <w:r>
        <w:rPr>
          <w:rFonts w:hint="eastAsia" w:ascii="仿宋_GB2312" w:eastAsia="仿宋_GB2312"/>
          <w:sz w:val="32"/>
          <w:szCs w:val="32"/>
        </w:rPr>
        <w:t xml:space="preserve"> 企业盖章：</w:t>
      </w:r>
    </w:p>
    <w:tbl>
      <w:tblPr>
        <w:tblStyle w:val="5"/>
        <w:tblW w:w="13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977"/>
        <w:gridCol w:w="3119"/>
        <w:gridCol w:w="2268"/>
        <w:gridCol w:w="708"/>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3792" w:type="dxa"/>
            <w:gridSpan w:val="6"/>
            <w:vAlign w:val="center"/>
          </w:tcPr>
          <w:p>
            <w:pPr>
              <w:spacing w:line="560" w:lineRule="exact"/>
              <w:rPr>
                <w:rFonts w:ascii="仿宋_GB2312" w:eastAsia="仿宋_GB2312"/>
                <w:sz w:val="32"/>
                <w:szCs w:val="32"/>
              </w:rPr>
            </w:pPr>
            <w:r>
              <w:rPr>
                <w:rFonts w:hint="eastAsia" w:ascii="仿宋_GB2312" w:eastAsia="仿宋_GB2312"/>
                <w:sz w:val="32"/>
                <w:szCs w:val="32"/>
              </w:rPr>
              <w:t>企业名称（地址）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restart"/>
            <w:vAlign w:val="center"/>
          </w:tcPr>
          <w:p>
            <w:pPr>
              <w:spacing w:line="560" w:lineRule="exact"/>
              <w:rPr>
                <w:rFonts w:ascii="仿宋_GB2312" w:eastAsia="仿宋_GB2312"/>
                <w:sz w:val="32"/>
                <w:szCs w:val="32"/>
              </w:rPr>
            </w:pPr>
            <w:r>
              <w:rPr>
                <w:rFonts w:hint="eastAsia" w:ascii="仿宋_GB2312" w:eastAsia="仿宋_GB2312"/>
                <w:sz w:val="32"/>
                <w:szCs w:val="32"/>
              </w:rPr>
              <w:t>主要设备（规格、数量）</w:t>
            </w:r>
          </w:p>
        </w:tc>
        <w:tc>
          <w:tcPr>
            <w:tcW w:w="2977" w:type="dxa"/>
            <w:vAlign w:val="top"/>
          </w:tcPr>
          <w:p>
            <w:pPr>
              <w:spacing w:line="560" w:lineRule="exact"/>
              <w:jc w:val="center"/>
              <w:rPr>
                <w:rFonts w:ascii="仿宋_GB2312" w:eastAsia="仿宋_GB2312"/>
                <w:sz w:val="32"/>
                <w:szCs w:val="32"/>
              </w:rPr>
            </w:pPr>
            <w:r>
              <w:rPr>
                <w:rFonts w:hint="eastAsia" w:ascii="仿宋_GB2312" w:eastAsia="仿宋_GB2312"/>
                <w:sz w:val="32"/>
                <w:szCs w:val="32"/>
              </w:rPr>
              <w:t>高炉（m</w:t>
            </w:r>
            <w:r>
              <w:rPr>
                <w:rFonts w:hint="eastAsia" w:ascii="仿宋_GB2312" w:eastAsia="仿宋_GB2312"/>
                <w:sz w:val="32"/>
                <w:szCs w:val="32"/>
                <w:vertAlign w:val="superscript"/>
              </w:rPr>
              <w:t>3</w:t>
            </w:r>
            <w:r>
              <w:rPr>
                <w:rFonts w:hint="eastAsia" w:ascii="仿宋_GB2312" w:eastAsia="仿宋_GB2312"/>
                <w:sz w:val="32"/>
                <w:szCs w:val="32"/>
              </w:rPr>
              <w:t>)</w:t>
            </w:r>
          </w:p>
        </w:tc>
        <w:tc>
          <w:tcPr>
            <w:tcW w:w="3119" w:type="dxa"/>
            <w:vAlign w:val="top"/>
          </w:tcPr>
          <w:p>
            <w:pPr>
              <w:spacing w:line="560" w:lineRule="exact"/>
              <w:jc w:val="center"/>
              <w:rPr>
                <w:rFonts w:ascii="仿宋_GB2312" w:eastAsia="仿宋_GB2312"/>
                <w:sz w:val="32"/>
                <w:szCs w:val="32"/>
              </w:rPr>
            </w:pPr>
            <w:r>
              <w:rPr>
                <w:rFonts w:hint="eastAsia" w:ascii="仿宋_GB2312" w:eastAsia="仿宋_GB2312"/>
                <w:sz w:val="32"/>
                <w:szCs w:val="32"/>
              </w:rPr>
              <w:t>转炉（吨）</w:t>
            </w:r>
          </w:p>
        </w:tc>
        <w:tc>
          <w:tcPr>
            <w:tcW w:w="2976" w:type="dxa"/>
            <w:gridSpan w:val="2"/>
            <w:vAlign w:val="top"/>
          </w:tcPr>
          <w:p>
            <w:pPr>
              <w:spacing w:line="560" w:lineRule="exact"/>
              <w:jc w:val="center"/>
              <w:rPr>
                <w:rFonts w:ascii="仿宋_GB2312" w:eastAsia="仿宋_GB2312"/>
                <w:sz w:val="32"/>
                <w:szCs w:val="32"/>
              </w:rPr>
            </w:pPr>
            <w:r>
              <w:rPr>
                <w:rFonts w:hint="eastAsia" w:ascii="仿宋_GB2312" w:eastAsia="仿宋_GB2312"/>
                <w:sz w:val="32"/>
                <w:szCs w:val="32"/>
              </w:rPr>
              <w:t>电炉（吨）</w:t>
            </w:r>
          </w:p>
        </w:tc>
        <w:tc>
          <w:tcPr>
            <w:tcW w:w="2911" w:type="dxa"/>
            <w:vAlign w:val="top"/>
          </w:tcPr>
          <w:p>
            <w:pPr>
              <w:spacing w:line="560" w:lineRule="exact"/>
              <w:jc w:val="center"/>
              <w:rPr>
                <w:rFonts w:ascii="仿宋_GB2312" w:eastAsia="仿宋_GB2312"/>
                <w:sz w:val="32"/>
                <w:szCs w:val="32"/>
              </w:rPr>
            </w:pPr>
            <w:r>
              <w:rPr>
                <w:rFonts w:hint="eastAsia" w:ascii="仿宋_GB2312" w:eastAsia="仿宋_GB2312"/>
                <w:sz w:val="32"/>
                <w:szCs w:val="32"/>
              </w:rPr>
              <w:t>煤气柜（万立方米）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spacing w:line="560" w:lineRule="exact"/>
              <w:jc w:val="left"/>
              <w:rPr>
                <w:rFonts w:ascii="仿宋_GB2312" w:eastAsia="仿宋_GB2312"/>
                <w:sz w:val="32"/>
                <w:szCs w:val="32"/>
              </w:rPr>
            </w:pPr>
          </w:p>
        </w:tc>
        <w:tc>
          <w:tcPr>
            <w:tcW w:w="2977"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3119"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2976" w:type="dxa"/>
            <w:gridSpan w:val="2"/>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2911"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spacing w:line="560" w:lineRule="exact"/>
              <w:jc w:val="left"/>
              <w:rPr>
                <w:rFonts w:ascii="仿宋_GB2312" w:eastAsia="仿宋_GB2312"/>
                <w:sz w:val="32"/>
                <w:szCs w:val="32"/>
              </w:rPr>
            </w:pPr>
          </w:p>
        </w:tc>
        <w:tc>
          <w:tcPr>
            <w:tcW w:w="2977"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3119"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2976" w:type="dxa"/>
            <w:gridSpan w:val="2"/>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2911"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spacing w:line="560" w:lineRule="exact"/>
              <w:jc w:val="left"/>
              <w:rPr>
                <w:rFonts w:ascii="仿宋_GB2312" w:eastAsia="仿宋_GB2312"/>
                <w:sz w:val="32"/>
                <w:szCs w:val="32"/>
              </w:rPr>
            </w:pPr>
          </w:p>
        </w:tc>
        <w:tc>
          <w:tcPr>
            <w:tcW w:w="2977"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3119"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2976" w:type="dxa"/>
            <w:gridSpan w:val="2"/>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2911"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spacing w:line="560" w:lineRule="exact"/>
              <w:jc w:val="left"/>
              <w:rPr>
                <w:rFonts w:ascii="仿宋_GB2312" w:eastAsia="仿宋_GB2312"/>
                <w:sz w:val="32"/>
                <w:szCs w:val="32"/>
              </w:rPr>
            </w:pPr>
          </w:p>
        </w:tc>
        <w:tc>
          <w:tcPr>
            <w:tcW w:w="2977"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3119"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2976" w:type="dxa"/>
            <w:gridSpan w:val="2"/>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c>
          <w:tcPr>
            <w:tcW w:w="2911" w:type="dxa"/>
            <w:vAlign w:val="top"/>
          </w:tcPr>
          <w:p>
            <w:pPr>
              <w:spacing w:line="560" w:lineRule="exact"/>
              <w:jc w:val="left"/>
              <w:rPr>
                <w:rFonts w:ascii="仿宋_GB2312" w:eastAsia="仿宋_GB2312"/>
                <w:sz w:val="32"/>
                <w:szCs w:val="32"/>
              </w:rPr>
            </w:pPr>
            <w:r>
              <w:rPr>
                <w:rFonts w:hint="eastAsia" w:ascii="仿宋_GB2312" w:eastAsia="仿宋_GB2312"/>
                <w:sz w:val="32"/>
                <w:szCs w:val="3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809" w:type="dxa"/>
            <w:vMerge w:val="continue"/>
            <w:vAlign w:val="top"/>
          </w:tcPr>
          <w:p>
            <w:pPr>
              <w:spacing w:line="560" w:lineRule="exact"/>
              <w:jc w:val="left"/>
              <w:rPr>
                <w:rFonts w:ascii="仿宋_GB2312" w:eastAsia="仿宋_GB2312"/>
                <w:sz w:val="32"/>
                <w:szCs w:val="32"/>
              </w:rPr>
            </w:pPr>
          </w:p>
        </w:tc>
        <w:tc>
          <w:tcPr>
            <w:tcW w:w="2977" w:type="dxa"/>
            <w:vAlign w:val="top"/>
          </w:tcPr>
          <w:p>
            <w:pPr>
              <w:spacing w:line="560" w:lineRule="exact"/>
              <w:jc w:val="left"/>
              <w:rPr>
                <w:rFonts w:ascii="仿宋_GB2312" w:eastAsia="仿宋_GB2312"/>
                <w:sz w:val="32"/>
                <w:szCs w:val="32"/>
              </w:rPr>
            </w:pPr>
          </w:p>
        </w:tc>
        <w:tc>
          <w:tcPr>
            <w:tcW w:w="3119" w:type="dxa"/>
            <w:vAlign w:val="top"/>
          </w:tcPr>
          <w:p>
            <w:pPr>
              <w:spacing w:line="560" w:lineRule="exact"/>
              <w:jc w:val="left"/>
              <w:rPr>
                <w:rFonts w:ascii="仿宋_GB2312" w:eastAsia="仿宋_GB2312"/>
                <w:sz w:val="32"/>
                <w:szCs w:val="32"/>
              </w:rPr>
            </w:pPr>
          </w:p>
        </w:tc>
        <w:tc>
          <w:tcPr>
            <w:tcW w:w="2976" w:type="dxa"/>
            <w:gridSpan w:val="2"/>
            <w:vAlign w:val="top"/>
          </w:tcPr>
          <w:p>
            <w:pPr>
              <w:spacing w:line="560" w:lineRule="exact"/>
              <w:jc w:val="left"/>
              <w:rPr>
                <w:rFonts w:ascii="仿宋_GB2312" w:eastAsia="仿宋_GB2312"/>
                <w:sz w:val="32"/>
                <w:szCs w:val="32"/>
              </w:rPr>
            </w:pPr>
          </w:p>
        </w:tc>
        <w:tc>
          <w:tcPr>
            <w:tcW w:w="2911" w:type="dxa"/>
            <w:vAlign w:val="top"/>
          </w:tcPr>
          <w:p>
            <w:pPr>
              <w:spacing w:line="560" w:lineRule="exact"/>
              <w:jc w:val="lef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3792" w:type="dxa"/>
            <w:gridSpan w:val="6"/>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自查内容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自查类别</w:t>
            </w: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自查项目</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自查结果</w:t>
            </w:r>
          </w:p>
        </w:tc>
        <w:tc>
          <w:tcPr>
            <w:tcW w:w="3619"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安全管理</w:t>
            </w: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企业安全生产标准化建设未达标。</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金属冶炼企业主要负责人和安全生产管理人员未依法经考核合格。</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从事煤气生产、储存、输送、使用、维护、检修人员未依法持证上岗。</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未严格执行高危作业审批制度，未制定严谨的检维修工作方案，未落实交叉作业的现场安全管理职责。</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高温熔融金属</w:t>
            </w: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会议室、活动室、休息室、更衣室等场所设置在铁水、钢水与液渣吊运影响的范围内。</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吊运铁水、钢水与液渣起重机不符合冶金起重机的相关要求；炼钢厂在吊运重罐铁水、钢水或液渣时，未使用固定式龙门钩的铸造起重机，龙门钩横梁、耳轴销和吊钩、钢丝绳及其端头固定零件，未进行定期检查，发现问题未及时整改。</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盛装铁水、钢水与液渣的罐（包、盆）等容器耳轴未按国家标准规定要求定期进行探伤检测。</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冶炼、熔炼、精炼生产区域的安全坑内及熔体泄漏、喷溅影响范围内存在积水，放置有易燃易爆物品。金属铸造、连铸、浇铸流程未设置铁水罐、钢水罐、溢流槽、中间溢流罐等高温熔融金属紧急排放和应急储存设施。</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炉、窑、槽、罐类设备本体及附属设施未定期检查，出现严重焊缝开裂、腐蚀、破损、衬砖损坏、壳体发红及明显弯曲变形等未报修或报废，仍继续使用。</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氧枪等水冷元件未配置出水温度与进出水流量差检测、报警装置及温度监测，未与炉体倾动、氧气开闭等联锁。</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废钢配料，废钢不干燥，含有爆炸物、有毒物或密闭容器；废钢料高度超过料槽上口。</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煤气</w:t>
            </w: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煤气柜建设在居民稠密区，未远离大型建筑、仓库、通信和交通枢纽等重要设施；附属设备设施未按防火防爆要求配置防爆型设备；柜顶未设置防雷装置。</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煤气区域的值班室、操作室等人员较集中的地方，未设置固定式一氧化碳监测报警装置。</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高炉、转炉、加热炉、煤气柜、除尘器等设施的煤气管道未设置可靠隔离装置和吹扫设施。</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sz w:val="32"/>
                <w:szCs w:val="32"/>
              </w:rPr>
            </w:pPr>
          </w:p>
        </w:tc>
        <w:tc>
          <w:tcPr>
            <w:tcW w:w="6096"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煤气分配主管上支管引接处，未设置可靠的切断装置；车间内各类燃气管线，在车间入口未设置总管切断阀。</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7905"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未按照要求淘汰《金属冶炼企业禁止使用的设备及工艺目录（第一批）》中涉及的设备及工艺。</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□是    □否</w:t>
            </w:r>
          </w:p>
        </w:tc>
        <w:tc>
          <w:tcPr>
            <w:tcW w:w="3619"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3792" w:type="dxa"/>
            <w:gridSpan w:val="6"/>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eastAsia="仿宋_GB2312"/>
                <w:sz w:val="32"/>
                <w:szCs w:val="32"/>
              </w:rPr>
            </w:pPr>
            <w:r>
              <w:rPr>
                <w:rFonts w:hint="eastAsia" w:ascii="仿宋_GB2312" w:eastAsia="仿宋_GB2312"/>
                <w:sz w:val="32"/>
                <w:szCs w:val="32"/>
              </w:rPr>
              <w:t>其他严重安全问题（可另附页）：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仿宋_GB2312" w:eastAsia="仿宋_GB2312"/>
                <w:sz w:val="32"/>
                <w:szCs w:val="32"/>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ascii="仿宋_GB2312" w:eastAsia="仿宋_GB2312"/>
          <w:b/>
          <w:sz w:val="28"/>
          <w:szCs w:val="28"/>
        </w:rPr>
      </w:pPr>
      <w:r>
        <w:rPr>
          <w:rFonts w:hint="eastAsia" w:ascii="仿宋_GB2312" w:eastAsia="仿宋_GB2312"/>
          <w:b/>
          <w:sz w:val="28"/>
          <w:szCs w:val="28"/>
        </w:rPr>
        <w:t>注：企业若自查发现存在重大生产安全事故隐患，请在情况说明中明确整改时限和具体安全措施。</w:t>
      </w:r>
    </w:p>
    <w:p>
      <w:pPr>
        <w:spacing w:line="560" w:lineRule="exact"/>
        <w:jc w:val="lef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eastAsia="方正小标宋简体"/>
          <w:b w:val="0"/>
          <w:bCs/>
          <w:sz w:val="36"/>
          <w:szCs w:val="36"/>
        </w:rPr>
      </w:pPr>
      <w:r>
        <w:rPr>
          <w:rFonts w:hint="eastAsia" w:ascii="方正小标宋简体" w:eastAsia="方正小标宋简体"/>
          <w:b w:val="0"/>
          <w:bCs/>
          <w:sz w:val="36"/>
          <w:szCs w:val="36"/>
        </w:rPr>
        <w:t>安全监管部门执法检查表</w:t>
      </w:r>
    </w:p>
    <w:p>
      <w:pPr>
        <w:spacing w:line="560" w:lineRule="exact"/>
        <w:rPr>
          <w:rFonts w:ascii="仿宋_GB2312" w:eastAsia="仿宋_GB2312"/>
          <w:sz w:val="32"/>
          <w:szCs w:val="32"/>
        </w:rPr>
      </w:pPr>
    </w:p>
    <w:p>
      <w:pPr>
        <w:spacing w:line="560" w:lineRule="exact"/>
        <w:rPr>
          <w:rFonts w:hint="eastAsia" w:ascii="仿宋_GB2312" w:eastAsia="仿宋_GB2312"/>
          <w:sz w:val="32"/>
          <w:szCs w:val="32"/>
          <w:u w:val="single"/>
        </w:rPr>
      </w:pPr>
      <w:r>
        <w:rPr>
          <w:rFonts w:hint="eastAsia" w:ascii="仿宋_GB2312" w:eastAsia="仿宋_GB2312"/>
          <w:sz w:val="32"/>
          <w:szCs w:val="32"/>
        </w:rPr>
        <w:t>检查单位：</w:t>
      </w:r>
      <w:r>
        <w:rPr>
          <w:rFonts w:hint="eastAsia" w:ascii="仿宋_GB2312" w:eastAsia="仿宋_GB2312"/>
          <w:sz w:val="32"/>
          <w:szCs w:val="32"/>
          <w:u w:val="single"/>
        </w:rPr>
        <w:t xml:space="preserve">                </w:t>
      </w:r>
      <w:r>
        <w:rPr>
          <w:rFonts w:hint="eastAsia" w:ascii="仿宋_GB2312" w:eastAsia="仿宋_GB2312"/>
          <w:sz w:val="32"/>
          <w:szCs w:val="32"/>
        </w:rPr>
        <w:t>（盖章）    检查人员：</w:t>
      </w:r>
      <w:r>
        <w:rPr>
          <w:rFonts w:hint="eastAsia" w:ascii="仿宋_GB2312" w:eastAsia="仿宋_GB2312"/>
          <w:sz w:val="32"/>
          <w:szCs w:val="32"/>
          <w:u w:val="single"/>
        </w:rPr>
        <w:t xml:space="preserve">               </w:t>
      </w:r>
      <w:r>
        <w:rPr>
          <w:rFonts w:hint="eastAsia" w:ascii="仿宋_GB2312" w:eastAsia="仿宋_GB2312"/>
          <w:sz w:val="32"/>
          <w:szCs w:val="32"/>
        </w:rPr>
        <w:t xml:space="preserve"> 检查日期：</w:t>
      </w:r>
      <w:r>
        <w:rPr>
          <w:rFonts w:hint="eastAsia" w:ascii="仿宋_GB2312" w:eastAsia="仿宋_GB2312"/>
          <w:sz w:val="32"/>
          <w:szCs w:val="32"/>
          <w:u w:val="single"/>
        </w:rPr>
        <w:t xml:space="preserve">          </w:t>
      </w:r>
    </w:p>
    <w:p>
      <w:pPr>
        <w:spacing w:line="560" w:lineRule="exact"/>
        <w:rPr>
          <w:rFonts w:hint="eastAsia" w:ascii="仿宋_GB2312" w:eastAsia="仿宋_GB2312"/>
          <w:sz w:val="32"/>
          <w:szCs w:val="32"/>
          <w:u w:val="single"/>
        </w:rPr>
      </w:pPr>
    </w:p>
    <w:tbl>
      <w:tblPr>
        <w:tblStyle w:val="5"/>
        <w:tblW w:w="13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096"/>
        <w:gridCol w:w="3827"/>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3792" w:type="dxa"/>
            <w:gridSpan w:val="4"/>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企业名称（地址）：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检查类别</w:t>
            </w: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检查项目</w:t>
            </w:r>
          </w:p>
        </w:tc>
        <w:tc>
          <w:tcPr>
            <w:tcW w:w="3827"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执法依据</w:t>
            </w:r>
          </w:p>
        </w:tc>
        <w:tc>
          <w:tcPr>
            <w:tcW w:w="2060"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执法结果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restart"/>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安全管理</w:t>
            </w: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金属冶炼企业主要负责人和安全生产管理人员未依法经考核合格。</w:t>
            </w:r>
          </w:p>
        </w:tc>
        <w:tc>
          <w:tcPr>
            <w:tcW w:w="3827" w:type="dxa"/>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24"/>
                <w:szCs w:val="24"/>
              </w:rPr>
            </w:pPr>
            <w:r>
              <w:rPr>
                <w:rFonts w:hint="eastAsia" w:ascii="仿宋_GB2312" w:hAnsi="宋体" w:eastAsia="仿宋_GB2312" w:cs="宋体"/>
                <w:kern w:val="0"/>
                <w:sz w:val="24"/>
                <w:szCs w:val="24"/>
              </w:rPr>
              <w:t>《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二）危险物品的生产、经营、储存单位以及矿山、金属冶炼、建筑施工、道路运输单位的主要负责人和安全生产管理人员未按照规定经考核合格的；”</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从事煤气生产、储存、输送、使用、维护、检修人员未依法持证上岗。</w:t>
            </w:r>
          </w:p>
        </w:tc>
        <w:tc>
          <w:tcPr>
            <w:tcW w:w="3827" w:type="dxa"/>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24"/>
                <w:szCs w:val="24"/>
              </w:rPr>
            </w:pPr>
            <w:r>
              <w:rPr>
                <w:rFonts w:hint="eastAsia" w:ascii="仿宋_GB2312" w:eastAsia="仿宋_GB2312"/>
                <w:sz w:val="24"/>
                <w:szCs w:val="24"/>
              </w:rPr>
              <w:t>《特种作业人员安全技术培训考核管理规定》</w:t>
            </w:r>
            <w:r>
              <w:rPr>
                <w:rFonts w:ascii="仿宋_GB2312" w:eastAsia="仿宋_GB2312"/>
                <w:sz w:val="24"/>
                <w:szCs w:val="24"/>
              </w:rPr>
              <w:t>第三十九条</w:t>
            </w:r>
            <w:r>
              <w:rPr>
                <w:rFonts w:hint="eastAsia" w:ascii="仿宋_GB2312" w:eastAsia="仿宋_GB2312"/>
                <w:sz w:val="24"/>
                <w:szCs w:val="24"/>
              </w:rPr>
              <w:t>“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未严格执行高危作业审批制度，未制定严谨的检维修工作方案，未落实交叉作业的现场安全管理职责。</w:t>
            </w:r>
          </w:p>
        </w:tc>
        <w:tc>
          <w:tcPr>
            <w:tcW w:w="3827"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r>
              <w:rPr>
                <w:rFonts w:hint="eastAsia" w:ascii="仿宋_GB2312" w:hAnsi="宋体" w:eastAsia="仿宋_GB2312" w:cs="宋体"/>
                <w:kern w:val="0"/>
                <w:sz w:val="24"/>
                <w:szCs w:val="24"/>
              </w:rPr>
              <w:t>《安全生产法》第一百零一条“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5" w:hRule="atLeast"/>
        </w:trPr>
        <w:tc>
          <w:tcPr>
            <w:tcW w:w="1809" w:type="dxa"/>
            <w:vMerge w:val="restart"/>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高温熔融金属</w:t>
            </w: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会议室、活动室、休息室、更衣室等场所设置在铁水、钢水与液渣吊运影响的范围内。</w:t>
            </w:r>
          </w:p>
        </w:tc>
        <w:tc>
          <w:tcPr>
            <w:tcW w:w="3827"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hAnsi="宋体" w:eastAsia="仿宋_GB2312" w:cs="宋体"/>
                <w:kern w:val="0"/>
                <w:sz w:val="24"/>
                <w:szCs w:val="24"/>
              </w:rPr>
            </w:pPr>
            <w:r>
              <w:rPr>
                <w:rFonts w:hint="eastAsia" w:ascii="仿宋_GB2312" w:hAnsi="宋体" w:eastAsia="仿宋_GB2312" w:cs="宋体"/>
                <w:kern w:val="0"/>
                <w:sz w:val="24"/>
                <w:szCs w:val="24"/>
              </w:rPr>
              <w:t>《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r>
              <w:rPr>
                <w:rFonts w:hint="eastAsia" w:ascii="仿宋_GB2312" w:hAnsi="宋体" w:eastAsia="仿宋_GB2312" w:cs="宋体"/>
                <w:kern w:val="0"/>
                <w:sz w:val="24"/>
                <w:szCs w:val="24"/>
              </w:rPr>
              <w:t>《安全生产事故隐患排查治理暂行规定》（国家安全监管总局令第16号）第二十六条“生产经营单位违反本规定，有下列行为之一的，由安全监管监察部门给予警告，并处三万元以下的罚款：（四）重大事故隐患不报或者未及时报告的；（五）未对事故隐患进行排查治理擅自生产经营的”</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吊运铁水、钢水与液渣起重机不符合冶金起重机的相关要求；炼钢厂在吊运重罐铁水、钢水或液渣时，未使用固定式龙门钩的铸造起重机，龙门钩横梁、耳轴销和吊钩、钢丝绳及其端头固定零件，未进行定期检查，发现问题未及时整改。</w:t>
            </w:r>
          </w:p>
        </w:tc>
        <w:tc>
          <w:tcPr>
            <w:tcW w:w="3827"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hAnsi="宋体" w:eastAsia="仿宋_GB2312" w:cs="宋体"/>
                <w:kern w:val="0"/>
                <w:sz w:val="24"/>
                <w:szCs w:val="24"/>
              </w:rPr>
              <w:t>同上</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盛装铁水、钢水与液渣的罐（包、盆）等容器耳轴未按国家标准规定要求定期进行探伤检测。</w:t>
            </w:r>
          </w:p>
        </w:tc>
        <w:tc>
          <w:tcPr>
            <w:tcW w:w="3827"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hAnsi="宋体" w:eastAsia="仿宋_GB2312" w:cs="宋体"/>
                <w:kern w:val="0"/>
                <w:sz w:val="24"/>
                <w:szCs w:val="24"/>
              </w:rPr>
              <w:t>同上</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冶炼、熔炼、精炼生产区域的安全坑内及熔体泄漏、喷溅影响范围内存在积水，放置有易燃易爆物品。金属铸造、连铸、浇铸流程未设置铁水罐、钢水罐、溢流槽、中间溢流罐等高温熔融金属紧急排放和应急储存设施。</w:t>
            </w:r>
          </w:p>
        </w:tc>
        <w:tc>
          <w:tcPr>
            <w:tcW w:w="3827"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hAnsi="宋体" w:eastAsia="仿宋_GB2312" w:cs="宋体"/>
                <w:kern w:val="0"/>
                <w:sz w:val="24"/>
                <w:szCs w:val="24"/>
              </w:rPr>
              <w:t>同上</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炉、窑、槽、罐类设备本体及附属设施未定期检查，出现严重焊缝开裂、腐蚀、破损、衬砖损坏、壳体发红及明显弯曲变形等未报修或报废，仍继续使用。</w:t>
            </w:r>
          </w:p>
        </w:tc>
        <w:tc>
          <w:tcPr>
            <w:tcW w:w="3827"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hAnsi="宋体" w:eastAsia="仿宋_GB2312" w:cs="宋体"/>
                <w:kern w:val="0"/>
                <w:sz w:val="24"/>
                <w:szCs w:val="24"/>
              </w:rPr>
              <w:t>同上</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809" w:type="dxa"/>
            <w:vMerge w:val="continue"/>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氧枪等水冷元件未配置出水温度与进出水流量差检测、报警装置及温度监测，未与炉体倾动、氧气开闭等联锁。</w:t>
            </w:r>
          </w:p>
        </w:tc>
        <w:tc>
          <w:tcPr>
            <w:tcW w:w="3827"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hAnsi="宋体" w:eastAsia="仿宋_GB2312" w:cs="宋体"/>
                <w:kern w:val="0"/>
                <w:sz w:val="24"/>
                <w:szCs w:val="24"/>
              </w:rPr>
              <w:t>同上</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809" w:type="dxa"/>
            <w:vMerge w:val="continue"/>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废钢配料，废钢不干燥，含有爆炸物、有毒物或密闭容器；废钢料高度超过料槽上口。</w:t>
            </w:r>
          </w:p>
        </w:tc>
        <w:tc>
          <w:tcPr>
            <w:tcW w:w="3827"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hAnsi="宋体" w:eastAsia="仿宋_GB2312" w:cs="宋体"/>
                <w:kern w:val="0"/>
                <w:sz w:val="24"/>
                <w:szCs w:val="24"/>
              </w:rPr>
              <w:t>同上</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1809" w:type="dxa"/>
            <w:vMerge w:val="restart"/>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eastAsia="仿宋_GB2312"/>
                <w:sz w:val="32"/>
                <w:szCs w:val="32"/>
              </w:rPr>
              <w:t>煤气</w:t>
            </w: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煤气柜建设在居民稠密区，未远离大型建筑、仓库、通信和交通枢纽等重要设施；附属设备设施未按防火防爆要求配置防爆型设备；柜顶未设置防雷装置。</w:t>
            </w:r>
          </w:p>
        </w:tc>
        <w:tc>
          <w:tcPr>
            <w:tcW w:w="3827"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hAnsi="宋体" w:eastAsia="仿宋_GB2312" w:cs="宋体"/>
                <w:kern w:val="0"/>
                <w:sz w:val="24"/>
                <w:szCs w:val="24"/>
              </w:rPr>
              <w:t>同上</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809" w:type="dxa"/>
            <w:vMerge w:val="continue"/>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煤气区域的值班室、操作室等人员较集中的地方，未设置固定式一氧化碳监测报警装置。</w:t>
            </w:r>
          </w:p>
        </w:tc>
        <w:tc>
          <w:tcPr>
            <w:tcW w:w="3827"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hAnsi="宋体" w:eastAsia="仿宋_GB2312" w:cs="宋体"/>
                <w:kern w:val="0"/>
                <w:sz w:val="24"/>
                <w:szCs w:val="24"/>
              </w:rPr>
              <w:t>同上</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高炉、转炉、加热炉、煤气柜、除尘器等设施的煤气管道未设置可靠隔离装置和吹扫设施。</w:t>
            </w:r>
          </w:p>
        </w:tc>
        <w:tc>
          <w:tcPr>
            <w:tcW w:w="3827"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hAnsi="宋体" w:eastAsia="仿宋_GB2312" w:cs="宋体"/>
                <w:kern w:val="0"/>
                <w:sz w:val="24"/>
                <w:szCs w:val="24"/>
              </w:rPr>
              <w:t>同上</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809" w:type="dxa"/>
            <w:vMerge w:val="continue"/>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c>
          <w:tcPr>
            <w:tcW w:w="6096" w:type="dxa"/>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32"/>
                <w:szCs w:val="32"/>
              </w:rPr>
            </w:pPr>
            <w:r>
              <w:rPr>
                <w:rFonts w:hint="eastAsia" w:ascii="仿宋_GB2312" w:eastAsia="仿宋_GB2312"/>
                <w:sz w:val="24"/>
                <w:szCs w:val="24"/>
              </w:rPr>
              <w:t>煤气分配主管上支管引接处，未设置可靠的切断装置；车间内各类燃气管线，在车间入口未设置总管切断阀。</w:t>
            </w:r>
          </w:p>
        </w:tc>
        <w:tc>
          <w:tcPr>
            <w:tcW w:w="3827"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hAnsi="宋体" w:eastAsia="仿宋_GB2312" w:cs="宋体"/>
                <w:kern w:val="0"/>
                <w:sz w:val="24"/>
                <w:szCs w:val="24"/>
              </w:rPr>
              <w:t>同上</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7905" w:type="dxa"/>
            <w:gridSpan w:val="2"/>
            <w:vAlign w:val="center"/>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ascii="仿宋_GB2312" w:eastAsia="仿宋_GB2312"/>
                <w:sz w:val="24"/>
                <w:szCs w:val="24"/>
              </w:rPr>
            </w:pPr>
            <w:r>
              <w:rPr>
                <w:rFonts w:hint="eastAsia" w:ascii="仿宋_GB2312" w:eastAsia="仿宋_GB2312"/>
                <w:sz w:val="24"/>
                <w:szCs w:val="24"/>
              </w:rPr>
              <w:t>未按照要求淘汰《金属冶炼企业禁止使用的设备及工艺目录（第一批）》中涉及的设备及工艺。</w:t>
            </w:r>
          </w:p>
        </w:tc>
        <w:tc>
          <w:tcPr>
            <w:tcW w:w="3827"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仿宋_GB2312" w:eastAsia="仿宋_GB2312"/>
                <w:sz w:val="32"/>
                <w:szCs w:val="32"/>
              </w:rPr>
            </w:pPr>
            <w:r>
              <w:rPr>
                <w:rFonts w:hint="eastAsia" w:ascii="仿宋_GB2312" w:hAnsi="宋体" w:eastAsia="仿宋_GB2312" w:cs="宋体"/>
                <w:kern w:val="0"/>
                <w:sz w:val="24"/>
                <w:szCs w:val="24"/>
              </w:rPr>
              <w:t>《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使用应当淘汰的危及生产安全的工艺、设备的。”</w:t>
            </w:r>
            <w:r>
              <w:rPr>
                <w:rFonts w:ascii="仿宋_GB2312" w:eastAsia="仿宋_GB2312"/>
                <w:sz w:val="32"/>
                <w:szCs w:val="32"/>
              </w:rPr>
              <w:t xml:space="preserve"> </w:t>
            </w:r>
          </w:p>
        </w:tc>
        <w:tc>
          <w:tcPr>
            <w:tcW w:w="2060" w:type="dxa"/>
            <w:vAlign w:val="top"/>
          </w:tcPr>
          <w:p>
            <w:pPr>
              <w:keepNext w:val="0"/>
              <w:keepLines w:val="0"/>
              <w:pageBreakBefore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3792" w:type="dxa"/>
            <w:gridSpan w:val="4"/>
            <w:vAlign w:val="center"/>
          </w:tcPr>
          <w:p>
            <w:pPr>
              <w:keepNext w:val="0"/>
              <w:keepLines w:val="0"/>
              <w:pageBreakBefore w:val="0"/>
              <w:kinsoku/>
              <w:wordWrap/>
              <w:overflowPunct/>
              <w:topLinePunct w:val="0"/>
              <w:autoSpaceDE/>
              <w:autoSpaceDN/>
              <w:bidi w:val="0"/>
              <w:spacing w:line="500" w:lineRule="exact"/>
              <w:ind w:left="0" w:leftChars="0" w:right="0" w:rightChars="0" w:firstLine="0" w:firstLineChars="0"/>
              <w:jc w:val="left"/>
              <w:textAlignment w:val="auto"/>
              <w:outlineLvl w:val="9"/>
              <w:rPr>
                <w:rFonts w:hint="eastAsia" w:ascii="仿宋_GB2312" w:eastAsia="仿宋_GB2312"/>
                <w:sz w:val="32"/>
                <w:szCs w:val="32"/>
              </w:rPr>
            </w:pPr>
            <w:r>
              <w:rPr>
                <w:rFonts w:hint="eastAsia" w:ascii="仿宋_GB2312" w:eastAsia="仿宋_GB2312"/>
                <w:sz w:val="32"/>
                <w:szCs w:val="32"/>
              </w:rPr>
              <w:t>其他严重安全问题（可另附页）：</w:t>
            </w:r>
          </w:p>
          <w:p>
            <w:pPr>
              <w:keepNext w:val="0"/>
              <w:keepLines w:val="0"/>
              <w:pageBreakBefore w:val="0"/>
              <w:kinsoku/>
              <w:wordWrap/>
              <w:overflowPunct/>
              <w:topLinePunct w:val="0"/>
              <w:autoSpaceDE/>
              <w:autoSpaceDN/>
              <w:bidi w:val="0"/>
              <w:spacing w:line="500" w:lineRule="exact"/>
              <w:ind w:left="0" w:leftChars="0" w:right="0" w:rightChars="0" w:firstLine="0" w:firstLineChars="0"/>
              <w:jc w:val="left"/>
              <w:textAlignment w:val="auto"/>
              <w:outlineLvl w:val="9"/>
              <w:rPr>
                <w:rFonts w:hint="eastAsia" w:ascii="仿宋_GB2312" w:eastAsia="仿宋_GB2312"/>
                <w:sz w:val="32"/>
                <w:szCs w:val="32"/>
              </w:rPr>
            </w:pPr>
          </w:p>
          <w:p>
            <w:pPr>
              <w:keepNext w:val="0"/>
              <w:keepLines w:val="0"/>
              <w:pageBreakBefore w:val="0"/>
              <w:kinsoku/>
              <w:wordWrap/>
              <w:overflowPunct/>
              <w:topLinePunct w:val="0"/>
              <w:autoSpaceDE/>
              <w:autoSpaceDN/>
              <w:bidi w:val="0"/>
              <w:spacing w:line="500" w:lineRule="exact"/>
              <w:ind w:left="0" w:leftChars="0" w:right="0" w:rightChars="0" w:firstLine="0" w:firstLineChars="0"/>
              <w:jc w:val="left"/>
              <w:textAlignment w:val="auto"/>
              <w:outlineLvl w:val="9"/>
              <w:rPr>
                <w:rFonts w:hint="eastAsia" w:ascii="仿宋_GB2312" w:eastAsia="仿宋_GB2312"/>
                <w:sz w:val="32"/>
                <w:szCs w:val="32"/>
              </w:rPr>
            </w:pPr>
          </w:p>
        </w:tc>
      </w:tr>
    </w:tbl>
    <w:p>
      <w:pPr>
        <w:spacing w:line="560" w:lineRule="exact"/>
        <w:jc w:val="left"/>
      </w:pPr>
      <w:r>
        <w:rPr>
          <w:rFonts w:hint="eastAsia" w:ascii="仿宋_GB2312" w:eastAsia="仿宋_GB2312"/>
          <w:b/>
          <w:sz w:val="28"/>
          <w:szCs w:val="28"/>
        </w:rPr>
        <w:t>注：检查单位发现企业存在重大生产安全事故隐患，请依照有关法律法规规定，严格执法，填写执法情况。</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黑体">
    <w:panose1 w:val="0201060906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楷体">
    <w:panose1 w:val="02010609060101010101"/>
    <w:charset w:val="7A"/>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8" w:usb3="00000000" w:csb0="000001FF" w:csb1="00000000"/>
  </w:font>
  <w:font w:name="仿宋_GB2312">
    <w:altName w:val="仿宋"/>
    <w:panose1 w:val="00000000000000000000"/>
    <w:charset w:val="00"/>
    <w:family w:val="auto"/>
    <w:pitch w:val="default"/>
    <w:sig w:usb0="00000000" w:usb1="00000000" w:usb2="00000000" w:usb3="00000000" w:csb0="00000000" w:csb1="00000000"/>
  </w:font>
  <w:font w:name="FZXBSJW--GB1-0">
    <w:altName w:val="宋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微软雅黑"/>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FZXiaoBiaoSong-B05">
    <w:altName w:val="宋体"/>
    <w:panose1 w:val="00000000000000000000"/>
    <w:charset w:val="86"/>
    <w:family w:val="script"/>
    <w:pitch w:val="default"/>
    <w:sig w:usb0="00000000" w:usb1="00000000" w:usb2="00000000" w:usb3="00000000" w:csb0="00040000" w:csb1="00000000"/>
  </w:font>
  <w:font w:name="方正仿宋_GB18030">
    <w:altName w:val="Times New Roman"/>
    <w:panose1 w:val="00000000000000000000"/>
    <w:charset w:val="00"/>
    <w:family w:val="roman"/>
    <w:pitch w:val="default"/>
    <w:sig w:usb0="00000000" w:usb1="00000000" w:usb2="00000008" w:usb3="00000000" w:csb0="000001FF" w:csb1="00000000"/>
  </w:font>
  <w:font w:name="????_GB18030">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E2BE7"/>
    <w:rsid w:val="02DE2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ajj</Company>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2018-04-15T01:31:00Z</dcterms:created>
  <dc:creator>简志勇</dc:creator>
  <cp:lastModifiedBy>简志勇</cp:lastModifiedBy>
  <dcterms:modified xsi:type="dcterms:W3CDTF">2018-04-15T01:37:21Z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