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66E3" w14:textId="77777777" w:rsidR="0071680D" w:rsidRDefault="00EB341E">
      <w:pPr>
        <w:jc w:val="center"/>
        <w:rPr>
          <w:rFonts w:ascii="黑体" w:eastAsia="黑体" w:hAnsi="黑体"/>
          <w:sz w:val="36"/>
          <w:szCs w:val="36"/>
        </w:rPr>
      </w:pPr>
      <w:r>
        <w:rPr>
          <w:rFonts w:ascii="黑体" w:eastAsia="黑体" w:hAnsi="黑体" w:hint="eastAsia"/>
          <w:sz w:val="36"/>
          <w:szCs w:val="36"/>
        </w:rPr>
        <w:t>广西壮族自治区安全生产监督管理局安全生产领域联合惩戒对象信息汇总表（9月份）</w:t>
      </w:r>
    </w:p>
    <w:p w14:paraId="0C31D1A2" w14:textId="77777777" w:rsidR="0071680D" w:rsidRDefault="0071680D">
      <w:pPr>
        <w:rPr>
          <w:sz w:val="36"/>
          <w:szCs w:val="36"/>
        </w:rPr>
      </w:pPr>
    </w:p>
    <w:p w14:paraId="6E43EC0C" w14:textId="77777777" w:rsidR="0071680D" w:rsidRDefault="00EB341E">
      <w:pPr>
        <w:rPr>
          <w:sz w:val="24"/>
          <w:szCs w:val="24"/>
        </w:rPr>
      </w:pPr>
      <w:r>
        <w:rPr>
          <w:rFonts w:hint="eastAsia"/>
          <w:sz w:val="24"/>
          <w:szCs w:val="24"/>
        </w:rPr>
        <w:t>填报单位：广西壮族自治区安全生产监督管理局　　填报时间：</w:t>
      </w:r>
      <w:r>
        <w:rPr>
          <w:rFonts w:hint="eastAsia"/>
          <w:sz w:val="24"/>
          <w:szCs w:val="24"/>
        </w:rPr>
        <w:t>2018</w:t>
      </w:r>
      <w:r>
        <w:rPr>
          <w:rFonts w:hint="eastAsia"/>
          <w:sz w:val="24"/>
          <w:szCs w:val="24"/>
        </w:rPr>
        <w:t>年</w:t>
      </w:r>
      <w:r>
        <w:rPr>
          <w:rFonts w:hint="eastAsia"/>
          <w:sz w:val="24"/>
          <w:szCs w:val="24"/>
        </w:rPr>
        <w:t>10</w:t>
      </w:r>
      <w:r>
        <w:rPr>
          <w:rFonts w:hint="eastAsia"/>
          <w:sz w:val="24"/>
          <w:szCs w:val="24"/>
        </w:rPr>
        <w:t>月</w:t>
      </w:r>
      <w:r>
        <w:rPr>
          <w:rFonts w:hint="eastAsia"/>
          <w:sz w:val="24"/>
          <w:szCs w:val="24"/>
        </w:rPr>
        <w:t>10</w:t>
      </w:r>
      <w:r>
        <w:rPr>
          <w:rFonts w:hint="eastAsia"/>
          <w:sz w:val="24"/>
          <w:szCs w:val="24"/>
        </w:rPr>
        <w:t xml:space="preserve">日　　</w:t>
      </w:r>
      <w:proofErr w:type="gramStart"/>
      <w:r>
        <w:rPr>
          <w:rFonts w:hint="eastAsia"/>
          <w:sz w:val="24"/>
          <w:szCs w:val="24"/>
        </w:rPr>
        <w:t xml:space="preserve">　</w:t>
      </w:r>
      <w:proofErr w:type="gramEnd"/>
      <w:r>
        <w:rPr>
          <w:rFonts w:hint="eastAsia"/>
          <w:sz w:val="24"/>
          <w:szCs w:val="24"/>
        </w:rPr>
        <w:t>联系人：覃继翰　　联系电话：</w:t>
      </w:r>
      <w:r>
        <w:rPr>
          <w:rFonts w:hint="eastAsia"/>
          <w:sz w:val="24"/>
          <w:szCs w:val="24"/>
        </w:rPr>
        <w:t>0771-5659087</w:t>
      </w:r>
    </w:p>
    <w:tbl>
      <w:tblPr>
        <w:tblStyle w:val="a9"/>
        <w:tblW w:w="14391" w:type="dxa"/>
        <w:tblLayout w:type="fixed"/>
        <w:tblLook w:val="04A0" w:firstRow="1" w:lastRow="0" w:firstColumn="1" w:lastColumn="0" w:noHBand="0" w:noVBand="1"/>
      </w:tblPr>
      <w:tblGrid>
        <w:gridCol w:w="489"/>
        <w:gridCol w:w="778"/>
        <w:gridCol w:w="778"/>
        <w:gridCol w:w="972"/>
        <w:gridCol w:w="778"/>
        <w:gridCol w:w="1167"/>
        <w:gridCol w:w="778"/>
        <w:gridCol w:w="2124"/>
        <w:gridCol w:w="939"/>
        <w:gridCol w:w="633"/>
        <w:gridCol w:w="875"/>
        <w:gridCol w:w="1065"/>
        <w:gridCol w:w="1065"/>
        <w:gridCol w:w="783"/>
        <w:gridCol w:w="1167"/>
      </w:tblGrid>
      <w:tr w:rsidR="0071680D" w14:paraId="30CD5F65" w14:textId="77777777">
        <w:trPr>
          <w:trHeight w:val="448"/>
          <w:tblHeader/>
        </w:trPr>
        <w:tc>
          <w:tcPr>
            <w:tcW w:w="489" w:type="dxa"/>
            <w:vMerge w:val="restart"/>
            <w:vAlign w:val="center"/>
          </w:tcPr>
          <w:p w14:paraId="3EC36B0A" w14:textId="77777777" w:rsidR="0071680D" w:rsidRDefault="00EB341E">
            <w:pPr>
              <w:jc w:val="center"/>
              <w:rPr>
                <w:b/>
                <w:bCs/>
                <w:sz w:val="24"/>
                <w:szCs w:val="24"/>
              </w:rPr>
            </w:pPr>
            <w:r>
              <w:rPr>
                <w:rFonts w:hint="eastAsia"/>
                <w:b/>
                <w:bCs/>
                <w:sz w:val="24"/>
                <w:szCs w:val="24"/>
              </w:rPr>
              <w:t>序号</w:t>
            </w:r>
          </w:p>
        </w:tc>
        <w:tc>
          <w:tcPr>
            <w:tcW w:w="778" w:type="dxa"/>
            <w:vMerge w:val="restart"/>
            <w:vAlign w:val="center"/>
          </w:tcPr>
          <w:p w14:paraId="69EE4103" w14:textId="77777777" w:rsidR="0071680D" w:rsidRDefault="00EB341E">
            <w:pPr>
              <w:jc w:val="center"/>
              <w:rPr>
                <w:b/>
                <w:bCs/>
                <w:sz w:val="24"/>
                <w:szCs w:val="24"/>
              </w:rPr>
            </w:pPr>
            <w:r>
              <w:rPr>
                <w:rFonts w:hint="eastAsia"/>
                <w:b/>
                <w:bCs/>
                <w:sz w:val="24"/>
                <w:szCs w:val="24"/>
              </w:rPr>
              <w:t>单位名称</w:t>
            </w:r>
          </w:p>
        </w:tc>
        <w:tc>
          <w:tcPr>
            <w:tcW w:w="778" w:type="dxa"/>
            <w:vMerge w:val="restart"/>
            <w:vAlign w:val="center"/>
          </w:tcPr>
          <w:p w14:paraId="7440FCE2" w14:textId="77777777" w:rsidR="0071680D" w:rsidRDefault="00EB341E">
            <w:pPr>
              <w:jc w:val="center"/>
              <w:rPr>
                <w:b/>
                <w:bCs/>
                <w:sz w:val="24"/>
                <w:szCs w:val="24"/>
              </w:rPr>
            </w:pPr>
            <w:r>
              <w:rPr>
                <w:rFonts w:hint="eastAsia"/>
                <w:b/>
                <w:bCs/>
                <w:sz w:val="24"/>
                <w:szCs w:val="24"/>
              </w:rPr>
              <w:t>注册地址</w:t>
            </w:r>
          </w:p>
        </w:tc>
        <w:tc>
          <w:tcPr>
            <w:tcW w:w="972" w:type="dxa"/>
            <w:vMerge w:val="restart"/>
            <w:vAlign w:val="center"/>
          </w:tcPr>
          <w:p w14:paraId="7C326069" w14:textId="77777777" w:rsidR="0071680D" w:rsidRDefault="00EB341E">
            <w:pPr>
              <w:jc w:val="center"/>
              <w:rPr>
                <w:b/>
                <w:bCs/>
                <w:sz w:val="24"/>
                <w:szCs w:val="24"/>
              </w:rPr>
            </w:pPr>
            <w:r>
              <w:rPr>
                <w:rFonts w:hint="eastAsia"/>
                <w:b/>
                <w:bCs/>
                <w:sz w:val="24"/>
                <w:szCs w:val="24"/>
              </w:rPr>
              <w:t>统一的社会信用代码</w:t>
            </w:r>
          </w:p>
        </w:tc>
        <w:tc>
          <w:tcPr>
            <w:tcW w:w="778" w:type="dxa"/>
            <w:vMerge w:val="restart"/>
            <w:vAlign w:val="center"/>
          </w:tcPr>
          <w:p w14:paraId="33A99528" w14:textId="77777777" w:rsidR="0071680D" w:rsidRDefault="00EB341E">
            <w:pPr>
              <w:jc w:val="center"/>
              <w:rPr>
                <w:b/>
                <w:bCs/>
                <w:sz w:val="24"/>
                <w:szCs w:val="24"/>
              </w:rPr>
            </w:pPr>
            <w:r>
              <w:rPr>
                <w:rFonts w:hint="eastAsia"/>
                <w:b/>
                <w:bCs/>
                <w:sz w:val="24"/>
                <w:szCs w:val="24"/>
              </w:rPr>
              <w:t>主要负责人</w:t>
            </w:r>
          </w:p>
        </w:tc>
        <w:tc>
          <w:tcPr>
            <w:tcW w:w="1167" w:type="dxa"/>
            <w:vMerge w:val="restart"/>
            <w:vAlign w:val="center"/>
          </w:tcPr>
          <w:p w14:paraId="0BCBE07F" w14:textId="77777777" w:rsidR="0071680D" w:rsidRDefault="00EB341E">
            <w:pPr>
              <w:jc w:val="center"/>
              <w:rPr>
                <w:b/>
                <w:bCs/>
                <w:sz w:val="24"/>
                <w:szCs w:val="24"/>
              </w:rPr>
            </w:pPr>
            <w:r>
              <w:rPr>
                <w:rFonts w:hint="eastAsia"/>
                <w:b/>
                <w:bCs/>
                <w:sz w:val="24"/>
                <w:szCs w:val="24"/>
              </w:rPr>
              <w:t>身份证号</w:t>
            </w:r>
          </w:p>
        </w:tc>
        <w:tc>
          <w:tcPr>
            <w:tcW w:w="5349" w:type="dxa"/>
            <w:gridSpan w:val="5"/>
            <w:vAlign w:val="center"/>
          </w:tcPr>
          <w:p w14:paraId="27702E1F" w14:textId="77777777" w:rsidR="0071680D" w:rsidRDefault="00EB341E">
            <w:pPr>
              <w:jc w:val="center"/>
              <w:rPr>
                <w:b/>
                <w:bCs/>
                <w:sz w:val="24"/>
                <w:szCs w:val="24"/>
              </w:rPr>
            </w:pPr>
            <w:r>
              <w:rPr>
                <w:rFonts w:hint="eastAsia"/>
                <w:b/>
                <w:bCs/>
                <w:sz w:val="24"/>
                <w:szCs w:val="24"/>
              </w:rPr>
              <w:t>失信行为简况</w:t>
            </w:r>
          </w:p>
        </w:tc>
        <w:tc>
          <w:tcPr>
            <w:tcW w:w="1065" w:type="dxa"/>
            <w:vMerge w:val="restart"/>
            <w:vAlign w:val="center"/>
          </w:tcPr>
          <w:p w14:paraId="15A627C4" w14:textId="77777777" w:rsidR="0071680D" w:rsidRDefault="00EB341E">
            <w:pPr>
              <w:jc w:val="center"/>
              <w:rPr>
                <w:b/>
                <w:bCs/>
                <w:sz w:val="24"/>
                <w:szCs w:val="24"/>
              </w:rPr>
            </w:pPr>
            <w:r>
              <w:rPr>
                <w:rFonts w:ascii="黑体" w:eastAsia="黑体" w:hAnsi="黑体" w:hint="eastAsia"/>
                <w:b/>
                <w:bCs/>
                <w:szCs w:val="21"/>
              </w:rPr>
              <w:t>信息报送机关</w:t>
            </w:r>
          </w:p>
        </w:tc>
        <w:tc>
          <w:tcPr>
            <w:tcW w:w="1065" w:type="dxa"/>
            <w:vMerge w:val="restart"/>
            <w:vAlign w:val="center"/>
          </w:tcPr>
          <w:p w14:paraId="22504F24" w14:textId="77777777" w:rsidR="0071680D" w:rsidRDefault="00EB341E">
            <w:pPr>
              <w:jc w:val="center"/>
              <w:rPr>
                <w:b/>
                <w:bCs/>
                <w:sz w:val="24"/>
                <w:szCs w:val="24"/>
              </w:rPr>
            </w:pPr>
            <w:r>
              <w:rPr>
                <w:rFonts w:hint="eastAsia"/>
                <w:b/>
                <w:bCs/>
                <w:sz w:val="24"/>
                <w:szCs w:val="24"/>
              </w:rPr>
              <w:t>纳入联合惩戒对象理由</w:t>
            </w:r>
          </w:p>
        </w:tc>
        <w:tc>
          <w:tcPr>
            <w:tcW w:w="783" w:type="dxa"/>
            <w:vMerge w:val="restart"/>
            <w:vAlign w:val="center"/>
          </w:tcPr>
          <w:p w14:paraId="7DF8CFBF" w14:textId="77777777" w:rsidR="0071680D" w:rsidRDefault="00EB341E">
            <w:pPr>
              <w:jc w:val="center"/>
              <w:rPr>
                <w:b/>
                <w:bCs/>
                <w:sz w:val="24"/>
                <w:szCs w:val="24"/>
              </w:rPr>
            </w:pPr>
            <w:r>
              <w:rPr>
                <w:rFonts w:hint="eastAsia"/>
                <w:b/>
                <w:bCs/>
                <w:sz w:val="24"/>
                <w:szCs w:val="24"/>
              </w:rPr>
              <w:t>是否纳入＂黑名单＂</w:t>
            </w:r>
          </w:p>
        </w:tc>
        <w:tc>
          <w:tcPr>
            <w:tcW w:w="1167" w:type="dxa"/>
            <w:vMerge w:val="restart"/>
            <w:vAlign w:val="center"/>
          </w:tcPr>
          <w:p w14:paraId="4D46D104" w14:textId="77777777" w:rsidR="0071680D" w:rsidRDefault="00EB341E">
            <w:pPr>
              <w:jc w:val="center"/>
              <w:rPr>
                <w:b/>
                <w:bCs/>
                <w:sz w:val="24"/>
                <w:szCs w:val="24"/>
              </w:rPr>
            </w:pPr>
            <w:r>
              <w:rPr>
                <w:rFonts w:hint="eastAsia"/>
                <w:b/>
                <w:bCs/>
                <w:sz w:val="24"/>
                <w:szCs w:val="24"/>
              </w:rPr>
              <w:t>纳入＂黑名单＂理由</w:t>
            </w:r>
          </w:p>
        </w:tc>
      </w:tr>
      <w:tr w:rsidR="0071680D" w14:paraId="66A48377" w14:textId="77777777">
        <w:trPr>
          <w:trHeight w:val="896"/>
          <w:tblHeader/>
        </w:trPr>
        <w:tc>
          <w:tcPr>
            <w:tcW w:w="489" w:type="dxa"/>
            <w:vMerge/>
            <w:vAlign w:val="center"/>
          </w:tcPr>
          <w:p w14:paraId="51D17078" w14:textId="77777777" w:rsidR="0071680D" w:rsidRDefault="0071680D">
            <w:pPr>
              <w:jc w:val="center"/>
              <w:rPr>
                <w:b/>
                <w:bCs/>
                <w:sz w:val="24"/>
                <w:szCs w:val="24"/>
              </w:rPr>
            </w:pPr>
          </w:p>
        </w:tc>
        <w:tc>
          <w:tcPr>
            <w:tcW w:w="778" w:type="dxa"/>
            <w:vMerge/>
            <w:vAlign w:val="center"/>
          </w:tcPr>
          <w:p w14:paraId="6AD49012" w14:textId="77777777" w:rsidR="0071680D" w:rsidRDefault="0071680D">
            <w:pPr>
              <w:jc w:val="center"/>
              <w:rPr>
                <w:b/>
                <w:bCs/>
                <w:sz w:val="24"/>
                <w:szCs w:val="24"/>
              </w:rPr>
            </w:pPr>
          </w:p>
        </w:tc>
        <w:tc>
          <w:tcPr>
            <w:tcW w:w="778" w:type="dxa"/>
            <w:vMerge/>
            <w:vAlign w:val="center"/>
          </w:tcPr>
          <w:p w14:paraId="77A7F2A1" w14:textId="77777777" w:rsidR="0071680D" w:rsidRDefault="0071680D">
            <w:pPr>
              <w:jc w:val="center"/>
              <w:rPr>
                <w:b/>
                <w:bCs/>
                <w:sz w:val="24"/>
                <w:szCs w:val="24"/>
              </w:rPr>
            </w:pPr>
          </w:p>
        </w:tc>
        <w:tc>
          <w:tcPr>
            <w:tcW w:w="972" w:type="dxa"/>
            <w:vMerge/>
            <w:vAlign w:val="center"/>
          </w:tcPr>
          <w:p w14:paraId="01140081" w14:textId="77777777" w:rsidR="0071680D" w:rsidRDefault="0071680D">
            <w:pPr>
              <w:jc w:val="center"/>
              <w:rPr>
                <w:b/>
                <w:bCs/>
                <w:sz w:val="24"/>
                <w:szCs w:val="24"/>
              </w:rPr>
            </w:pPr>
          </w:p>
        </w:tc>
        <w:tc>
          <w:tcPr>
            <w:tcW w:w="778" w:type="dxa"/>
            <w:vMerge/>
            <w:vAlign w:val="center"/>
          </w:tcPr>
          <w:p w14:paraId="77640BA2" w14:textId="77777777" w:rsidR="0071680D" w:rsidRDefault="0071680D">
            <w:pPr>
              <w:jc w:val="center"/>
              <w:rPr>
                <w:b/>
                <w:bCs/>
                <w:sz w:val="24"/>
                <w:szCs w:val="24"/>
              </w:rPr>
            </w:pPr>
          </w:p>
        </w:tc>
        <w:tc>
          <w:tcPr>
            <w:tcW w:w="1167" w:type="dxa"/>
            <w:vMerge/>
            <w:vAlign w:val="center"/>
          </w:tcPr>
          <w:p w14:paraId="541F3D96" w14:textId="77777777" w:rsidR="0071680D" w:rsidRDefault="0071680D">
            <w:pPr>
              <w:jc w:val="center"/>
              <w:rPr>
                <w:b/>
                <w:bCs/>
                <w:sz w:val="24"/>
                <w:szCs w:val="24"/>
              </w:rPr>
            </w:pPr>
          </w:p>
        </w:tc>
        <w:tc>
          <w:tcPr>
            <w:tcW w:w="778" w:type="dxa"/>
            <w:vAlign w:val="center"/>
          </w:tcPr>
          <w:p w14:paraId="4D8A92E9" w14:textId="77777777" w:rsidR="0071680D" w:rsidRDefault="00EB341E">
            <w:pPr>
              <w:jc w:val="center"/>
              <w:rPr>
                <w:b/>
                <w:bCs/>
                <w:sz w:val="24"/>
                <w:szCs w:val="24"/>
              </w:rPr>
            </w:pPr>
            <w:r>
              <w:rPr>
                <w:rFonts w:hint="eastAsia"/>
                <w:b/>
                <w:bCs/>
                <w:sz w:val="24"/>
                <w:szCs w:val="24"/>
              </w:rPr>
              <w:t>发生时间</w:t>
            </w:r>
          </w:p>
        </w:tc>
        <w:tc>
          <w:tcPr>
            <w:tcW w:w="2124" w:type="dxa"/>
            <w:vAlign w:val="center"/>
          </w:tcPr>
          <w:p w14:paraId="5832D24E" w14:textId="77777777" w:rsidR="0071680D" w:rsidRDefault="00EB341E">
            <w:pPr>
              <w:jc w:val="center"/>
              <w:rPr>
                <w:b/>
                <w:bCs/>
                <w:sz w:val="24"/>
                <w:szCs w:val="24"/>
              </w:rPr>
            </w:pPr>
            <w:r>
              <w:rPr>
                <w:rFonts w:hint="eastAsia"/>
                <w:b/>
                <w:bCs/>
                <w:sz w:val="24"/>
                <w:szCs w:val="24"/>
              </w:rPr>
              <w:t>存在的违法违规行为</w:t>
            </w:r>
          </w:p>
        </w:tc>
        <w:tc>
          <w:tcPr>
            <w:tcW w:w="939" w:type="dxa"/>
            <w:vAlign w:val="center"/>
          </w:tcPr>
          <w:p w14:paraId="30BAD620" w14:textId="77777777" w:rsidR="0071680D" w:rsidRDefault="00EB341E">
            <w:pPr>
              <w:jc w:val="center"/>
              <w:rPr>
                <w:b/>
                <w:bCs/>
                <w:sz w:val="24"/>
                <w:szCs w:val="24"/>
              </w:rPr>
            </w:pPr>
            <w:r>
              <w:rPr>
                <w:rFonts w:hint="eastAsia"/>
                <w:b/>
                <w:bCs/>
                <w:sz w:val="24"/>
                <w:szCs w:val="24"/>
              </w:rPr>
              <w:t>死亡</w:t>
            </w:r>
          </w:p>
          <w:p w14:paraId="0AB550A9" w14:textId="77777777" w:rsidR="0071680D" w:rsidRDefault="00EB341E">
            <w:pPr>
              <w:jc w:val="center"/>
              <w:rPr>
                <w:b/>
                <w:bCs/>
                <w:sz w:val="24"/>
                <w:szCs w:val="24"/>
              </w:rPr>
            </w:pPr>
            <w:r>
              <w:rPr>
                <w:rFonts w:hint="eastAsia"/>
                <w:b/>
                <w:bCs/>
                <w:sz w:val="24"/>
                <w:szCs w:val="24"/>
              </w:rPr>
              <w:t>人数</w:t>
            </w:r>
          </w:p>
        </w:tc>
        <w:tc>
          <w:tcPr>
            <w:tcW w:w="633" w:type="dxa"/>
            <w:vAlign w:val="center"/>
          </w:tcPr>
          <w:p w14:paraId="68E41E5C" w14:textId="77777777" w:rsidR="0071680D" w:rsidRDefault="00EB341E">
            <w:pPr>
              <w:jc w:val="center"/>
              <w:rPr>
                <w:b/>
                <w:bCs/>
                <w:sz w:val="24"/>
                <w:szCs w:val="24"/>
              </w:rPr>
            </w:pPr>
            <w:r>
              <w:rPr>
                <w:rFonts w:hint="eastAsia"/>
                <w:b/>
                <w:bCs/>
                <w:sz w:val="24"/>
                <w:szCs w:val="24"/>
              </w:rPr>
              <w:t>受伤人数</w:t>
            </w:r>
          </w:p>
        </w:tc>
        <w:tc>
          <w:tcPr>
            <w:tcW w:w="875" w:type="dxa"/>
            <w:vAlign w:val="center"/>
          </w:tcPr>
          <w:p w14:paraId="126DADC1" w14:textId="77777777" w:rsidR="0071680D" w:rsidRDefault="00EB341E">
            <w:pPr>
              <w:jc w:val="center"/>
              <w:rPr>
                <w:b/>
                <w:bCs/>
                <w:sz w:val="24"/>
                <w:szCs w:val="24"/>
              </w:rPr>
            </w:pPr>
            <w:r>
              <w:rPr>
                <w:rFonts w:hint="eastAsia"/>
                <w:b/>
                <w:bCs/>
                <w:sz w:val="24"/>
                <w:szCs w:val="24"/>
              </w:rPr>
              <w:t>目前查处情况</w:t>
            </w:r>
          </w:p>
        </w:tc>
        <w:tc>
          <w:tcPr>
            <w:tcW w:w="1065" w:type="dxa"/>
            <w:vMerge/>
            <w:vAlign w:val="center"/>
          </w:tcPr>
          <w:p w14:paraId="14AF8208" w14:textId="77777777" w:rsidR="0071680D" w:rsidRDefault="0071680D">
            <w:pPr>
              <w:jc w:val="center"/>
              <w:rPr>
                <w:sz w:val="24"/>
                <w:szCs w:val="24"/>
              </w:rPr>
            </w:pPr>
          </w:p>
        </w:tc>
        <w:tc>
          <w:tcPr>
            <w:tcW w:w="1065" w:type="dxa"/>
            <w:vMerge/>
            <w:vAlign w:val="center"/>
          </w:tcPr>
          <w:p w14:paraId="2C1C3A3C" w14:textId="77777777" w:rsidR="0071680D" w:rsidRDefault="0071680D">
            <w:pPr>
              <w:jc w:val="center"/>
              <w:rPr>
                <w:sz w:val="24"/>
                <w:szCs w:val="24"/>
              </w:rPr>
            </w:pPr>
          </w:p>
        </w:tc>
        <w:tc>
          <w:tcPr>
            <w:tcW w:w="783" w:type="dxa"/>
            <w:vMerge/>
            <w:vAlign w:val="center"/>
          </w:tcPr>
          <w:p w14:paraId="51F2D4A8" w14:textId="77777777" w:rsidR="0071680D" w:rsidRDefault="0071680D">
            <w:pPr>
              <w:jc w:val="center"/>
              <w:rPr>
                <w:sz w:val="24"/>
                <w:szCs w:val="24"/>
              </w:rPr>
            </w:pPr>
          </w:p>
        </w:tc>
        <w:tc>
          <w:tcPr>
            <w:tcW w:w="1167" w:type="dxa"/>
            <w:vMerge/>
            <w:vAlign w:val="center"/>
          </w:tcPr>
          <w:p w14:paraId="6BD50818" w14:textId="77777777" w:rsidR="0071680D" w:rsidRDefault="0071680D">
            <w:pPr>
              <w:jc w:val="center"/>
              <w:rPr>
                <w:sz w:val="24"/>
                <w:szCs w:val="24"/>
              </w:rPr>
            </w:pPr>
          </w:p>
        </w:tc>
      </w:tr>
      <w:tr w:rsidR="0071680D" w14:paraId="38AA2228" w14:textId="77777777">
        <w:trPr>
          <w:trHeight w:val="503"/>
        </w:trPr>
        <w:tc>
          <w:tcPr>
            <w:tcW w:w="489" w:type="dxa"/>
            <w:vAlign w:val="center"/>
          </w:tcPr>
          <w:p w14:paraId="50546B15"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１</w:t>
            </w:r>
          </w:p>
        </w:tc>
        <w:tc>
          <w:tcPr>
            <w:tcW w:w="778" w:type="dxa"/>
            <w:vAlign w:val="center"/>
          </w:tcPr>
          <w:p w14:paraId="519CF253"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ab/>
            </w:r>
          </w:p>
          <w:p w14:paraId="0D0930FF"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广西中</w:t>
            </w:r>
            <w:proofErr w:type="gramStart"/>
            <w:r>
              <w:rPr>
                <w:rFonts w:asciiTheme="minorEastAsia" w:hAnsiTheme="minorEastAsia" w:cstheme="minorEastAsia" w:hint="eastAsia"/>
                <w:szCs w:val="21"/>
              </w:rPr>
              <w:t>闽百联</w:t>
            </w:r>
            <w:proofErr w:type="gramEnd"/>
            <w:r>
              <w:rPr>
                <w:rFonts w:asciiTheme="minorEastAsia" w:hAnsiTheme="minorEastAsia" w:cstheme="minorEastAsia" w:hint="eastAsia"/>
                <w:szCs w:val="21"/>
              </w:rPr>
              <w:t>国际物流有限公司</w:t>
            </w:r>
          </w:p>
        </w:tc>
        <w:tc>
          <w:tcPr>
            <w:tcW w:w="778" w:type="dxa"/>
            <w:vAlign w:val="center"/>
          </w:tcPr>
          <w:p w14:paraId="34A96E1F"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 xml:space="preserve">钦州市钦州港金鼓新城C2栋406、408、409室     </w:t>
            </w:r>
          </w:p>
        </w:tc>
        <w:tc>
          <w:tcPr>
            <w:tcW w:w="972" w:type="dxa"/>
            <w:vAlign w:val="center"/>
          </w:tcPr>
          <w:p w14:paraId="62F259AD"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91450521569076085G</w:t>
            </w:r>
          </w:p>
        </w:tc>
        <w:tc>
          <w:tcPr>
            <w:tcW w:w="778" w:type="dxa"/>
            <w:vAlign w:val="center"/>
          </w:tcPr>
          <w:p w14:paraId="06672774"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彭福川</w:t>
            </w:r>
          </w:p>
        </w:tc>
        <w:tc>
          <w:tcPr>
            <w:tcW w:w="1167" w:type="dxa"/>
            <w:vAlign w:val="center"/>
          </w:tcPr>
          <w:p w14:paraId="3E614C4E" w14:textId="1D73F499" w:rsidR="0071680D" w:rsidRDefault="009D6505">
            <w:pPr>
              <w:spacing w:line="300" w:lineRule="exact"/>
              <w:jc w:val="center"/>
              <w:rPr>
                <w:rFonts w:asciiTheme="minorEastAsia" w:hAnsiTheme="minorEastAsia" w:cstheme="minorEastAsia"/>
                <w:szCs w:val="21"/>
              </w:rPr>
            </w:pPr>
            <w:r>
              <w:rPr>
                <w:rFonts w:asciiTheme="minorEastAsia" w:hAnsiTheme="minorEastAsia" w:cstheme="minorEastAsia"/>
                <w:szCs w:val="21"/>
              </w:rPr>
              <w:t>XXXXX</w:t>
            </w:r>
          </w:p>
        </w:tc>
        <w:tc>
          <w:tcPr>
            <w:tcW w:w="778" w:type="dxa"/>
            <w:vAlign w:val="center"/>
          </w:tcPr>
          <w:p w14:paraId="35B92AE5"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2017年4月10日晚</w:t>
            </w:r>
          </w:p>
        </w:tc>
        <w:tc>
          <w:tcPr>
            <w:tcW w:w="2124" w:type="dxa"/>
            <w:vAlign w:val="center"/>
          </w:tcPr>
          <w:p w14:paraId="1BAF75E0"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广西中</w:t>
            </w:r>
            <w:proofErr w:type="gramStart"/>
            <w:r>
              <w:rPr>
                <w:rFonts w:asciiTheme="minorEastAsia" w:hAnsiTheme="minorEastAsia" w:cstheme="minorEastAsia" w:hint="eastAsia"/>
                <w:szCs w:val="21"/>
              </w:rPr>
              <w:t>闽百联</w:t>
            </w:r>
            <w:proofErr w:type="gramEnd"/>
            <w:r>
              <w:rPr>
                <w:rFonts w:asciiTheme="minorEastAsia" w:hAnsiTheme="minorEastAsia" w:cstheme="minorEastAsia" w:hint="eastAsia"/>
                <w:szCs w:val="21"/>
              </w:rPr>
              <w:t>国际物流有限公司安全生产管理混乱，未健全公司安全生产规章制度，未配备专职或兼职安全生产管理人员；未履行对桂N69587牵引车、桂NA022挂半挂车及其实际车主、驾驶人的安全生产管理职责，采取措施防止驾驶员疲劳驾驶。</w:t>
            </w:r>
          </w:p>
        </w:tc>
        <w:tc>
          <w:tcPr>
            <w:tcW w:w="939" w:type="dxa"/>
            <w:vMerge w:val="restart"/>
            <w:vAlign w:val="center"/>
          </w:tcPr>
          <w:p w14:paraId="3549CE52" w14:textId="77777777" w:rsidR="0071680D" w:rsidRDefault="0071680D">
            <w:pPr>
              <w:spacing w:line="300" w:lineRule="exact"/>
              <w:jc w:val="center"/>
              <w:rPr>
                <w:rFonts w:asciiTheme="minorEastAsia" w:hAnsiTheme="minorEastAsia" w:cstheme="minorEastAsia"/>
                <w:szCs w:val="21"/>
              </w:rPr>
            </w:pPr>
          </w:p>
          <w:p w14:paraId="6B7CDF40"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w:t>
            </w:r>
          </w:p>
          <w:p w14:paraId="308D94AF"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（两起较大交通事故：一辆重型半挂牵引车失控驶入对向车道，与一辆重型自卸货车、一辆中型</w:t>
            </w:r>
            <w:proofErr w:type="gramStart"/>
            <w:r>
              <w:rPr>
                <w:rFonts w:asciiTheme="minorEastAsia" w:hAnsiTheme="minorEastAsia" w:cstheme="minorEastAsia" w:hint="eastAsia"/>
                <w:szCs w:val="21"/>
              </w:rPr>
              <w:t>仓栅</w:t>
            </w:r>
            <w:r>
              <w:rPr>
                <w:rFonts w:asciiTheme="minorEastAsia" w:hAnsiTheme="minorEastAsia" w:cstheme="minorEastAsia" w:hint="eastAsia"/>
                <w:szCs w:val="21"/>
              </w:rPr>
              <w:lastRenderedPageBreak/>
              <w:t>式货车</w:t>
            </w:r>
            <w:proofErr w:type="gramEnd"/>
            <w:r>
              <w:rPr>
                <w:rFonts w:asciiTheme="minorEastAsia" w:hAnsiTheme="minorEastAsia" w:cstheme="minorEastAsia" w:hint="eastAsia"/>
                <w:szCs w:val="21"/>
              </w:rPr>
              <w:t>相撞，造成3人死亡、1人受伤；一辆小型普通客车与重型半挂牵引车甩落于原行车道内的集装箱相撞，造成7人死亡）</w:t>
            </w:r>
          </w:p>
        </w:tc>
        <w:tc>
          <w:tcPr>
            <w:tcW w:w="633" w:type="dxa"/>
            <w:vAlign w:val="center"/>
          </w:tcPr>
          <w:p w14:paraId="428DCFEC"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1</w:t>
            </w:r>
          </w:p>
        </w:tc>
        <w:tc>
          <w:tcPr>
            <w:tcW w:w="875" w:type="dxa"/>
            <w:vAlign w:val="center"/>
          </w:tcPr>
          <w:p w14:paraId="556E5C1C"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对广西中</w:t>
            </w:r>
            <w:proofErr w:type="gramStart"/>
            <w:r>
              <w:rPr>
                <w:rFonts w:asciiTheme="minorEastAsia" w:hAnsiTheme="minorEastAsia" w:cstheme="minorEastAsia" w:hint="eastAsia"/>
                <w:szCs w:val="21"/>
              </w:rPr>
              <w:t>闽百联</w:t>
            </w:r>
            <w:proofErr w:type="gramEnd"/>
            <w:r>
              <w:rPr>
                <w:rFonts w:asciiTheme="minorEastAsia" w:hAnsiTheme="minorEastAsia" w:cstheme="minorEastAsia" w:hint="eastAsia"/>
                <w:szCs w:val="21"/>
              </w:rPr>
              <w:t>国际物流有限公司主要负责人涉嫌构成犯罪，建议移送司法机关进行处理。</w:t>
            </w:r>
          </w:p>
        </w:tc>
        <w:tc>
          <w:tcPr>
            <w:tcW w:w="1065" w:type="dxa"/>
            <w:vAlign w:val="center"/>
          </w:tcPr>
          <w:p w14:paraId="05D0940A"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南宁市安全监管局</w:t>
            </w:r>
          </w:p>
        </w:tc>
        <w:tc>
          <w:tcPr>
            <w:tcW w:w="1065" w:type="dxa"/>
            <w:vAlign w:val="center"/>
          </w:tcPr>
          <w:p w14:paraId="2DCBEC65"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根据《南宁市安全生产 “黑名单”管理制度》相关规定，2018年7月20日至2019年7月19日被列入“黑名单”管理的单位纳入联合惩戒</w:t>
            </w:r>
          </w:p>
        </w:tc>
        <w:tc>
          <w:tcPr>
            <w:tcW w:w="783" w:type="dxa"/>
            <w:vAlign w:val="center"/>
          </w:tcPr>
          <w:p w14:paraId="0338B157"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是</w:t>
            </w:r>
          </w:p>
        </w:tc>
        <w:tc>
          <w:tcPr>
            <w:tcW w:w="1167" w:type="dxa"/>
            <w:vAlign w:val="center"/>
          </w:tcPr>
          <w:p w14:paraId="30F8177F" w14:textId="77777777" w:rsidR="0071680D" w:rsidRDefault="00EB341E">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2017年4月10日晚，在南宁绕城高速公路26km+500m处发生两起较大道路交通生产安全责任事故，经调查认定，中</w:t>
            </w:r>
            <w:proofErr w:type="gramStart"/>
            <w:r>
              <w:rPr>
                <w:rFonts w:asciiTheme="minorEastAsia" w:hAnsiTheme="minorEastAsia" w:cstheme="minorEastAsia" w:hint="eastAsia"/>
                <w:szCs w:val="21"/>
              </w:rPr>
              <w:t>闽百联</w:t>
            </w:r>
            <w:proofErr w:type="gramEnd"/>
            <w:r>
              <w:rPr>
                <w:rFonts w:asciiTheme="minorEastAsia" w:hAnsiTheme="minorEastAsia" w:cstheme="minorEastAsia" w:hint="eastAsia"/>
                <w:szCs w:val="21"/>
              </w:rPr>
              <w:t>物流公司对事故发生负有责任。</w:t>
            </w:r>
          </w:p>
        </w:tc>
      </w:tr>
      <w:tr w:rsidR="0071680D" w14:paraId="0D4D71C7" w14:textId="77777777">
        <w:trPr>
          <w:trHeight w:val="886"/>
        </w:trPr>
        <w:tc>
          <w:tcPr>
            <w:tcW w:w="489" w:type="dxa"/>
            <w:vAlign w:val="center"/>
          </w:tcPr>
          <w:p w14:paraId="71ED19CB"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２</w:t>
            </w:r>
          </w:p>
        </w:tc>
        <w:tc>
          <w:tcPr>
            <w:tcW w:w="778" w:type="dxa"/>
            <w:vAlign w:val="center"/>
          </w:tcPr>
          <w:p w14:paraId="3003629B"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广西必应物流有限公司</w:t>
            </w:r>
          </w:p>
        </w:tc>
        <w:tc>
          <w:tcPr>
            <w:tcW w:w="778" w:type="dxa"/>
            <w:vAlign w:val="center"/>
          </w:tcPr>
          <w:p w14:paraId="0CEA907B"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钦州市钦州港金鼓新城D1幢一单元1101号</w:t>
            </w:r>
          </w:p>
        </w:tc>
        <w:tc>
          <w:tcPr>
            <w:tcW w:w="972" w:type="dxa"/>
            <w:vAlign w:val="center"/>
          </w:tcPr>
          <w:p w14:paraId="1DB56CB1"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91450704576833814R</w:t>
            </w:r>
          </w:p>
        </w:tc>
        <w:tc>
          <w:tcPr>
            <w:tcW w:w="778" w:type="dxa"/>
            <w:vAlign w:val="center"/>
          </w:tcPr>
          <w:p w14:paraId="54178A02"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彭丰年</w:t>
            </w:r>
          </w:p>
        </w:tc>
        <w:tc>
          <w:tcPr>
            <w:tcW w:w="1167" w:type="dxa"/>
            <w:vAlign w:val="center"/>
          </w:tcPr>
          <w:p w14:paraId="2616420C" w14:textId="52DFFFB3" w:rsidR="0071680D" w:rsidRDefault="00A66F18">
            <w:pPr>
              <w:spacing w:line="340" w:lineRule="exact"/>
              <w:jc w:val="center"/>
              <w:rPr>
                <w:rFonts w:asciiTheme="minorEastAsia" w:hAnsiTheme="minorEastAsia" w:cstheme="minorEastAsia"/>
                <w:szCs w:val="21"/>
              </w:rPr>
            </w:pPr>
            <w:r>
              <w:rPr>
                <w:rFonts w:asciiTheme="minorEastAsia" w:hAnsiTheme="minorEastAsia" w:cstheme="minorEastAsia"/>
                <w:szCs w:val="21"/>
              </w:rPr>
              <w:t>XXXXX</w:t>
            </w:r>
          </w:p>
        </w:tc>
        <w:tc>
          <w:tcPr>
            <w:tcW w:w="778" w:type="dxa"/>
            <w:vAlign w:val="center"/>
          </w:tcPr>
          <w:p w14:paraId="3EF09F99"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2017年4月10日晚</w:t>
            </w:r>
          </w:p>
        </w:tc>
        <w:tc>
          <w:tcPr>
            <w:tcW w:w="2124" w:type="dxa"/>
            <w:vAlign w:val="center"/>
          </w:tcPr>
          <w:p w14:paraId="3027973C"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广西必应物流有限公司无视安全生产有关法律法规，对公司名下的营运车辆安全生产管理不到位，在彭福川将桂N69587牵引车、桂NA022挂半挂车带到中</w:t>
            </w:r>
            <w:proofErr w:type="gramStart"/>
            <w:r>
              <w:rPr>
                <w:rFonts w:asciiTheme="minorEastAsia" w:hAnsiTheme="minorEastAsia" w:cstheme="minorEastAsia" w:hint="eastAsia"/>
                <w:szCs w:val="21"/>
              </w:rPr>
              <w:t>闽百联</w:t>
            </w:r>
            <w:proofErr w:type="gramEnd"/>
            <w:r>
              <w:rPr>
                <w:rFonts w:asciiTheme="minorEastAsia" w:hAnsiTheme="minorEastAsia" w:cstheme="minorEastAsia" w:hint="eastAsia"/>
                <w:szCs w:val="21"/>
              </w:rPr>
              <w:t>物流公司经营管理后，未办理该车《道路运输证》注销手续，未对桂N69587牵引车、桂NA022挂半挂车实际车主、驾驶人持续进行安全培训教育。</w:t>
            </w:r>
          </w:p>
        </w:tc>
        <w:tc>
          <w:tcPr>
            <w:tcW w:w="939" w:type="dxa"/>
            <w:vMerge/>
            <w:vAlign w:val="center"/>
          </w:tcPr>
          <w:p w14:paraId="79E1ACCA" w14:textId="77777777" w:rsidR="0071680D" w:rsidRDefault="0071680D">
            <w:pPr>
              <w:spacing w:line="340" w:lineRule="exact"/>
              <w:jc w:val="center"/>
              <w:rPr>
                <w:rFonts w:asciiTheme="minorEastAsia" w:hAnsiTheme="minorEastAsia" w:cstheme="minorEastAsia"/>
                <w:szCs w:val="21"/>
              </w:rPr>
            </w:pPr>
          </w:p>
        </w:tc>
        <w:tc>
          <w:tcPr>
            <w:tcW w:w="633" w:type="dxa"/>
            <w:vAlign w:val="center"/>
          </w:tcPr>
          <w:p w14:paraId="61AEB2F9"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875" w:type="dxa"/>
            <w:vAlign w:val="center"/>
          </w:tcPr>
          <w:p w14:paraId="0614E263"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对广西必应物流有限公司处以行政处罚95万元，对主要负责人彭丰年处以行政处罚2.4万元。</w:t>
            </w:r>
          </w:p>
        </w:tc>
        <w:tc>
          <w:tcPr>
            <w:tcW w:w="1065" w:type="dxa"/>
            <w:vAlign w:val="center"/>
          </w:tcPr>
          <w:p w14:paraId="6A3DA0F7"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南宁市安全监管局</w:t>
            </w:r>
          </w:p>
        </w:tc>
        <w:tc>
          <w:tcPr>
            <w:tcW w:w="1065" w:type="dxa"/>
            <w:vAlign w:val="center"/>
          </w:tcPr>
          <w:p w14:paraId="59551BFD"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根据《南宁市安全生产 “黑名单”管理制度》相关规定，2018年7月20日至2019年7月19日被列入“黑名单”管理的单位纳入联合惩戒</w:t>
            </w:r>
          </w:p>
        </w:tc>
        <w:tc>
          <w:tcPr>
            <w:tcW w:w="783" w:type="dxa"/>
            <w:vAlign w:val="center"/>
          </w:tcPr>
          <w:p w14:paraId="311FA735"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是</w:t>
            </w:r>
          </w:p>
        </w:tc>
        <w:tc>
          <w:tcPr>
            <w:tcW w:w="1167" w:type="dxa"/>
            <w:vAlign w:val="center"/>
          </w:tcPr>
          <w:p w14:paraId="265E5E1E" w14:textId="77777777" w:rsidR="0071680D" w:rsidRDefault="00EB341E">
            <w:pPr>
              <w:spacing w:line="340" w:lineRule="exact"/>
              <w:jc w:val="center"/>
              <w:rPr>
                <w:rFonts w:asciiTheme="minorEastAsia" w:hAnsiTheme="minorEastAsia" w:cstheme="minorEastAsia"/>
                <w:szCs w:val="21"/>
              </w:rPr>
            </w:pPr>
            <w:r>
              <w:rPr>
                <w:rFonts w:asciiTheme="minorEastAsia" w:hAnsiTheme="minorEastAsia" w:cstheme="minorEastAsia" w:hint="eastAsia"/>
                <w:szCs w:val="21"/>
              </w:rPr>
              <w:t>2017年4月10日晚，在南宁绕城高速公路26km+500m处发生两起较大道路交通生产安全责任事故，经调查认定，广西必应物流有限公司对事故发生负有责任。</w:t>
            </w:r>
          </w:p>
        </w:tc>
      </w:tr>
    </w:tbl>
    <w:p w14:paraId="6F12A0B4" w14:textId="77777777" w:rsidR="0071680D" w:rsidRDefault="0071680D">
      <w:pPr>
        <w:spacing w:line="500" w:lineRule="exact"/>
      </w:pPr>
    </w:p>
    <w:p w14:paraId="38AC092F" w14:textId="77777777" w:rsidR="0071680D" w:rsidRDefault="0071680D">
      <w:pPr>
        <w:spacing w:line="500" w:lineRule="exact"/>
      </w:pPr>
    </w:p>
    <w:p w14:paraId="3AE92A37" w14:textId="77777777" w:rsidR="0071680D" w:rsidRDefault="0071680D">
      <w:pPr>
        <w:spacing w:line="500" w:lineRule="exact"/>
      </w:pPr>
    </w:p>
    <w:tbl>
      <w:tblPr>
        <w:tblStyle w:val="a9"/>
        <w:tblW w:w="14400" w:type="dxa"/>
        <w:tblLayout w:type="fixed"/>
        <w:tblLook w:val="04A0" w:firstRow="1" w:lastRow="0" w:firstColumn="1" w:lastColumn="0" w:noHBand="0" w:noVBand="1"/>
      </w:tblPr>
      <w:tblGrid>
        <w:gridCol w:w="490"/>
        <w:gridCol w:w="778"/>
        <w:gridCol w:w="778"/>
        <w:gridCol w:w="973"/>
        <w:gridCol w:w="778"/>
        <w:gridCol w:w="1168"/>
        <w:gridCol w:w="778"/>
        <w:gridCol w:w="2126"/>
        <w:gridCol w:w="939"/>
        <w:gridCol w:w="634"/>
        <w:gridCol w:w="875"/>
        <w:gridCol w:w="1066"/>
        <w:gridCol w:w="1065"/>
        <w:gridCol w:w="784"/>
        <w:gridCol w:w="1168"/>
      </w:tblGrid>
      <w:tr w:rsidR="0071680D" w14:paraId="0F5CC07D" w14:textId="77777777">
        <w:trPr>
          <w:trHeight w:val="438"/>
          <w:tblHeader/>
        </w:trPr>
        <w:tc>
          <w:tcPr>
            <w:tcW w:w="490" w:type="dxa"/>
            <w:vMerge w:val="restart"/>
            <w:vAlign w:val="center"/>
          </w:tcPr>
          <w:p w14:paraId="1E05472A" w14:textId="77777777" w:rsidR="0071680D" w:rsidRDefault="00EB341E">
            <w:pPr>
              <w:jc w:val="center"/>
              <w:rPr>
                <w:b/>
                <w:bCs/>
                <w:sz w:val="24"/>
                <w:szCs w:val="24"/>
              </w:rPr>
            </w:pPr>
            <w:r>
              <w:rPr>
                <w:rFonts w:hint="eastAsia"/>
                <w:b/>
                <w:bCs/>
                <w:sz w:val="24"/>
                <w:szCs w:val="24"/>
              </w:rPr>
              <w:lastRenderedPageBreak/>
              <w:t>序号</w:t>
            </w:r>
          </w:p>
        </w:tc>
        <w:tc>
          <w:tcPr>
            <w:tcW w:w="778" w:type="dxa"/>
            <w:vMerge w:val="restart"/>
            <w:vAlign w:val="center"/>
          </w:tcPr>
          <w:p w14:paraId="4B87DF2A" w14:textId="77777777" w:rsidR="0071680D" w:rsidRDefault="00EB341E">
            <w:pPr>
              <w:jc w:val="center"/>
              <w:rPr>
                <w:b/>
                <w:bCs/>
                <w:sz w:val="24"/>
                <w:szCs w:val="24"/>
              </w:rPr>
            </w:pPr>
            <w:r>
              <w:rPr>
                <w:rFonts w:hint="eastAsia"/>
                <w:b/>
                <w:bCs/>
                <w:sz w:val="24"/>
                <w:szCs w:val="24"/>
              </w:rPr>
              <w:t>单位名称</w:t>
            </w:r>
          </w:p>
        </w:tc>
        <w:tc>
          <w:tcPr>
            <w:tcW w:w="778" w:type="dxa"/>
            <w:vMerge w:val="restart"/>
            <w:vAlign w:val="center"/>
          </w:tcPr>
          <w:p w14:paraId="36891DFB" w14:textId="77777777" w:rsidR="0071680D" w:rsidRDefault="00EB341E">
            <w:pPr>
              <w:jc w:val="center"/>
              <w:rPr>
                <w:b/>
                <w:bCs/>
                <w:sz w:val="24"/>
                <w:szCs w:val="24"/>
              </w:rPr>
            </w:pPr>
            <w:r>
              <w:rPr>
                <w:rFonts w:hint="eastAsia"/>
                <w:b/>
                <w:bCs/>
                <w:sz w:val="24"/>
                <w:szCs w:val="24"/>
              </w:rPr>
              <w:t>注册地址</w:t>
            </w:r>
          </w:p>
        </w:tc>
        <w:tc>
          <w:tcPr>
            <w:tcW w:w="973" w:type="dxa"/>
            <w:vMerge w:val="restart"/>
            <w:vAlign w:val="center"/>
          </w:tcPr>
          <w:p w14:paraId="45500A36" w14:textId="77777777" w:rsidR="0071680D" w:rsidRDefault="00EB341E">
            <w:pPr>
              <w:jc w:val="center"/>
              <w:rPr>
                <w:b/>
                <w:bCs/>
                <w:sz w:val="24"/>
                <w:szCs w:val="24"/>
              </w:rPr>
            </w:pPr>
            <w:r>
              <w:rPr>
                <w:rFonts w:hint="eastAsia"/>
                <w:b/>
                <w:bCs/>
                <w:sz w:val="24"/>
                <w:szCs w:val="24"/>
              </w:rPr>
              <w:t>统一的社会信用代码</w:t>
            </w:r>
          </w:p>
        </w:tc>
        <w:tc>
          <w:tcPr>
            <w:tcW w:w="778" w:type="dxa"/>
            <w:vMerge w:val="restart"/>
            <w:vAlign w:val="center"/>
          </w:tcPr>
          <w:p w14:paraId="2AA4A644" w14:textId="77777777" w:rsidR="0071680D" w:rsidRDefault="00EB341E">
            <w:pPr>
              <w:jc w:val="center"/>
              <w:rPr>
                <w:b/>
                <w:bCs/>
                <w:sz w:val="24"/>
                <w:szCs w:val="24"/>
              </w:rPr>
            </w:pPr>
            <w:r>
              <w:rPr>
                <w:rFonts w:hint="eastAsia"/>
                <w:b/>
                <w:bCs/>
                <w:sz w:val="24"/>
                <w:szCs w:val="24"/>
              </w:rPr>
              <w:t>主要负责人</w:t>
            </w:r>
          </w:p>
        </w:tc>
        <w:tc>
          <w:tcPr>
            <w:tcW w:w="1168" w:type="dxa"/>
            <w:vMerge w:val="restart"/>
            <w:vAlign w:val="center"/>
          </w:tcPr>
          <w:p w14:paraId="098B40B8" w14:textId="77777777" w:rsidR="0071680D" w:rsidRDefault="00EB341E">
            <w:pPr>
              <w:jc w:val="center"/>
              <w:rPr>
                <w:b/>
                <w:bCs/>
                <w:sz w:val="24"/>
                <w:szCs w:val="24"/>
              </w:rPr>
            </w:pPr>
            <w:r>
              <w:rPr>
                <w:rFonts w:hint="eastAsia"/>
                <w:b/>
                <w:bCs/>
                <w:sz w:val="24"/>
                <w:szCs w:val="24"/>
              </w:rPr>
              <w:t>身份证号</w:t>
            </w:r>
          </w:p>
        </w:tc>
        <w:tc>
          <w:tcPr>
            <w:tcW w:w="5352" w:type="dxa"/>
            <w:gridSpan w:val="5"/>
            <w:vAlign w:val="center"/>
          </w:tcPr>
          <w:p w14:paraId="3E3E874B" w14:textId="77777777" w:rsidR="0071680D" w:rsidRDefault="00EB341E">
            <w:pPr>
              <w:jc w:val="center"/>
              <w:rPr>
                <w:b/>
                <w:bCs/>
                <w:sz w:val="24"/>
                <w:szCs w:val="24"/>
              </w:rPr>
            </w:pPr>
            <w:r>
              <w:rPr>
                <w:rFonts w:hint="eastAsia"/>
                <w:b/>
                <w:bCs/>
                <w:sz w:val="24"/>
                <w:szCs w:val="24"/>
              </w:rPr>
              <w:t>失信行为简况</w:t>
            </w:r>
          </w:p>
        </w:tc>
        <w:tc>
          <w:tcPr>
            <w:tcW w:w="1066" w:type="dxa"/>
            <w:vMerge w:val="restart"/>
            <w:vAlign w:val="center"/>
          </w:tcPr>
          <w:p w14:paraId="7FD927C7" w14:textId="77777777" w:rsidR="0071680D" w:rsidRDefault="00EB341E">
            <w:pPr>
              <w:jc w:val="center"/>
              <w:rPr>
                <w:b/>
                <w:bCs/>
                <w:sz w:val="24"/>
                <w:szCs w:val="24"/>
              </w:rPr>
            </w:pPr>
            <w:r>
              <w:rPr>
                <w:rFonts w:ascii="黑体" w:eastAsia="黑体" w:hAnsi="黑体" w:hint="eastAsia"/>
                <w:b/>
                <w:bCs/>
                <w:szCs w:val="21"/>
              </w:rPr>
              <w:t>信息报送机关</w:t>
            </w:r>
          </w:p>
        </w:tc>
        <w:tc>
          <w:tcPr>
            <w:tcW w:w="1065" w:type="dxa"/>
            <w:vMerge w:val="restart"/>
            <w:vAlign w:val="center"/>
          </w:tcPr>
          <w:p w14:paraId="48D7EDD6" w14:textId="77777777" w:rsidR="0071680D" w:rsidRDefault="00EB341E">
            <w:pPr>
              <w:jc w:val="center"/>
              <w:rPr>
                <w:b/>
                <w:bCs/>
                <w:sz w:val="24"/>
                <w:szCs w:val="24"/>
              </w:rPr>
            </w:pPr>
            <w:r>
              <w:rPr>
                <w:rFonts w:hint="eastAsia"/>
                <w:b/>
                <w:bCs/>
                <w:sz w:val="24"/>
                <w:szCs w:val="24"/>
              </w:rPr>
              <w:t>纳入联合惩戒对象理由</w:t>
            </w:r>
          </w:p>
        </w:tc>
        <w:tc>
          <w:tcPr>
            <w:tcW w:w="784" w:type="dxa"/>
            <w:vMerge w:val="restart"/>
            <w:vAlign w:val="center"/>
          </w:tcPr>
          <w:p w14:paraId="1ECBFDFD" w14:textId="77777777" w:rsidR="0071680D" w:rsidRDefault="00EB341E">
            <w:pPr>
              <w:jc w:val="center"/>
              <w:rPr>
                <w:b/>
                <w:bCs/>
                <w:sz w:val="24"/>
                <w:szCs w:val="24"/>
              </w:rPr>
            </w:pPr>
            <w:r>
              <w:rPr>
                <w:rFonts w:hint="eastAsia"/>
                <w:b/>
                <w:bCs/>
                <w:sz w:val="24"/>
                <w:szCs w:val="24"/>
              </w:rPr>
              <w:t>是否纳入＂黑名单＂</w:t>
            </w:r>
          </w:p>
        </w:tc>
        <w:tc>
          <w:tcPr>
            <w:tcW w:w="1168" w:type="dxa"/>
            <w:vMerge w:val="restart"/>
            <w:vAlign w:val="center"/>
          </w:tcPr>
          <w:p w14:paraId="12DBA52F" w14:textId="77777777" w:rsidR="0071680D" w:rsidRDefault="00EB341E">
            <w:pPr>
              <w:jc w:val="center"/>
              <w:rPr>
                <w:b/>
                <w:bCs/>
                <w:sz w:val="24"/>
                <w:szCs w:val="24"/>
              </w:rPr>
            </w:pPr>
            <w:r>
              <w:rPr>
                <w:rFonts w:hint="eastAsia"/>
                <w:b/>
                <w:bCs/>
                <w:sz w:val="24"/>
                <w:szCs w:val="24"/>
              </w:rPr>
              <w:t>纳入＂黑名单＂理由</w:t>
            </w:r>
          </w:p>
        </w:tc>
      </w:tr>
      <w:tr w:rsidR="0071680D" w14:paraId="77CC61A3" w14:textId="77777777">
        <w:trPr>
          <w:trHeight w:val="1212"/>
          <w:tblHeader/>
        </w:trPr>
        <w:tc>
          <w:tcPr>
            <w:tcW w:w="490" w:type="dxa"/>
            <w:vMerge/>
            <w:vAlign w:val="center"/>
          </w:tcPr>
          <w:p w14:paraId="745128AA" w14:textId="77777777" w:rsidR="0071680D" w:rsidRDefault="0071680D">
            <w:pPr>
              <w:jc w:val="center"/>
              <w:rPr>
                <w:b/>
                <w:bCs/>
                <w:sz w:val="24"/>
                <w:szCs w:val="24"/>
              </w:rPr>
            </w:pPr>
          </w:p>
        </w:tc>
        <w:tc>
          <w:tcPr>
            <w:tcW w:w="778" w:type="dxa"/>
            <w:vMerge/>
            <w:vAlign w:val="center"/>
          </w:tcPr>
          <w:p w14:paraId="6891F6DE" w14:textId="77777777" w:rsidR="0071680D" w:rsidRDefault="0071680D">
            <w:pPr>
              <w:jc w:val="center"/>
              <w:rPr>
                <w:b/>
                <w:bCs/>
                <w:sz w:val="24"/>
                <w:szCs w:val="24"/>
              </w:rPr>
            </w:pPr>
          </w:p>
        </w:tc>
        <w:tc>
          <w:tcPr>
            <w:tcW w:w="778" w:type="dxa"/>
            <w:vMerge/>
            <w:vAlign w:val="center"/>
          </w:tcPr>
          <w:p w14:paraId="42B89F41" w14:textId="77777777" w:rsidR="0071680D" w:rsidRDefault="0071680D">
            <w:pPr>
              <w:jc w:val="center"/>
              <w:rPr>
                <w:b/>
                <w:bCs/>
                <w:sz w:val="24"/>
                <w:szCs w:val="24"/>
              </w:rPr>
            </w:pPr>
          </w:p>
        </w:tc>
        <w:tc>
          <w:tcPr>
            <w:tcW w:w="973" w:type="dxa"/>
            <w:vMerge/>
            <w:vAlign w:val="center"/>
          </w:tcPr>
          <w:p w14:paraId="3FC25D13" w14:textId="77777777" w:rsidR="0071680D" w:rsidRDefault="0071680D">
            <w:pPr>
              <w:jc w:val="center"/>
              <w:rPr>
                <w:b/>
                <w:bCs/>
                <w:sz w:val="24"/>
                <w:szCs w:val="24"/>
              </w:rPr>
            </w:pPr>
          </w:p>
        </w:tc>
        <w:tc>
          <w:tcPr>
            <w:tcW w:w="778" w:type="dxa"/>
            <w:vMerge/>
            <w:vAlign w:val="center"/>
          </w:tcPr>
          <w:p w14:paraId="1E79814A" w14:textId="77777777" w:rsidR="0071680D" w:rsidRDefault="0071680D">
            <w:pPr>
              <w:jc w:val="center"/>
              <w:rPr>
                <w:b/>
                <w:bCs/>
                <w:sz w:val="24"/>
                <w:szCs w:val="24"/>
              </w:rPr>
            </w:pPr>
          </w:p>
        </w:tc>
        <w:tc>
          <w:tcPr>
            <w:tcW w:w="1168" w:type="dxa"/>
            <w:vMerge/>
            <w:vAlign w:val="center"/>
          </w:tcPr>
          <w:p w14:paraId="3661B020" w14:textId="77777777" w:rsidR="0071680D" w:rsidRDefault="0071680D">
            <w:pPr>
              <w:jc w:val="center"/>
              <w:rPr>
                <w:b/>
                <w:bCs/>
                <w:sz w:val="24"/>
                <w:szCs w:val="24"/>
              </w:rPr>
            </w:pPr>
          </w:p>
        </w:tc>
        <w:tc>
          <w:tcPr>
            <w:tcW w:w="778" w:type="dxa"/>
            <w:vAlign w:val="center"/>
          </w:tcPr>
          <w:p w14:paraId="5CAE96F6" w14:textId="77777777" w:rsidR="0071680D" w:rsidRDefault="00EB341E">
            <w:pPr>
              <w:jc w:val="center"/>
              <w:rPr>
                <w:b/>
                <w:bCs/>
                <w:sz w:val="24"/>
                <w:szCs w:val="24"/>
              </w:rPr>
            </w:pPr>
            <w:r>
              <w:rPr>
                <w:rFonts w:hint="eastAsia"/>
                <w:b/>
                <w:bCs/>
                <w:sz w:val="24"/>
                <w:szCs w:val="24"/>
              </w:rPr>
              <w:t>发生时间</w:t>
            </w:r>
          </w:p>
        </w:tc>
        <w:tc>
          <w:tcPr>
            <w:tcW w:w="2126" w:type="dxa"/>
            <w:vAlign w:val="center"/>
          </w:tcPr>
          <w:p w14:paraId="30E24551" w14:textId="77777777" w:rsidR="0071680D" w:rsidRDefault="00EB341E">
            <w:pPr>
              <w:jc w:val="center"/>
              <w:rPr>
                <w:b/>
                <w:bCs/>
                <w:sz w:val="24"/>
                <w:szCs w:val="24"/>
              </w:rPr>
            </w:pPr>
            <w:r>
              <w:rPr>
                <w:rFonts w:hint="eastAsia"/>
                <w:b/>
                <w:bCs/>
                <w:sz w:val="24"/>
                <w:szCs w:val="24"/>
              </w:rPr>
              <w:t>存在的违法违规行为</w:t>
            </w:r>
          </w:p>
        </w:tc>
        <w:tc>
          <w:tcPr>
            <w:tcW w:w="939" w:type="dxa"/>
            <w:vAlign w:val="center"/>
          </w:tcPr>
          <w:p w14:paraId="738A081E" w14:textId="77777777" w:rsidR="0071680D" w:rsidRDefault="00EB341E">
            <w:pPr>
              <w:jc w:val="center"/>
              <w:rPr>
                <w:b/>
                <w:bCs/>
                <w:sz w:val="24"/>
                <w:szCs w:val="24"/>
              </w:rPr>
            </w:pPr>
            <w:r>
              <w:rPr>
                <w:rFonts w:hint="eastAsia"/>
                <w:b/>
                <w:bCs/>
                <w:sz w:val="24"/>
                <w:szCs w:val="24"/>
              </w:rPr>
              <w:t>死亡</w:t>
            </w:r>
          </w:p>
          <w:p w14:paraId="116662FC" w14:textId="77777777" w:rsidR="0071680D" w:rsidRDefault="00EB341E">
            <w:pPr>
              <w:jc w:val="center"/>
              <w:rPr>
                <w:b/>
                <w:bCs/>
                <w:sz w:val="24"/>
                <w:szCs w:val="24"/>
              </w:rPr>
            </w:pPr>
            <w:r>
              <w:rPr>
                <w:rFonts w:hint="eastAsia"/>
                <w:b/>
                <w:bCs/>
                <w:sz w:val="24"/>
                <w:szCs w:val="24"/>
              </w:rPr>
              <w:t>人数</w:t>
            </w:r>
          </w:p>
        </w:tc>
        <w:tc>
          <w:tcPr>
            <w:tcW w:w="634" w:type="dxa"/>
            <w:vAlign w:val="center"/>
          </w:tcPr>
          <w:p w14:paraId="1FF0093B" w14:textId="77777777" w:rsidR="0071680D" w:rsidRDefault="00EB341E">
            <w:pPr>
              <w:jc w:val="center"/>
              <w:rPr>
                <w:b/>
                <w:bCs/>
                <w:sz w:val="24"/>
                <w:szCs w:val="24"/>
              </w:rPr>
            </w:pPr>
            <w:r>
              <w:rPr>
                <w:rFonts w:hint="eastAsia"/>
                <w:b/>
                <w:bCs/>
                <w:sz w:val="24"/>
                <w:szCs w:val="24"/>
              </w:rPr>
              <w:t>受伤人数</w:t>
            </w:r>
          </w:p>
        </w:tc>
        <w:tc>
          <w:tcPr>
            <w:tcW w:w="875" w:type="dxa"/>
            <w:vAlign w:val="center"/>
          </w:tcPr>
          <w:p w14:paraId="569EF24D" w14:textId="77777777" w:rsidR="0071680D" w:rsidRDefault="00EB341E">
            <w:pPr>
              <w:jc w:val="center"/>
              <w:rPr>
                <w:b/>
                <w:bCs/>
                <w:sz w:val="24"/>
                <w:szCs w:val="24"/>
              </w:rPr>
            </w:pPr>
            <w:r>
              <w:rPr>
                <w:rFonts w:hint="eastAsia"/>
                <w:b/>
                <w:bCs/>
                <w:sz w:val="24"/>
                <w:szCs w:val="24"/>
              </w:rPr>
              <w:t>目前查处情况</w:t>
            </w:r>
          </w:p>
        </w:tc>
        <w:tc>
          <w:tcPr>
            <w:tcW w:w="1066" w:type="dxa"/>
            <w:vMerge/>
            <w:vAlign w:val="center"/>
          </w:tcPr>
          <w:p w14:paraId="2AC253F5" w14:textId="77777777" w:rsidR="0071680D" w:rsidRDefault="0071680D">
            <w:pPr>
              <w:jc w:val="center"/>
              <w:rPr>
                <w:sz w:val="24"/>
                <w:szCs w:val="24"/>
              </w:rPr>
            </w:pPr>
          </w:p>
        </w:tc>
        <w:tc>
          <w:tcPr>
            <w:tcW w:w="1065" w:type="dxa"/>
            <w:vMerge/>
            <w:vAlign w:val="center"/>
          </w:tcPr>
          <w:p w14:paraId="7C1BABA0" w14:textId="77777777" w:rsidR="0071680D" w:rsidRDefault="0071680D">
            <w:pPr>
              <w:jc w:val="center"/>
              <w:rPr>
                <w:sz w:val="24"/>
                <w:szCs w:val="24"/>
              </w:rPr>
            </w:pPr>
          </w:p>
        </w:tc>
        <w:tc>
          <w:tcPr>
            <w:tcW w:w="784" w:type="dxa"/>
            <w:vMerge/>
            <w:vAlign w:val="center"/>
          </w:tcPr>
          <w:p w14:paraId="4C942038" w14:textId="77777777" w:rsidR="0071680D" w:rsidRDefault="0071680D">
            <w:pPr>
              <w:jc w:val="center"/>
              <w:rPr>
                <w:sz w:val="24"/>
                <w:szCs w:val="24"/>
              </w:rPr>
            </w:pPr>
          </w:p>
        </w:tc>
        <w:tc>
          <w:tcPr>
            <w:tcW w:w="1168" w:type="dxa"/>
            <w:vMerge/>
            <w:vAlign w:val="center"/>
          </w:tcPr>
          <w:p w14:paraId="69A4F15D" w14:textId="77777777" w:rsidR="0071680D" w:rsidRDefault="0071680D">
            <w:pPr>
              <w:jc w:val="center"/>
              <w:rPr>
                <w:sz w:val="24"/>
                <w:szCs w:val="24"/>
              </w:rPr>
            </w:pPr>
          </w:p>
        </w:tc>
      </w:tr>
      <w:tr w:rsidR="0071680D" w14:paraId="27FE2666" w14:textId="77777777">
        <w:trPr>
          <w:trHeight w:val="6631"/>
        </w:trPr>
        <w:tc>
          <w:tcPr>
            <w:tcW w:w="490" w:type="dxa"/>
            <w:vAlign w:val="center"/>
          </w:tcPr>
          <w:p w14:paraId="76CA96C8" w14:textId="77777777" w:rsidR="0071680D" w:rsidRDefault="00EB341E">
            <w:pPr>
              <w:widowControl/>
              <w:jc w:val="center"/>
              <w:textAlignment w:val="center"/>
              <w:rPr>
                <w:rFonts w:ascii="仿宋" w:eastAsia="仿宋" w:hAnsi="仿宋" w:cs="仿宋"/>
                <w:sz w:val="24"/>
                <w:szCs w:val="24"/>
              </w:rPr>
            </w:pPr>
            <w:r>
              <w:rPr>
                <w:rFonts w:ascii="仿宋" w:eastAsia="仿宋" w:hAnsi="仿宋" w:cs="仿宋" w:hint="eastAsia"/>
                <w:sz w:val="24"/>
                <w:szCs w:val="24"/>
              </w:rPr>
              <w:t>3</w:t>
            </w:r>
          </w:p>
        </w:tc>
        <w:tc>
          <w:tcPr>
            <w:tcW w:w="778" w:type="dxa"/>
            <w:vAlign w:val="center"/>
          </w:tcPr>
          <w:p w14:paraId="55077E80"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 xml:space="preserve"> 广西腾超建设工程有限公司</w:t>
            </w:r>
          </w:p>
        </w:tc>
        <w:tc>
          <w:tcPr>
            <w:tcW w:w="778" w:type="dxa"/>
            <w:vAlign w:val="center"/>
          </w:tcPr>
          <w:p w14:paraId="1B8CDA7B"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广西百色市右江区江滨路27号-1号二楼</w:t>
            </w:r>
          </w:p>
        </w:tc>
        <w:tc>
          <w:tcPr>
            <w:tcW w:w="973" w:type="dxa"/>
            <w:vAlign w:val="center"/>
          </w:tcPr>
          <w:p w14:paraId="05A65C55"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91451000MA5KD8MD3Y</w:t>
            </w:r>
          </w:p>
        </w:tc>
        <w:tc>
          <w:tcPr>
            <w:tcW w:w="778" w:type="dxa"/>
            <w:vAlign w:val="center"/>
          </w:tcPr>
          <w:p w14:paraId="5A30CC78"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黄克</w:t>
            </w:r>
          </w:p>
        </w:tc>
        <w:tc>
          <w:tcPr>
            <w:tcW w:w="1168" w:type="dxa"/>
            <w:vAlign w:val="center"/>
          </w:tcPr>
          <w:p w14:paraId="1D20FC26" w14:textId="26E65BA0" w:rsidR="0071680D" w:rsidRDefault="00A66F18">
            <w:pPr>
              <w:widowControl/>
              <w:jc w:val="left"/>
              <w:textAlignment w:val="center"/>
              <w:rPr>
                <w:rFonts w:ascii="仿宋" w:eastAsia="仿宋" w:hAnsi="仿宋" w:cs="仿宋"/>
                <w:sz w:val="24"/>
                <w:szCs w:val="24"/>
              </w:rPr>
            </w:pPr>
            <w:r>
              <w:rPr>
                <w:rFonts w:ascii="仿宋" w:eastAsia="仿宋" w:hAnsi="仿宋" w:cs="仿宋"/>
                <w:color w:val="000000"/>
                <w:kern w:val="0"/>
                <w:sz w:val="24"/>
                <w:szCs w:val="24"/>
                <w:lang w:bidi="ar"/>
              </w:rPr>
              <w:t>XXXXX</w:t>
            </w:r>
          </w:p>
        </w:tc>
        <w:tc>
          <w:tcPr>
            <w:tcW w:w="778" w:type="dxa"/>
            <w:vAlign w:val="center"/>
          </w:tcPr>
          <w:p w14:paraId="15760E81"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2018年1月26日</w:t>
            </w:r>
          </w:p>
        </w:tc>
        <w:tc>
          <w:tcPr>
            <w:tcW w:w="2126" w:type="dxa"/>
            <w:vAlign w:val="center"/>
          </w:tcPr>
          <w:p w14:paraId="6D173663"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广西腾超建设工程有限公司允许无资质的施工队以本企业的名义承揽平果县易地扶贫城西安置点项目规划道路工程，于2018年1月26日发生塌方事故。</w:t>
            </w:r>
          </w:p>
        </w:tc>
        <w:tc>
          <w:tcPr>
            <w:tcW w:w="939" w:type="dxa"/>
            <w:vAlign w:val="center"/>
          </w:tcPr>
          <w:p w14:paraId="2E8E77C4" w14:textId="77777777" w:rsidR="0071680D" w:rsidRDefault="00EB341E">
            <w:pPr>
              <w:widowControl/>
              <w:ind w:firstLineChars="100" w:firstLine="240"/>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3</w:t>
            </w:r>
          </w:p>
        </w:tc>
        <w:tc>
          <w:tcPr>
            <w:tcW w:w="634" w:type="dxa"/>
            <w:vAlign w:val="center"/>
          </w:tcPr>
          <w:p w14:paraId="2A956129"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0</w:t>
            </w:r>
          </w:p>
        </w:tc>
        <w:tc>
          <w:tcPr>
            <w:tcW w:w="875" w:type="dxa"/>
            <w:vAlign w:val="center"/>
          </w:tcPr>
          <w:p w14:paraId="3FBD3C42"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已完成事故调查并报自治区审核。</w:t>
            </w:r>
          </w:p>
        </w:tc>
        <w:tc>
          <w:tcPr>
            <w:tcW w:w="1066" w:type="dxa"/>
            <w:vAlign w:val="center"/>
          </w:tcPr>
          <w:p w14:paraId="59BD8C10" w14:textId="77777777" w:rsidR="0071680D" w:rsidRDefault="00EB341E">
            <w:pPr>
              <w:spacing w:line="300" w:lineRule="exact"/>
              <w:jc w:val="center"/>
              <w:rPr>
                <w:rFonts w:ascii="仿宋" w:eastAsia="仿宋" w:hAnsi="仿宋" w:cs="仿宋"/>
                <w:sz w:val="24"/>
                <w:szCs w:val="24"/>
              </w:rPr>
            </w:pPr>
            <w:r>
              <w:rPr>
                <w:rFonts w:ascii="仿宋" w:eastAsia="仿宋" w:hAnsi="仿宋" w:cs="仿宋" w:hint="eastAsia"/>
                <w:sz w:val="24"/>
                <w:szCs w:val="24"/>
              </w:rPr>
              <w:t>百色市安全监管局</w:t>
            </w:r>
          </w:p>
        </w:tc>
        <w:tc>
          <w:tcPr>
            <w:tcW w:w="1065" w:type="dxa"/>
            <w:vAlign w:val="center"/>
          </w:tcPr>
          <w:p w14:paraId="57B324B7"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发生较大生产安全责任事故</w:t>
            </w:r>
          </w:p>
        </w:tc>
        <w:tc>
          <w:tcPr>
            <w:tcW w:w="784" w:type="dxa"/>
            <w:vAlign w:val="center"/>
          </w:tcPr>
          <w:p w14:paraId="0E9477B2" w14:textId="77777777" w:rsidR="0071680D" w:rsidRDefault="00EB341E">
            <w:pPr>
              <w:widowControl/>
              <w:jc w:val="center"/>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是</w:t>
            </w:r>
          </w:p>
        </w:tc>
        <w:tc>
          <w:tcPr>
            <w:tcW w:w="1168" w:type="dxa"/>
            <w:vAlign w:val="center"/>
          </w:tcPr>
          <w:p w14:paraId="70C09AC3" w14:textId="77777777" w:rsidR="0071680D" w:rsidRDefault="00EB341E">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lang w:bidi="ar"/>
              </w:rPr>
              <w:t>该企业对事故承担重要管理责任，符合纳入“黑名单”条件</w:t>
            </w:r>
          </w:p>
        </w:tc>
      </w:tr>
    </w:tbl>
    <w:p w14:paraId="5C13DEC2" w14:textId="77777777" w:rsidR="0071680D" w:rsidRDefault="0071680D">
      <w:pPr>
        <w:spacing w:line="500" w:lineRule="exact"/>
      </w:pPr>
    </w:p>
    <w:sectPr w:rsidR="0071680D">
      <w:headerReference w:type="default" r:id="rId8"/>
      <w:footerReference w:type="default" r:id="rId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860C" w14:textId="77777777" w:rsidR="00D45BD7" w:rsidRDefault="00D45BD7">
      <w:r>
        <w:separator/>
      </w:r>
    </w:p>
  </w:endnote>
  <w:endnote w:type="continuationSeparator" w:id="0">
    <w:p w14:paraId="274D44B1" w14:textId="77777777" w:rsidR="00D45BD7" w:rsidRDefault="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DE7" w14:textId="77777777" w:rsidR="0071680D" w:rsidRDefault="00EB341E">
    <w:pPr>
      <w:pStyle w:val="a5"/>
    </w:pPr>
    <w:r>
      <w:rPr>
        <w:noProof/>
      </w:rPr>
      <mc:AlternateContent>
        <mc:Choice Requires="wps">
          <w:drawing>
            <wp:anchor distT="0" distB="0" distL="114300" distR="114300" simplePos="0" relativeHeight="251658240" behindDoc="0" locked="0" layoutInCell="1" allowOverlap="1" wp14:anchorId="20E5D2B4" wp14:editId="2BD1008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0E43A4" w14:textId="77777777" w:rsidR="0071680D" w:rsidRDefault="00EB34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E5D2B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C0E43A4" w14:textId="77777777" w:rsidR="0071680D" w:rsidRDefault="00EB34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B889" w14:textId="77777777" w:rsidR="00D45BD7" w:rsidRDefault="00D45BD7">
      <w:r>
        <w:separator/>
      </w:r>
    </w:p>
  </w:footnote>
  <w:footnote w:type="continuationSeparator" w:id="0">
    <w:p w14:paraId="3930B25A" w14:textId="77777777" w:rsidR="00D45BD7" w:rsidRDefault="00D4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9E20" w14:textId="77777777" w:rsidR="0071680D" w:rsidRDefault="0071680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05A"/>
    <w:rsid w:val="00056721"/>
    <w:rsid w:val="000F6FC4"/>
    <w:rsid w:val="00123446"/>
    <w:rsid w:val="00242975"/>
    <w:rsid w:val="00345289"/>
    <w:rsid w:val="003E205A"/>
    <w:rsid w:val="0046204E"/>
    <w:rsid w:val="004B4BF4"/>
    <w:rsid w:val="004E128F"/>
    <w:rsid w:val="005C1F03"/>
    <w:rsid w:val="005E60B1"/>
    <w:rsid w:val="0071680D"/>
    <w:rsid w:val="00834DD1"/>
    <w:rsid w:val="0083737F"/>
    <w:rsid w:val="00841F8D"/>
    <w:rsid w:val="008D128E"/>
    <w:rsid w:val="009D6505"/>
    <w:rsid w:val="009E4099"/>
    <w:rsid w:val="00A111B6"/>
    <w:rsid w:val="00A60A4D"/>
    <w:rsid w:val="00A66F18"/>
    <w:rsid w:val="00B10F60"/>
    <w:rsid w:val="00BF7A3A"/>
    <w:rsid w:val="00C970F2"/>
    <w:rsid w:val="00CB34D7"/>
    <w:rsid w:val="00CF25A0"/>
    <w:rsid w:val="00D45BD7"/>
    <w:rsid w:val="00D93873"/>
    <w:rsid w:val="00DF7A9A"/>
    <w:rsid w:val="00E23A25"/>
    <w:rsid w:val="00E30E48"/>
    <w:rsid w:val="00EB341E"/>
    <w:rsid w:val="00F47200"/>
    <w:rsid w:val="00F903D3"/>
    <w:rsid w:val="01C44970"/>
    <w:rsid w:val="027B71A3"/>
    <w:rsid w:val="03071FBB"/>
    <w:rsid w:val="07000684"/>
    <w:rsid w:val="07B41147"/>
    <w:rsid w:val="09722292"/>
    <w:rsid w:val="0F8B0B31"/>
    <w:rsid w:val="0FE51206"/>
    <w:rsid w:val="103343FF"/>
    <w:rsid w:val="103C44E4"/>
    <w:rsid w:val="12566631"/>
    <w:rsid w:val="12E1728D"/>
    <w:rsid w:val="15B35B3E"/>
    <w:rsid w:val="16D676DE"/>
    <w:rsid w:val="1A3A2E21"/>
    <w:rsid w:val="1CAA7729"/>
    <w:rsid w:val="1F526E16"/>
    <w:rsid w:val="20CE193D"/>
    <w:rsid w:val="22AD7078"/>
    <w:rsid w:val="233519D5"/>
    <w:rsid w:val="280A6B69"/>
    <w:rsid w:val="2AA97670"/>
    <w:rsid w:val="2B0626CA"/>
    <w:rsid w:val="2DF44043"/>
    <w:rsid w:val="318C62FA"/>
    <w:rsid w:val="33530884"/>
    <w:rsid w:val="34961EE3"/>
    <w:rsid w:val="34CC6D6A"/>
    <w:rsid w:val="35D51D1E"/>
    <w:rsid w:val="39742BD3"/>
    <w:rsid w:val="3B15016E"/>
    <w:rsid w:val="411004EC"/>
    <w:rsid w:val="42485C84"/>
    <w:rsid w:val="44667440"/>
    <w:rsid w:val="472460D1"/>
    <w:rsid w:val="4A733516"/>
    <w:rsid w:val="4B896FC4"/>
    <w:rsid w:val="4EFE0EAB"/>
    <w:rsid w:val="50BA6235"/>
    <w:rsid w:val="52CF7985"/>
    <w:rsid w:val="556D57B9"/>
    <w:rsid w:val="57F25C9C"/>
    <w:rsid w:val="599B34E1"/>
    <w:rsid w:val="5AE6269F"/>
    <w:rsid w:val="5BE9135D"/>
    <w:rsid w:val="5D5A50AE"/>
    <w:rsid w:val="5EF06111"/>
    <w:rsid w:val="5F614450"/>
    <w:rsid w:val="647922ED"/>
    <w:rsid w:val="651B04E9"/>
    <w:rsid w:val="664B4EC6"/>
    <w:rsid w:val="686F189E"/>
    <w:rsid w:val="69E707C6"/>
    <w:rsid w:val="6A005BC6"/>
    <w:rsid w:val="6B621BBB"/>
    <w:rsid w:val="6EC2212C"/>
    <w:rsid w:val="736803AC"/>
    <w:rsid w:val="73F35ADE"/>
    <w:rsid w:val="758D320A"/>
    <w:rsid w:val="7EEA7559"/>
    <w:rsid w:val="7F3A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3F76"/>
  <w15:docId w15:val="{B2073EB7-EA45-4C4D-812E-E66BA8BA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B2F34-6612-4339-A913-7A1B3CA6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张三</cp:lastModifiedBy>
  <cp:revision>8</cp:revision>
  <cp:lastPrinted>2018-08-02T09:50:00Z</cp:lastPrinted>
  <dcterms:created xsi:type="dcterms:W3CDTF">2017-07-31T06:22:00Z</dcterms:created>
  <dcterms:modified xsi:type="dcterms:W3CDTF">2023-06-28T03:31:00Z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