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1421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1162"/>
        <w:gridCol w:w="1731"/>
        <w:gridCol w:w="1156"/>
        <w:gridCol w:w="1302"/>
        <w:gridCol w:w="1592"/>
        <w:gridCol w:w="2314"/>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4216" w:type="dxa"/>
            <w:gridSpan w:val="8"/>
            <w:tcBorders>
              <w:top w:val="nil"/>
              <w:left w:val="nil"/>
              <w:right w:val="nil"/>
            </w:tcBorders>
            <w:vAlign w:val="center"/>
          </w:tcPr>
          <w:p>
            <w:pPr>
              <w:spacing w:line="600" w:lineRule="exact"/>
              <w:jc w:val="left"/>
              <w:rPr>
                <w:rFonts w:ascii="黑体" w:hAnsi="黑体" w:eastAsia="黑体"/>
                <w:b/>
                <w:sz w:val="32"/>
                <w:szCs w:val="32"/>
              </w:rPr>
            </w:pPr>
            <w:bookmarkStart w:id="0" w:name="_GoBack"/>
            <w:bookmarkEnd w:id="0"/>
            <w:r>
              <w:rPr>
                <w:rFonts w:hint="eastAsia" w:ascii="黑体" w:hAnsi="黑体" w:eastAsia="黑体"/>
                <w:b/>
                <w:sz w:val="32"/>
                <w:szCs w:val="32"/>
              </w:rPr>
              <w:t>附件2</w:t>
            </w:r>
          </w:p>
          <w:p>
            <w:pPr>
              <w:jc w:val="center"/>
              <w:rPr>
                <w:rFonts w:ascii="仿宋_GB2312" w:hAnsi="宋体" w:eastAsia="仿宋_GB2312"/>
                <w:b/>
                <w:bCs/>
                <w:sz w:val="44"/>
                <w:szCs w:val="44"/>
              </w:rPr>
            </w:pPr>
            <w:r>
              <w:rPr>
                <w:rFonts w:hint="eastAsia" w:ascii="华文中宋" w:hAnsi="华文中宋" w:eastAsia="华文中宋"/>
                <w:b/>
                <w:bCs/>
                <w:sz w:val="44"/>
                <w:szCs w:val="44"/>
              </w:rPr>
              <w:t>矿山（露天煤矿）安全生产综合整治检查表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3187" w:type="dxa"/>
            <w:gridSpan w:val="2"/>
            <w:vAlign w:val="center"/>
          </w:tcPr>
          <w:p>
            <w:pPr>
              <w:jc w:val="center"/>
              <w:rPr>
                <w:rFonts w:asciiTheme="minorEastAsia" w:hAnsiTheme="minorEastAsia"/>
                <w:b/>
                <w:bCs/>
                <w:sz w:val="32"/>
                <w:szCs w:val="32"/>
              </w:rPr>
            </w:pPr>
            <w:r>
              <w:rPr>
                <w:rFonts w:hint="eastAsia" w:asciiTheme="minorEastAsia" w:hAnsiTheme="minorEastAsia"/>
                <w:b/>
                <w:bCs/>
                <w:sz w:val="32"/>
                <w:szCs w:val="32"/>
              </w:rPr>
              <w:t>企业名称</w:t>
            </w:r>
          </w:p>
        </w:tc>
        <w:tc>
          <w:tcPr>
            <w:tcW w:w="5781" w:type="dxa"/>
            <w:gridSpan w:val="4"/>
            <w:vAlign w:val="center"/>
          </w:tcPr>
          <w:p>
            <w:pPr>
              <w:jc w:val="center"/>
              <w:rPr>
                <w:rFonts w:asciiTheme="minorEastAsia" w:hAnsiTheme="minorEastAsia"/>
                <w:b/>
                <w:bCs/>
                <w:sz w:val="32"/>
                <w:szCs w:val="32"/>
              </w:rPr>
            </w:pPr>
          </w:p>
        </w:tc>
        <w:tc>
          <w:tcPr>
            <w:tcW w:w="2314" w:type="dxa"/>
            <w:vAlign w:val="center"/>
          </w:tcPr>
          <w:p>
            <w:pPr>
              <w:jc w:val="center"/>
              <w:rPr>
                <w:rFonts w:asciiTheme="minorEastAsia" w:hAnsiTheme="minorEastAsia"/>
                <w:b/>
                <w:bCs/>
                <w:sz w:val="32"/>
                <w:szCs w:val="32"/>
              </w:rPr>
            </w:pPr>
            <w:r>
              <w:rPr>
                <w:rFonts w:hint="eastAsia" w:asciiTheme="minorEastAsia" w:hAnsiTheme="minorEastAsia"/>
                <w:b/>
                <w:bCs/>
                <w:sz w:val="32"/>
                <w:szCs w:val="32"/>
              </w:rPr>
              <w:t>企业类别</w:t>
            </w:r>
          </w:p>
        </w:tc>
        <w:tc>
          <w:tcPr>
            <w:tcW w:w="2934" w:type="dxa"/>
            <w:vAlign w:val="center"/>
          </w:tcPr>
          <w:p>
            <w:pPr>
              <w:jc w:val="center"/>
              <w:rPr>
                <w:rFonts w:asciiTheme="minorEastAsia" w:hAnsiTheme="minorEastAsia"/>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3187" w:type="dxa"/>
            <w:gridSpan w:val="2"/>
            <w:vAlign w:val="center"/>
          </w:tcPr>
          <w:p>
            <w:pPr>
              <w:jc w:val="center"/>
              <w:rPr>
                <w:rFonts w:asciiTheme="minorEastAsia" w:hAnsiTheme="minorEastAsia"/>
                <w:b/>
                <w:bCs/>
                <w:sz w:val="32"/>
                <w:szCs w:val="32"/>
              </w:rPr>
            </w:pPr>
            <w:r>
              <w:rPr>
                <w:rFonts w:hint="eastAsia" w:asciiTheme="minorEastAsia" w:hAnsiTheme="minorEastAsia"/>
                <w:b/>
                <w:bCs/>
                <w:sz w:val="32"/>
                <w:szCs w:val="32"/>
              </w:rPr>
              <w:t>经营性质</w:t>
            </w:r>
          </w:p>
        </w:tc>
        <w:tc>
          <w:tcPr>
            <w:tcW w:w="1731" w:type="dxa"/>
            <w:vAlign w:val="center"/>
          </w:tcPr>
          <w:p>
            <w:pPr>
              <w:jc w:val="center"/>
              <w:rPr>
                <w:rFonts w:asciiTheme="minorEastAsia" w:hAnsiTheme="minorEastAsia"/>
                <w:b/>
                <w:bCs/>
                <w:sz w:val="32"/>
                <w:szCs w:val="32"/>
              </w:rPr>
            </w:pPr>
          </w:p>
        </w:tc>
        <w:tc>
          <w:tcPr>
            <w:tcW w:w="2458" w:type="dxa"/>
            <w:gridSpan w:val="2"/>
            <w:vAlign w:val="center"/>
          </w:tcPr>
          <w:p>
            <w:pPr>
              <w:jc w:val="center"/>
              <w:rPr>
                <w:rFonts w:asciiTheme="minorEastAsia" w:hAnsiTheme="minorEastAsia"/>
                <w:b/>
                <w:bCs/>
                <w:sz w:val="32"/>
                <w:szCs w:val="32"/>
              </w:rPr>
            </w:pPr>
            <w:r>
              <w:rPr>
                <w:rFonts w:hint="eastAsia" w:asciiTheme="minorEastAsia" w:hAnsiTheme="minorEastAsia"/>
                <w:b/>
                <w:bCs/>
                <w:sz w:val="32"/>
                <w:szCs w:val="32"/>
              </w:rPr>
              <w:t>设计能力</w:t>
            </w:r>
          </w:p>
        </w:tc>
        <w:tc>
          <w:tcPr>
            <w:tcW w:w="1592" w:type="dxa"/>
            <w:vAlign w:val="center"/>
          </w:tcPr>
          <w:p>
            <w:pPr>
              <w:jc w:val="center"/>
              <w:rPr>
                <w:rFonts w:asciiTheme="minorEastAsia" w:hAnsiTheme="minorEastAsia"/>
                <w:b/>
                <w:bCs/>
                <w:sz w:val="32"/>
                <w:szCs w:val="32"/>
              </w:rPr>
            </w:pPr>
          </w:p>
        </w:tc>
        <w:tc>
          <w:tcPr>
            <w:tcW w:w="2314" w:type="dxa"/>
            <w:vAlign w:val="center"/>
          </w:tcPr>
          <w:p>
            <w:pPr>
              <w:jc w:val="center"/>
              <w:rPr>
                <w:rFonts w:asciiTheme="minorEastAsia" w:hAnsiTheme="minorEastAsia"/>
                <w:b/>
                <w:bCs/>
                <w:sz w:val="32"/>
                <w:szCs w:val="32"/>
              </w:rPr>
            </w:pPr>
            <w:r>
              <w:rPr>
                <w:rFonts w:hint="eastAsia" w:asciiTheme="minorEastAsia" w:hAnsiTheme="minorEastAsia"/>
                <w:b/>
                <w:bCs/>
                <w:sz w:val="32"/>
                <w:szCs w:val="32"/>
              </w:rPr>
              <w:t>检查时间</w:t>
            </w:r>
          </w:p>
        </w:tc>
        <w:tc>
          <w:tcPr>
            <w:tcW w:w="2934" w:type="dxa"/>
            <w:vAlign w:val="center"/>
          </w:tcPr>
          <w:p>
            <w:pPr>
              <w:jc w:val="center"/>
              <w:rPr>
                <w:rFonts w:asciiTheme="minorEastAsia" w:hAnsiTheme="minorEastAsia"/>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4216" w:type="dxa"/>
            <w:gridSpan w:val="8"/>
            <w:vAlign w:val="center"/>
          </w:tcPr>
          <w:p>
            <w:pPr>
              <w:jc w:val="center"/>
              <w:rPr>
                <w:rFonts w:asciiTheme="minorEastAsia" w:hAnsiTheme="minorEastAsia"/>
                <w:b/>
                <w:bCs/>
                <w:sz w:val="32"/>
                <w:szCs w:val="32"/>
              </w:rPr>
            </w:pPr>
            <w:r>
              <w:rPr>
                <w:rFonts w:hint="eastAsia" w:asciiTheme="minorEastAsia" w:hAnsiTheme="minorEastAsia"/>
                <w:b/>
                <w:bCs/>
                <w:sz w:val="32"/>
                <w:szCs w:val="32"/>
              </w:rPr>
              <w:t>参与安全检查人员名单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025" w:type="dxa"/>
            <w:vAlign w:val="center"/>
          </w:tcPr>
          <w:p>
            <w:pPr>
              <w:jc w:val="center"/>
              <w:rPr>
                <w:rFonts w:asciiTheme="minorEastAsia" w:hAnsiTheme="minorEastAsia"/>
                <w:b/>
                <w:bCs/>
                <w:sz w:val="32"/>
                <w:szCs w:val="32"/>
              </w:rPr>
            </w:pPr>
            <w:r>
              <w:rPr>
                <w:rFonts w:hint="eastAsia" w:asciiTheme="minorEastAsia" w:hAnsiTheme="minorEastAsia"/>
                <w:b/>
                <w:bCs/>
                <w:sz w:val="32"/>
                <w:szCs w:val="32"/>
              </w:rPr>
              <w:t>姓名</w:t>
            </w:r>
          </w:p>
        </w:tc>
        <w:tc>
          <w:tcPr>
            <w:tcW w:w="4049" w:type="dxa"/>
            <w:gridSpan w:val="3"/>
            <w:vAlign w:val="center"/>
          </w:tcPr>
          <w:p>
            <w:pPr>
              <w:jc w:val="center"/>
              <w:rPr>
                <w:rFonts w:asciiTheme="minorEastAsia" w:hAnsiTheme="minorEastAsia"/>
                <w:b/>
                <w:bCs/>
                <w:sz w:val="32"/>
                <w:szCs w:val="32"/>
              </w:rPr>
            </w:pPr>
            <w:r>
              <w:rPr>
                <w:rFonts w:hint="eastAsia" w:asciiTheme="minorEastAsia" w:hAnsiTheme="minorEastAsia"/>
                <w:b/>
                <w:bCs/>
                <w:sz w:val="32"/>
                <w:szCs w:val="32"/>
              </w:rPr>
              <w:t>单位</w:t>
            </w:r>
          </w:p>
        </w:tc>
        <w:tc>
          <w:tcPr>
            <w:tcW w:w="2894" w:type="dxa"/>
            <w:gridSpan w:val="2"/>
            <w:vAlign w:val="center"/>
          </w:tcPr>
          <w:p>
            <w:pPr>
              <w:jc w:val="center"/>
              <w:rPr>
                <w:rFonts w:asciiTheme="minorEastAsia" w:hAnsiTheme="minorEastAsia"/>
                <w:b/>
                <w:bCs/>
                <w:sz w:val="32"/>
                <w:szCs w:val="32"/>
              </w:rPr>
            </w:pPr>
            <w:r>
              <w:rPr>
                <w:rFonts w:hint="eastAsia" w:asciiTheme="minorEastAsia" w:hAnsiTheme="minorEastAsia"/>
                <w:b/>
                <w:bCs/>
                <w:sz w:val="32"/>
                <w:szCs w:val="32"/>
              </w:rPr>
              <w:t>职称/职务</w:t>
            </w:r>
          </w:p>
        </w:tc>
        <w:tc>
          <w:tcPr>
            <w:tcW w:w="2314" w:type="dxa"/>
            <w:vAlign w:val="center"/>
          </w:tcPr>
          <w:p>
            <w:pPr>
              <w:jc w:val="center"/>
              <w:rPr>
                <w:rFonts w:asciiTheme="minorEastAsia" w:hAnsiTheme="minorEastAsia"/>
                <w:b/>
                <w:bCs/>
                <w:sz w:val="32"/>
                <w:szCs w:val="32"/>
              </w:rPr>
            </w:pPr>
            <w:r>
              <w:rPr>
                <w:rFonts w:hint="eastAsia" w:asciiTheme="minorEastAsia" w:hAnsiTheme="minorEastAsia"/>
                <w:b/>
                <w:bCs/>
                <w:sz w:val="32"/>
                <w:szCs w:val="32"/>
              </w:rPr>
              <w:t>专业</w:t>
            </w:r>
          </w:p>
        </w:tc>
        <w:tc>
          <w:tcPr>
            <w:tcW w:w="2934" w:type="dxa"/>
            <w:vAlign w:val="center"/>
          </w:tcPr>
          <w:p>
            <w:pPr>
              <w:jc w:val="center"/>
              <w:rPr>
                <w:rFonts w:asciiTheme="minorEastAsia" w:hAnsiTheme="minorEastAsia"/>
                <w:b/>
                <w:bCs/>
                <w:sz w:val="32"/>
                <w:szCs w:val="32"/>
              </w:rPr>
            </w:pPr>
            <w:r>
              <w:rPr>
                <w:rFonts w:hint="eastAsia" w:asciiTheme="minorEastAsia" w:hAnsiTheme="minorEastAsia"/>
                <w:b/>
                <w:bCs/>
                <w:sz w:val="32"/>
                <w:szCs w:val="3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025" w:type="dxa"/>
            <w:vAlign w:val="center"/>
          </w:tcPr>
          <w:p>
            <w:pPr>
              <w:jc w:val="center"/>
              <w:rPr>
                <w:rFonts w:asciiTheme="minorEastAsia" w:hAnsiTheme="minorEastAsia"/>
                <w:b/>
                <w:bCs/>
                <w:sz w:val="32"/>
                <w:szCs w:val="32"/>
              </w:rPr>
            </w:pPr>
          </w:p>
        </w:tc>
        <w:tc>
          <w:tcPr>
            <w:tcW w:w="4049" w:type="dxa"/>
            <w:gridSpan w:val="3"/>
            <w:vAlign w:val="center"/>
          </w:tcPr>
          <w:p>
            <w:pPr>
              <w:jc w:val="center"/>
              <w:rPr>
                <w:rFonts w:asciiTheme="minorEastAsia" w:hAnsiTheme="minorEastAsia"/>
                <w:b/>
                <w:bCs/>
                <w:sz w:val="32"/>
                <w:szCs w:val="32"/>
              </w:rPr>
            </w:pPr>
          </w:p>
        </w:tc>
        <w:tc>
          <w:tcPr>
            <w:tcW w:w="2894" w:type="dxa"/>
            <w:gridSpan w:val="2"/>
            <w:vAlign w:val="center"/>
          </w:tcPr>
          <w:p>
            <w:pPr>
              <w:jc w:val="center"/>
              <w:rPr>
                <w:rFonts w:asciiTheme="minorEastAsia" w:hAnsiTheme="minorEastAsia"/>
                <w:b/>
                <w:bCs/>
                <w:sz w:val="32"/>
                <w:szCs w:val="32"/>
              </w:rPr>
            </w:pPr>
          </w:p>
        </w:tc>
        <w:tc>
          <w:tcPr>
            <w:tcW w:w="2314" w:type="dxa"/>
            <w:vAlign w:val="center"/>
          </w:tcPr>
          <w:p>
            <w:pPr>
              <w:jc w:val="center"/>
              <w:rPr>
                <w:rFonts w:asciiTheme="minorEastAsia" w:hAnsiTheme="minorEastAsia"/>
                <w:b/>
                <w:bCs/>
                <w:sz w:val="32"/>
                <w:szCs w:val="32"/>
              </w:rPr>
            </w:pPr>
          </w:p>
        </w:tc>
        <w:tc>
          <w:tcPr>
            <w:tcW w:w="2934" w:type="dxa"/>
            <w:vAlign w:val="center"/>
          </w:tcPr>
          <w:p>
            <w:pPr>
              <w:jc w:val="center"/>
              <w:rPr>
                <w:rFonts w:asciiTheme="minorEastAsia" w:hAnsiTheme="minorEastAsia"/>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025" w:type="dxa"/>
            <w:vAlign w:val="center"/>
          </w:tcPr>
          <w:p>
            <w:pPr>
              <w:jc w:val="center"/>
              <w:rPr>
                <w:rFonts w:ascii="仿宋_GB2312" w:hAnsi="宋体" w:eastAsia="仿宋_GB2312"/>
                <w:b/>
                <w:bCs/>
                <w:sz w:val="32"/>
                <w:szCs w:val="32"/>
              </w:rPr>
            </w:pPr>
          </w:p>
        </w:tc>
        <w:tc>
          <w:tcPr>
            <w:tcW w:w="4049" w:type="dxa"/>
            <w:gridSpan w:val="3"/>
            <w:vAlign w:val="center"/>
          </w:tcPr>
          <w:p>
            <w:pPr>
              <w:jc w:val="center"/>
              <w:rPr>
                <w:rFonts w:ascii="仿宋_GB2312" w:hAnsi="宋体" w:eastAsia="仿宋_GB2312"/>
                <w:b/>
                <w:bCs/>
                <w:sz w:val="32"/>
                <w:szCs w:val="32"/>
              </w:rPr>
            </w:pPr>
          </w:p>
        </w:tc>
        <w:tc>
          <w:tcPr>
            <w:tcW w:w="2894" w:type="dxa"/>
            <w:gridSpan w:val="2"/>
            <w:vAlign w:val="center"/>
          </w:tcPr>
          <w:p>
            <w:pPr>
              <w:jc w:val="center"/>
              <w:rPr>
                <w:rFonts w:ascii="仿宋_GB2312" w:hAnsi="宋体" w:eastAsia="仿宋_GB2312"/>
                <w:b/>
                <w:bCs/>
                <w:sz w:val="32"/>
                <w:szCs w:val="32"/>
              </w:rPr>
            </w:pPr>
          </w:p>
        </w:tc>
        <w:tc>
          <w:tcPr>
            <w:tcW w:w="2314" w:type="dxa"/>
            <w:vAlign w:val="center"/>
          </w:tcPr>
          <w:p>
            <w:pPr>
              <w:jc w:val="center"/>
              <w:rPr>
                <w:rFonts w:ascii="仿宋_GB2312" w:hAnsi="宋体" w:eastAsia="仿宋_GB2312"/>
                <w:b/>
                <w:bCs/>
                <w:sz w:val="32"/>
                <w:szCs w:val="32"/>
              </w:rPr>
            </w:pPr>
          </w:p>
        </w:tc>
        <w:tc>
          <w:tcPr>
            <w:tcW w:w="2934" w:type="dxa"/>
            <w:vAlign w:val="center"/>
          </w:tcPr>
          <w:p>
            <w:pPr>
              <w:jc w:val="center"/>
              <w:rPr>
                <w:rFonts w:ascii="仿宋_GB2312" w:hAnsi="宋体"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025" w:type="dxa"/>
            <w:vAlign w:val="center"/>
          </w:tcPr>
          <w:p>
            <w:pPr>
              <w:jc w:val="center"/>
              <w:rPr>
                <w:rFonts w:ascii="仿宋_GB2312" w:hAnsi="宋体" w:eastAsia="仿宋_GB2312"/>
                <w:b/>
                <w:bCs/>
                <w:sz w:val="32"/>
                <w:szCs w:val="32"/>
              </w:rPr>
            </w:pPr>
          </w:p>
        </w:tc>
        <w:tc>
          <w:tcPr>
            <w:tcW w:w="4049" w:type="dxa"/>
            <w:gridSpan w:val="3"/>
            <w:vAlign w:val="center"/>
          </w:tcPr>
          <w:p>
            <w:pPr>
              <w:jc w:val="center"/>
              <w:rPr>
                <w:rFonts w:ascii="仿宋_GB2312" w:hAnsi="宋体" w:eastAsia="仿宋_GB2312"/>
                <w:b/>
                <w:bCs/>
                <w:sz w:val="32"/>
                <w:szCs w:val="32"/>
              </w:rPr>
            </w:pPr>
          </w:p>
        </w:tc>
        <w:tc>
          <w:tcPr>
            <w:tcW w:w="2894" w:type="dxa"/>
            <w:gridSpan w:val="2"/>
            <w:vAlign w:val="center"/>
          </w:tcPr>
          <w:p>
            <w:pPr>
              <w:jc w:val="center"/>
              <w:rPr>
                <w:rFonts w:ascii="仿宋_GB2312" w:hAnsi="宋体" w:eastAsia="仿宋_GB2312"/>
                <w:b/>
                <w:bCs/>
                <w:sz w:val="32"/>
                <w:szCs w:val="32"/>
              </w:rPr>
            </w:pPr>
          </w:p>
        </w:tc>
        <w:tc>
          <w:tcPr>
            <w:tcW w:w="2314" w:type="dxa"/>
            <w:vAlign w:val="center"/>
          </w:tcPr>
          <w:p>
            <w:pPr>
              <w:jc w:val="center"/>
              <w:rPr>
                <w:rFonts w:ascii="仿宋_GB2312" w:hAnsi="宋体" w:eastAsia="仿宋_GB2312"/>
                <w:b/>
                <w:bCs/>
                <w:sz w:val="32"/>
                <w:szCs w:val="32"/>
              </w:rPr>
            </w:pPr>
          </w:p>
        </w:tc>
        <w:tc>
          <w:tcPr>
            <w:tcW w:w="2934" w:type="dxa"/>
            <w:vAlign w:val="center"/>
          </w:tcPr>
          <w:p>
            <w:pPr>
              <w:jc w:val="center"/>
              <w:rPr>
                <w:rFonts w:ascii="仿宋_GB2312" w:hAnsi="宋体"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025" w:type="dxa"/>
            <w:vAlign w:val="center"/>
          </w:tcPr>
          <w:p>
            <w:pPr>
              <w:jc w:val="center"/>
              <w:rPr>
                <w:rFonts w:ascii="仿宋_GB2312" w:hAnsi="宋体" w:eastAsia="仿宋_GB2312"/>
                <w:b/>
                <w:bCs/>
                <w:sz w:val="32"/>
                <w:szCs w:val="32"/>
              </w:rPr>
            </w:pPr>
          </w:p>
        </w:tc>
        <w:tc>
          <w:tcPr>
            <w:tcW w:w="4049" w:type="dxa"/>
            <w:gridSpan w:val="3"/>
            <w:vAlign w:val="center"/>
          </w:tcPr>
          <w:p>
            <w:pPr>
              <w:jc w:val="center"/>
              <w:rPr>
                <w:rFonts w:ascii="仿宋_GB2312" w:hAnsi="宋体" w:eastAsia="仿宋_GB2312"/>
                <w:b/>
                <w:bCs/>
                <w:sz w:val="32"/>
                <w:szCs w:val="32"/>
              </w:rPr>
            </w:pPr>
          </w:p>
        </w:tc>
        <w:tc>
          <w:tcPr>
            <w:tcW w:w="2894" w:type="dxa"/>
            <w:gridSpan w:val="2"/>
            <w:vAlign w:val="center"/>
          </w:tcPr>
          <w:p>
            <w:pPr>
              <w:jc w:val="center"/>
              <w:rPr>
                <w:rFonts w:ascii="仿宋_GB2312" w:hAnsi="宋体" w:eastAsia="仿宋_GB2312"/>
                <w:b/>
                <w:bCs/>
                <w:sz w:val="32"/>
                <w:szCs w:val="32"/>
              </w:rPr>
            </w:pPr>
          </w:p>
        </w:tc>
        <w:tc>
          <w:tcPr>
            <w:tcW w:w="2314" w:type="dxa"/>
            <w:vAlign w:val="center"/>
          </w:tcPr>
          <w:p>
            <w:pPr>
              <w:jc w:val="center"/>
              <w:rPr>
                <w:rFonts w:ascii="仿宋_GB2312" w:hAnsi="宋体" w:eastAsia="仿宋_GB2312"/>
                <w:b/>
                <w:bCs/>
                <w:sz w:val="32"/>
                <w:szCs w:val="32"/>
              </w:rPr>
            </w:pPr>
          </w:p>
        </w:tc>
        <w:tc>
          <w:tcPr>
            <w:tcW w:w="2934" w:type="dxa"/>
            <w:vAlign w:val="center"/>
          </w:tcPr>
          <w:p>
            <w:pPr>
              <w:jc w:val="center"/>
              <w:rPr>
                <w:rFonts w:ascii="仿宋_GB2312" w:hAnsi="宋体" w:eastAsia="仿宋_GB2312"/>
                <w:b/>
                <w:bCs/>
                <w:sz w:val="32"/>
                <w:szCs w:val="32"/>
              </w:rPr>
            </w:pPr>
          </w:p>
        </w:tc>
      </w:tr>
    </w:tbl>
    <w:p>
      <w:pPr>
        <w:jc w:val="center"/>
        <w:rPr>
          <w:rFonts w:ascii="仿宋_GB2312" w:hAnsi="宋体" w:eastAsia="仿宋_GB2312"/>
          <w:b/>
          <w:bCs/>
          <w:sz w:val="24"/>
        </w:rPr>
      </w:pPr>
    </w:p>
    <w:p>
      <w:pPr>
        <w:ind w:firstLine="602" w:firstLineChars="250"/>
        <w:rPr>
          <w:rFonts w:ascii="仿宋_GB2312" w:hAnsi="宋体" w:eastAsia="仿宋_GB2312"/>
          <w:b/>
          <w:bCs/>
          <w:sz w:val="24"/>
        </w:rPr>
      </w:pPr>
      <w:r>
        <w:rPr>
          <w:rFonts w:hint="eastAsia" w:ascii="仿宋_GB2312" w:hAnsi="宋体" w:eastAsia="仿宋_GB2312"/>
          <w:b/>
          <w:bCs/>
          <w:sz w:val="24"/>
        </w:rPr>
        <w:t>备注：“现状描述”监察监管部门不需要填写。</w:t>
      </w:r>
    </w:p>
    <w:p>
      <w:pPr>
        <w:ind w:firstLine="602" w:firstLineChars="250"/>
        <w:rPr>
          <w:rFonts w:ascii="仿宋_GB2312" w:hAnsi="宋体" w:eastAsia="仿宋_GB2312"/>
          <w:b/>
          <w:bCs/>
          <w:sz w:val="24"/>
        </w:rPr>
      </w:pPr>
    </w:p>
    <w:p>
      <w:pPr>
        <w:ind w:firstLine="602" w:firstLineChars="250"/>
        <w:rPr>
          <w:rFonts w:ascii="仿宋_GB2312" w:hAnsi="宋体" w:eastAsia="仿宋_GB2312"/>
          <w:b/>
          <w:bCs/>
          <w:sz w:val="24"/>
        </w:rPr>
      </w:pPr>
    </w:p>
    <w:p/>
    <w:p/>
    <w:p>
      <w:pPr>
        <w:spacing w:line="360" w:lineRule="auto"/>
      </w:pPr>
      <w:r>
        <w:rPr>
          <w:rFonts w:hint="eastAsia" w:ascii="黑体" w:hAnsi="黑体" w:eastAsia="黑体" w:cs="宋体"/>
          <w:kern w:val="0"/>
          <w:sz w:val="28"/>
          <w:szCs w:val="21"/>
        </w:rPr>
        <w:t>一、基础部分单元</w:t>
      </w:r>
      <w:r>
        <w:rPr>
          <w:rFonts w:ascii="黑体" w:hAnsi="黑体" w:eastAsia="黑体" w:cs="宋体"/>
          <w:kern w:val="0"/>
          <w:sz w:val="28"/>
          <w:szCs w:val="21"/>
        </w:rPr>
        <w:t>(</w:t>
      </w:r>
      <w:r>
        <w:rPr>
          <w:rFonts w:hint="eastAsia" w:ascii="黑体" w:hAnsi="黑体" w:eastAsia="黑体" w:cs="宋体"/>
          <w:kern w:val="0"/>
          <w:sz w:val="28"/>
          <w:szCs w:val="21"/>
        </w:rPr>
        <w:t>4</w:t>
      </w:r>
      <w:r>
        <w:rPr>
          <w:rFonts w:hint="eastAsia" w:ascii="黑体" w:hAnsi="黑体" w:eastAsia="黑体" w:cs="宋体"/>
          <w:kern w:val="0"/>
          <w:sz w:val="28"/>
          <w:szCs w:val="21"/>
          <w:lang w:val="en-US" w:eastAsia="zh-CN"/>
        </w:rPr>
        <w:t>8</w:t>
      </w:r>
      <w:r>
        <w:rPr>
          <w:rFonts w:ascii="黑体" w:hAnsi="黑体" w:eastAsia="黑体" w:cs="宋体"/>
          <w:kern w:val="0"/>
          <w:sz w:val="28"/>
          <w:szCs w:val="21"/>
        </w:rPr>
        <w:t>)</w:t>
      </w:r>
    </w:p>
    <w:tbl>
      <w:tblPr>
        <w:tblStyle w:val="29"/>
        <w:tblW w:w="13787" w:type="dxa"/>
        <w:jc w:val="center"/>
        <w:tblInd w:w="0" w:type="dxa"/>
        <w:tblLayout w:type="fixed"/>
        <w:tblCellMar>
          <w:top w:w="0" w:type="dxa"/>
          <w:left w:w="108" w:type="dxa"/>
          <w:bottom w:w="0" w:type="dxa"/>
          <w:right w:w="108" w:type="dxa"/>
        </w:tblCellMar>
      </w:tblPr>
      <w:tblGrid>
        <w:gridCol w:w="665"/>
        <w:gridCol w:w="1126"/>
        <w:gridCol w:w="5306"/>
        <w:gridCol w:w="3004"/>
        <w:gridCol w:w="1154"/>
        <w:gridCol w:w="1276"/>
        <w:gridCol w:w="1256"/>
      </w:tblGrid>
      <w:tr>
        <w:tblPrEx>
          <w:tblLayout w:type="fixed"/>
          <w:tblCellMar>
            <w:top w:w="0" w:type="dxa"/>
            <w:left w:w="108" w:type="dxa"/>
            <w:bottom w:w="0" w:type="dxa"/>
            <w:right w:w="108" w:type="dxa"/>
          </w:tblCellMar>
        </w:tblPrEx>
        <w:trPr>
          <w:tblHeader/>
          <w:jc w:val="center"/>
        </w:trPr>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检查项目</w:t>
            </w:r>
          </w:p>
        </w:tc>
        <w:tc>
          <w:tcPr>
            <w:tcW w:w="53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检查内容</w:t>
            </w:r>
          </w:p>
        </w:tc>
        <w:tc>
          <w:tcPr>
            <w:tcW w:w="3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检查依据</w:t>
            </w:r>
          </w:p>
        </w:tc>
        <w:tc>
          <w:tcPr>
            <w:tcW w:w="1154"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现状描述</w:t>
            </w:r>
          </w:p>
        </w:tc>
        <w:tc>
          <w:tcPr>
            <w:tcW w:w="1276"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存在问题</w:t>
            </w:r>
          </w:p>
        </w:tc>
        <w:tc>
          <w:tcPr>
            <w:tcW w:w="1256"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处置措施</w:t>
            </w: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安全生产许可证</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企业必须取得安全生产许可证。安全生产许可证的有效期满前3个月依法提出延期申请。主要负责人、隶属关系、经济类型、企业名称变更后，自工商营业执照变更之日起10个工作日内提出变更安全生产许可证申请；改（扩）建工程验收合格后，应当在改建、扩建工程验收合格后10个工作日内提出变更安全生产许可证申请。</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《煤矿企业安全生产许可证实施办法》第二条，第十七条，第二十条。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安全生产管理机构</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设置安全生产管理机构，或配备专职安全生产管理人员。配备注册安全工程师。专职安全生产管理人员和注册安全工程师配备数量符合劳动定员标准。</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二十四条，第二十七条第三款；《煤矿企业安全生产许可证实施办法》第六条；《煤矿安全规程》第五条；《注册安全工程师管理规定》（原国家安全监管总局令第11号，第63号修改）第六条第一款。</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煤矿是否分别配备专职的矿长、总工程师和分管安全、生产、机电的副矿长，以及负责采煤、机电运输、地测、防治水工作的专业技术人员。</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《煤矿重大事故隐患判定标准》（应急管理部令第4号）第十八条第（一）项。</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安全生产责任制</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建立健全主要负责人安全生产责任制。主要负责人责任制符合《中华人民共和国安全生产法》第二十一条的规定，符合上级规范性文件，符合本单位和本岗位工作实际。</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《中华人民共和国安全生产法》第四条，第五条，第二十一条；《煤矿企业安全生产许可证实施办法》第六条；《煤矿安全规程》第四条。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建立健全安全生产管理人员安全生产责任制。安全生产责任制是否符合《中华人民共和国安全生产法》第二十五条的规定，明确责任范围和考核标准等内容，符合本单位和本岗位工作实际。</w:t>
            </w:r>
            <w:r>
              <w:rPr>
                <w:rFonts w:hint="eastAsia" w:ascii="宋体" w:hAnsi="宋体" w:cs="宋体"/>
                <w:kern w:val="0"/>
                <w:szCs w:val="21"/>
              </w:rPr>
              <w:br w:type="textWrapping"/>
            </w:r>
            <w:r>
              <w:rPr>
                <w:rFonts w:hint="eastAsia" w:ascii="宋体" w:hAnsi="宋体" w:cs="宋体"/>
                <w:kern w:val="0"/>
                <w:szCs w:val="21"/>
              </w:rPr>
              <w:t>是否明确企业总工程师安全生产责任制。是否由企业主要负责人组织制定或审定。</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《中华人民共和国安全生产法》第四条，第二十一条，第二十二条，第二十五条；《煤矿企业安全生产许可证实施办法》第六条；《煤矿安全规程》第四条。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立健全各岗位全员安全生产责任制，加强安全生产标准化建设。安全生产责任制应当明确各岗位的责任人员、责任范围和考核标准等内容。安全生产责任制符合法律法规，符合本单位和本岗位工作实际，由企业主要负责人组织制定或审定。</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《中华人民共和国安全生产法》第二十一条、二十二条；《煤矿企业安全生产许可证实施办法》第六条；《煤矿安全规程》第四条。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安全生产管理机构建立健全安全生产责任制。安全生产责任制符合法律法规，符合本单位和本岗位工作实际。</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《煤矿企业安全生产许可证实施办法》第六条；《煤矿安全规程》第四条。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职能部门建立健全安全生产责任制。安全生产责任制符合法律法规，符合本单位和本岗位工作实际。</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《煤矿企业安全生产许可证实施办法》第六条；《煤矿安全规程》第四条。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安全生产规章制度和操作规程</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立健全安全生产目标管理、投入、奖惩、技术措施审批、培训、办公会议制度，安全检查制度，安全风险分级管控工作制度，重要设备材料的查验制度，事故隐患排查、治理、报告制度，事故报告与责任追究制度等。</w:t>
            </w:r>
          </w:p>
        </w:tc>
        <w:tc>
          <w:tcPr>
            <w:tcW w:w="30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《煤矿企业安全生产许可证实施办法》第六条；《煤矿安全规程》第四条。</w:t>
            </w:r>
          </w:p>
        </w:tc>
        <w:tc>
          <w:tcPr>
            <w:tcW w:w="1154" w:type="dxa"/>
            <w:tcBorders>
              <w:top w:val="nil"/>
              <w:left w:val="single" w:color="auto" w:sz="4" w:space="0"/>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single" w:color="auto" w:sz="4" w:space="0"/>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single" w:color="auto" w:sz="4" w:space="0"/>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做好检查验收和记录，防爆、阻燃抗静电、保护等安全性能不合格的不得使用。</w:t>
            </w:r>
          </w:p>
        </w:tc>
        <w:tc>
          <w:tcPr>
            <w:tcW w:w="30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154" w:type="dxa"/>
            <w:tcBorders>
              <w:top w:val="nil"/>
              <w:left w:val="single" w:color="auto" w:sz="4" w:space="0"/>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single" w:color="auto" w:sz="4" w:space="0"/>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single" w:color="auto" w:sz="4" w:space="0"/>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建立各种设备、设施检查维修制度，定期进行检查维修，并做好记录。</w:t>
            </w:r>
          </w:p>
        </w:tc>
        <w:tc>
          <w:tcPr>
            <w:tcW w:w="30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154" w:type="dxa"/>
            <w:tcBorders>
              <w:top w:val="nil"/>
              <w:left w:val="single" w:color="auto" w:sz="4" w:space="0"/>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single" w:color="auto" w:sz="4" w:space="0"/>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single" w:color="auto" w:sz="4" w:space="0"/>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由企业主要负责人或总工程师组织制定本单位的作业规程和操作规程。</w:t>
            </w:r>
          </w:p>
        </w:tc>
        <w:tc>
          <w:tcPr>
            <w:tcW w:w="30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154" w:type="dxa"/>
            <w:tcBorders>
              <w:top w:val="nil"/>
              <w:left w:val="single" w:color="auto" w:sz="4" w:space="0"/>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single" w:color="auto" w:sz="4" w:space="0"/>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single" w:color="auto" w:sz="4" w:space="0"/>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13</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安全生产规章制度和操作规程</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安全生产管理机构以及总工程师、安全副矿长等安全生产管理人员组织开展危险源辨识和评估，督促落实本单位重大危险源的安全管理措施；制止和纠正违章指挥、强令冒险作业、违反操作规程的行为。</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《中华人民共和国安全生产法》第二十五条。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14</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危险告知</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作业场所和工作岗位存在的危险有害因素及防范措施、事故应急措施等，煤矿企业应当履行告知义务。</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《煤矿安全规程》第七条。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15</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矿用安全标志</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使用的纳入安全标志管理的产品，必须取得煤矿矿用产品安全标志。试验涉及安全生产的新技术、新工艺必须经过论证并制定安全措施；新设备、新材料必须经过安全性能检验，取得产品工业性试验安全标志。</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《煤矿安全规程》第十条。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16</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Calibri" w:hAnsi="Calibri" w:eastAsia="宋体" w:cs="Times New Roman"/>
              </w:rPr>
              <w:t>举报奖励公告牌</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Calibri" w:hAnsi="Calibri" w:eastAsia="宋体" w:cs="Times New Roman"/>
              </w:rPr>
              <w:t>省级矿山安全监管部门会同省级矿山安全监察机构在辖区所有矿山露天工业广场（人员出入主要路口）、井工矿山人员入井井口等醒目位置安设举报信息标识牌，载明接报单位及联系方式、匿名举报方法、受奖励的举报内容、举报奖励等级划分、奖励标准和领奖方式</w:t>
            </w:r>
            <w:r>
              <w:rPr>
                <w:rFonts w:hint="eastAsia" w:ascii="宋体" w:hAnsi="宋体" w:eastAsia="宋体" w:cs="宋体"/>
                <w:kern w:val="0"/>
              </w:rPr>
              <w:t>。</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Calibri" w:hAnsi="Calibri" w:eastAsia="宋体" w:cs="Times New Roman"/>
              </w:rPr>
              <w:t>国家矿山安全监察局关于印发《矿山安全生产</w:t>
            </w:r>
            <w:r>
              <w:rPr>
                <w:rFonts w:hint="eastAsia" w:asciiTheme="minorEastAsia" w:hAnsiTheme="minorEastAsia" w:cstheme="minorEastAsia"/>
              </w:rPr>
              <w:t>举报奖励实施细则（试行）》的通知（矿安〔2021〕47号）第11条</w:t>
            </w:r>
            <w:r>
              <w:rPr>
                <w:rFonts w:hint="eastAsia" w:asciiTheme="minorEastAsia" w:hAnsiTheme="minorEastAsia" w:cstheme="minorEastAsia"/>
                <w:kern w:val="0"/>
              </w:rPr>
              <w:t>。</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17</w:t>
            </w:r>
          </w:p>
        </w:tc>
        <w:tc>
          <w:tcPr>
            <w:tcW w:w="1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劳动防护用品配备使用</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入场人员必须戴安全帽等个体防护用品，穿带有反光标识的工作服。</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《煤矿安全规程》第十三条。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18</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作业人员必须正确使用防尘或者防毒等个体防护用品。</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《煤矿安全规程》第六百三十九条。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19</w:t>
            </w:r>
          </w:p>
        </w:tc>
        <w:tc>
          <w:tcPr>
            <w:tcW w:w="1126" w:type="dxa"/>
            <w:tcBorders>
              <w:top w:val="nil"/>
              <w:left w:val="nil"/>
              <w:bottom w:val="nil"/>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图纸资料</w:t>
            </w:r>
          </w:p>
        </w:tc>
        <w:tc>
          <w:tcPr>
            <w:tcW w:w="530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编制地形地质图，工程地质平面图、断面图、综合水文地质图，采剥、排土工程平面图和运输系统图，供配电系统图，通信系统图，防排水系统图，边坡监测系统平面图，井工采空区与露天矿平面对照图。</w:t>
            </w:r>
          </w:p>
        </w:tc>
        <w:tc>
          <w:tcPr>
            <w:tcW w:w="3004" w:type="dxa"/>
            <w:tcBorders>
              <w:top w:val="nil"/>
              <w:left w:val="nil"/>
              <w:bottom w:val="nil"/>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《煤矿企业安全生产许可证实施办法》第九条；《煤矿安全规程》第十五条。</w:t>
            </w:r>
          </w:p>
        </w:tc>
        <w:tc>
          <w:tcPr>
            <w:tcW w:w="1154" w:type="dxa"/>
            <w:tcBorders>
              <w:top w:val="nil"/>
              <w:left w:val="nil"/>
              <w:bottom w:val="nil"/>
              <w:right w:val="single" w:color="auto" w:sz="4" w:space="0"/>
            </w:tcBorders>
          </w:tcPr>
          <w:p>
            <w:pPr>
              <w:widowControl/>
              <w:jc w:val="left"/>
              <w:rPr>
                <w:rFonts w:ascii="宋体" w:hAnsi="宋体" w:cs="宋体"/>
                <w:kern w:val="0"/>
                <w:szCs w:val="21"/>
              </w:rPr>
            </w:pPr>
          </w:p>
        </w:tc>
        <w:tc>
          <w:tcPr>
            <w:tcW w:w="1276" w:type="dxa"/>
            <w:tcBorders>
              <w:top w:val="nil"/>
              <w:left w:val="nil"/>
              <w:bottom w:val="nil"/>
              <w:right w:val="single" w:color="auto" w:sz="4" w:space="0"/>
            </w:tcBorders>
          </w:tcPr>
          <w:p>
            <w:pPr>
              <w:widowControl/>
              <w:jc w:val="left"/>
              <w:rPr>
                <w:rFonts w:ascii="宋体" w:hAnsi="宋体" w:cs="宋体"/>
                <w:kern w:val="0"/>
                <w:szCs w:val="21"/>
              </w:rPr>
            </w:pPr>
          </w:p>
        </w:tc>
        <w:tc>
          <w:tcPr>
            <w:tcW w:w="1256" w:type="dxa"/>
            <w:tcBorders>
              <w:top w:val="nil"/>
              <w:left w:val="nil"/>
              <w:bottom w:val="nil"/>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w:t>
            </w:r>
          </w:p>
        </w:tc>
        <w:tc>
          <w:tcPr>
            <w:tcW w:w="1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安全生产费用提取和使用</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安全费用按照不低于吨煤5元的标准提取（有财政等主管部门批准的除外）。</w:t>
            </w:r>
          </w:p>
        </w:tc>
        <w:tc>
          <w:tcPr>
            <w:tcW w:w="30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《中华人民共和国安全生产法》第二十三条；《企业安全生产费用提取和使用管理办法》（财资〔2022〕136号）第七条，第八条，第十七条；《煤矿安全规程》第十一条。</w:t>
            </w:r>
          </w:p>
        </w:tc>
        <w:tc>
          <w:tcPr>
            <w:tcW w:w="1154" w:type="dxa"/>
            <w:tcBorders>
              <w:top w:val="single" w:color="auto" w:sz="4" w:space="0"/>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single" w:color="auto" w:sz="4" w:space="0"/>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single" w:color="auto" w:sz="4" w:space="0"/>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21</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安全费用使用符合《企业安全生产费用提取和使用管理办法》（财资〔2022〕136号）第十七条标准要求。提取的安全费用专户核算，按规定范围安排使用，不得挤占、挪用。年度结余资金结转下年度使用，当年计提安全费用不足的，超出部分按正常成本费用渠道列支。</w:t>
            </w:r>
          </w:p>
        </w:tc>
        <w:tc>
          <w:tcPr>
            <w:tcW w:w="30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《中华人民共和国安全生产法》第二十三条；《企业安全生产费用提取和使用管理办法》（财资〔2022〕136号） 第四条，第八条，第十七条。</w:t>
            </w:r>
          </w:p>
        </w:tc>
        <w:tc>
          <w:tcPr>
            <w:tcW w:w="1154"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22</w:t>
            </w:r>
          </w:p>
        </w:tc>
        <w:tc>
          <w:tcPr>
            <w:tcW w:w="1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安全投入制度</w:t>
            </w:r>
          </w:p>
        </w:tc>
        <w:tc>
          <w:tcPr>
            <w:tcW w:w="5306"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是否建立安全投入保障制度；是否建立健全企业内部安全费用管理制度，明确安全费用提取和使用的程序、职责及权限。</w:t>
            </w:r>
          </w:p>
        </w:tc>
        <w:tc>
          <w:tcPr>
            <w:tcW w:w="30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《中华人民共和国安全生产法》第二十三条；《煤矿安全规程》第十一条。</w:t>
            </w:r>
          </w:p>
        </w:tc>
        <w:tc>
          <w:tcPr>
            <w:tcW w:w="1154"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23</w:t>
            </w:r>
          </w:p>
        </w:tc>
        <w:tc>
          <w:tcPr>
            <w:tcW w:w="112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安全生产费用提取和使用检查</w:t>
            </w:r>
          </w:p>
        </w:tc>
        <w:tc>
          <w:tcPr>
            <w:tcW w:w="530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企业主要负责人是否组织进行了安全生产费用提取和使用情况检查，发现问题是否进行了整改。</w:t>
            </w:r>
          </w:p>
        </w:tc>
        <w:tc>
          <w:tcPr>
            <w:tcW w:w="3004" w:type="dxa"/>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《中华人民共和国安全生产法》第二十一条。</w:t>
            </w:r>
          </w:p>
        </w:tc>
        <w:tc>
          <w:tcPr>
            <w:tcW w:w="1154" w:type="dxa"/>
            <w:tcBorders>
              <w:top w:val="single" w:color="000000" w:sz="4" w:space="0"/>
              <w:left w:val="nil"/>
              <w:bottom w:val="single" w:color="000000" w:sz="4" w:space="0"/>
              <w:right w:val="single" w:color="000000" w:sz="4" w:space="0"/>
            </w:tcBorders>
          </w:tcPr>
          <w:p>
            <w:pPr>
              <w:widowControl/>
              <w:jc w:val="left"/>
              <w:rPr>
                <w:rFonts w:ascii="宋体" w:hAnsi="宋体" w:cs="宋体"/>
                <w:kern w:val="0"/>
                <w:szCs w:val="21"/>
              </w:rPr>
            </w:pPr>
          </w:p>
        </w:tc>
        <w:tc>
          <w:tcPr>
            <w:tcW w:w="1276" w:type="dxa"/>
            <w:tcBorders>
              <w:top w:val="single" w:color="000000" w:sz="4" w:space="0"/>
              <w:left w:val="nil"/>
              <w:bottom w:val="single" w:color="000000" w:sz="4" w:space="0"/>
              <w:right w:val="single" w:color="000000" w:sz="4" w:space="0"/>
            </w:tcBorders>
          </w:tcPr>
          <w:p>
            <w:pPr>
              <w:widowControl/>
              <w:jc w:val="left"/>
              <w:rPr>
                <w:rFonts w:ascii="宋体" w:hAnsi="宋体" w:cs="宋体"/>
                <w:kern w:val="0"/>
                <w:szCs w:val="21"/>
              </w:rPr>
            </w:pPr>
          </w:p>
        </w:tc>
        <w:tc>
          <w:tcPr>
            <w:tcW w:w="1256" w:type="dxa"/>
            <w:tcBorders>
              <w:top w:val="single" w:color="000000" w:sz="4" w:space="0"/>
              <w:left w:val="nil"/>
              <w:bottom w:val="single" w:color="000000" w:sz="4" w:space="0"/>
              <w:right w:val="single" w:color="000000"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24</w:t>
            </w:r>
          </w:p>
        </w:tc>
        <w:tc>
          <w:tcPr>
            <w:tcW w:w="1126"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安全生产责任保险</w:t>
            </w:r>
          </w:p>
        </w:tc>
        <w:tc>
          <w:tcPr>
            <w:tcW w:w="530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按照国家规定投保安全生产责任保险。</w:t>
            </w:r>
          </w:p>
        </w:tc>
        <w:tc>
          <w:tcPr>
            <w:tcW w:w="300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《中华人民共和国安全生产法》第五十一条。</w:t>
            </w:r>
          </w:p>
        </w:tc>
        <w:tc>
          <w:tcPr>
            <w:tcW w:w="1154" w:type="dxa"/>
            <w:tcBorders>
              <w:top w:val="nil"/>
              <w:left w:val="nil"/>
              <w:bottom w:val="single" w:color="000000" w:sz="4" w:space="0"/>
              <w:right w:val="single" w:color="000000" w:sz="4" w:space="0"/>
            </w:tcBorders>
          </w:tcPr>
          <w:p>
            <w:pPr>
              <w:widowControl/>
              <w:jc w:val="left"/>
              <w:rPr>
                <w:rFonts w:ascii="宋体" w:hAnsi="宋体" w:cs="宋体"/>
                <w:kern w:val="0"/>
                <w:szCs w:val="21"/>
              </w:rPr>
            </w:pPr>
          </w:p>
        </w:tc>
        <w:tc>
          <w:tcPr>
            <w:tcW w:w="1276" w:type="dxa"/>
            <w:tcBorders>
              <w:top w:val="nil"/>
              <w:left w:val="nil"/>
              <w:bottom w:val="single" w:color="000000" w:sz="4" w:space="0"/>
              <w:right w:val="single" w:color="000000" w:sz="4" w:space="0"/>
            </w:tcBorders>
          </w:tcPr>
          <w:p>
            <w:pPr>
              <w:widowControl/>
              <w:jc w:val="left"/>
              <w:rPr>
                <w:rFonts w:ascii="宋体" w:hAnsi="宋体" w:cs="宋体"/>
                <w:kern w:val="0"/>
                <w:szCs w:val="21"/>
              </w:rPr>
            </w:pPr>
          </w:p>
        </w:tc>
        <w:tc>
          <w:tcPr>
            <w:tcW w:w="1256" w:type="dxa"/>
            <w:tcBorders>
              <w:top w:val="nil"/>
              <w:left w:val="nil"/>
              <w:bottom w:val="single" w:color="000000" w:sz="4" w:space="0"/>
              <w:right w:val="single" w:color="000000"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25</w:t>
            </w:r>
          </w:p>
        </w:tc>
        <w:tc>
          <w:tcPr>
            <w:tcW w:w="11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工伤保险</w:t>
            </w:r>
          </w:p>
        </w:tc>
        <w:tc>
          <w:tcPr>
            <w:tcW w:w="530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参加工伤保险，为从业人员缴纳工伤保险费。</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《煤矿企业安全生产许可证实施办法》第六条第五项。</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26</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风险分级管控</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组织建立并落实安全风险分级管控和隐患排查治理双重预防工作机制。</w:t>
            </w:r>
            <w:r>
              <w:rPr>
                <w:rFonts w:hint="eastAsia" w:ascii="宋体" w:hAnsi="宋体" w:cs="宋体"/>
                <w:kern w:val="0"/>
                <w:szCs w:val="21"/>
              </w:rPr>
              <w:br w:type="textWrapping"/>
            </w:r>
            <w:r>
              <w:rPr>
                <w:rFonts w:hint="eastAsia" w:ascii="宋体" w:hAnsi="宋体" w:cs="宋体"/>
                <w:kern w:val="0"/>
                <w:szCs w:val="21"/>
              </w:rPr>
              <w:t>建立安全风险分级管控制度，按照安全风险分级采取相应的管控措施。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《中华人民共和国安全生产法》第二十一条，第四十一条。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27</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危险源辨识和评估</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组织开展危险源辨识和评估，督促落实本单位重大危险源的安全管理措施。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《中华人民共和国安全生产法》第二十五条。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28</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隐患排查治理责任落实</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建立健全并落实生产安全事故隐患排查治理制度，按规定定期组织排查事故隐患，对事故隐患登记建档，对事故隐患进行整改，并通过职工大会或者职工代表大会、信息公示栏等方式向从业人员通报。</w:t>
            </w:r>
          </w:p>
          <w:p>
            <w:pPr>
              <w:widowControl/>
              <w:jc w:val="left"/>
              <w:rPr>
                <w:rFonts w:ascii="宋体" w:hAnsi="宋体" w:cs="宋体"/>
                <w:kern w:val="0"/>
                <w:szCs w:val="21"/>
              </w:rPr>
            </w:pPr>
            <w:r>
              <w:rPr>
                <w:rFonts w:hint="eastAsia" w:ascii="宋体" w:hAnsi="宋体" w:cs="宋体"/>
                <w:kern w:val="0"/>
                <w:szCs w:val="21"/>
              </w:rPr>
              <w:t>重大事故隐患排查治理情况应当及时向负有安全生产监督管理职责的部门和职工大会或者职工代表大会报告。煤矿企业主要负责人和总工程师应当督促、检查本单位安全生产工作，及时消除事故隐患。总工程师应当根据安全检查和隐患排查等情况，提出改进安全生产管理的建议。</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《中华人民共和国安全生产法》第四条，第二十一条，第二十五条，第四十一条；《安全生产事故隐患排查治理暂行规定》（原国家安全监管总局令第16号）第二十条。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29</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领导干部带班职责落实</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每班必须有矿领导带班。煤矿的主要负责人每月带班不得少于5个。</w:t>
            </w:r>
            <w:r>
              <w:rPr>
                <w:rFonts w:hint="eastAsia" w:ascii="宋体" w:hAnsi="宋体" w:cs="宋体"/>
                <w:kern w:val="0"/>
                <w:szCs w:val="21"/>
              </w:rPr>
              <w:br w:type="textWrapping"/>
            </w:r>
            <w:r>
              <w:rPr>
                <w:rFonts w:hint="eastAsia" w:ascii="宋体" w:hAnsi="宋体" w:cs="宋体"/>
                <w:kern w:val="0"/>
                <w:szCs w:val="21"/>
              </w:rPr>
              <w:t>煤矿领导带班时，其姓名应当在坑口明显位置公示。煤矿领导每月带班工作计划的完成情况，应当在煤矿公示栏公示，接受群众监督。煤矿领导带班应加强对采煤等重点部位、生产关键环节的检查巡视，及时发现和组织消除事故隐患和险情，及时制止违章违纪行为，严禁违章指挥。煤矿领导带班实行交接班。</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《煤矿领导带班下井及安全监督检查规定》（原国家安全监管总局令第33号，第81号修改）第五条，第七条，第九条，第十条。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30</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按规定采取安全防护措施</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生产经营单位在事故隐患治理过程中，应当采取相应的安全防范措施，防止事故发生。事故隐患排除前或者排除过程中无法保证安全的，应当从危险区域内撤出作业人员，并疏散可能危及的其他人员，设置警戒标志，暂时停产停业或者停止使用；对暂时难以停产或者停止使用的相关生产储存装置、设施、设备，应当加强维护和保养，防止事故发生。</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《中华人民共和国安全生产法》第二十五条；《安全生产事故隐患排查治理暂行规定》（原国家安全生产监督管理总局令第16号）第十六条。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31</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安全措施</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多工种、多设备联合作业时，必须制定安全措施，并符合相关技术标准。</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《煤矿安全规程》第五百一十条。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32</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危及人身安全的作业范围内严禁人员和设备停留或者通过。移动设备在平盘非安全区内走行或者停留时，采取安全措施。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《煤矿安全规程》第五百一十七条。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33</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人行安全</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铁路运输的露天采场主要区段的上下平盘之间设置人行通路或梯子。铁路运输的露天采场梯子两侧设置安全护栏。</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《煤矿安全规程》第五百一十一条。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34</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行走的人员必须走人行通路或梯子。因工作需要沿铁路线和矿山道路行走的人员，必须时刻注意前后方向来车。躲车时，必须躲到安全地点。横过铁路线或者矿山道路时，止步瞭望。跨越带式输送机时，沿着装有栏杆的栈桥通过。严禁在有塌落危险的坡顶、坡底行走或者逗留。</w:t>
            </w:r>
          </w:p>
        </w:tc>
        <w:tc>
          <w:tcPr>
            <w:tcW w:w="30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《煤矿安全规程》第五百一十二条。</w:t>
            </w:r>
          </w:p>
        </w:tc>
        <w:tc>
          <w:tcPr>
            <w:tcW w:w="1154" w:type="dxa"/>
            <w:tcBorders>
              <w:top w:val="single" w:color="auto" w:sz="4" w:space="0"/>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single" w:color="auto" w:sz="4" w:space="0"/>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single" w:color="auto" w:sz="4" w:space="0"/>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35</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非作业人员和车辆未经批准严禁进入作业区。</w:t>
            </w:r>
          </w:p>
        </w:tc>
        <w:tc>
          <w:tcPr>
            <w:tcW w:w="3004"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《煤矿安全规程》第五百一十三条。</w:t>
            </w:r>
          </w:p>
        </w:tc>
        <w:tc>
          <w:tcPr>
            <w:tcW w:w="1154" w:type="dxa"/>
            <w:tcBorders>
              <w:top w:val="single" w:color="auto" w:sz="4" w:space="0"/>
              <w:left w:val="nil"/>
              <w:bottom w:val="nil"/>
              <w:right w:val="single" w:color="auto" w:sz="4" w:space="0"/>
            </w:tcBorders>
          </w:tcPr>
          <w:p>
            <w:pPr>
              <w:widowControl/>
              <w:jc w:val="left"/>
              <w:rPr>
                <w:rFonts w:ascii="宋体" w:hAnsi="宋体" w:cs="宋体"/>
                <w:kern w:val="0"/>
                <w:szCs w:val="21"/>
              </w:rPr>
            </w:pPr>
          </w:p>
        </w:tc>
        <w:tc>
          <w:tcPr>
            <w:tcW w:w="1276" w:type="dxa"/>
            <w:tcBorders>
              <w:top w:val="single" w:color="auto" w:sz="4" w:space="0"/>
              <w:left w:val="nil"/>
              <w:bottom w:val="nil"/>
              <w:right w:val="single" w:color="auto" w:sz="4" w:space="0"/>
            </w:tcBorders>
          </w:tcPr>
          <w:p>
            <w:pPr>
              <w:widowControl/>
              <w:jc w:val="left"/>
              <w:rPr>
                <w:rFonts w:ascii="宋体" w:hAnsi="宋体" w:cs="宋体"/>
                <w:kern w:val="0"/>
                <w:szCs w:val="21"/>
              </w:rPr>
            </w:pPr>
          </w:p>
        </w:tc>
        <w:tc>
          <w:tcPr>
            <w:tcW w:w="1256" w:type="dxa"/>
            <w:tcBorders>
              <w:top w:val="single" w:color="auto" w:sz="4" w:space="0"/>
              <w:left w:val="nil"/>
              <w:bottom w:val="nil"/>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36</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采掘、运输、排土等机械设备作业时，严禁检修和维护，严禁人员上下设备。</w:t>
            </w:r>
          </w:p>
        </w:tc>
        <w:tc>
          <w:tcPr>
            <w:tcW w:w="30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《煤矿安全规程》第五百一十七条。</w:t>
            </w:r>
          </w:p>
        </w:tc>
        <w:tc>
          <w:tcPr>
            <w:tcW w:w="1154" w:type="dxa"/>
            <w:tcBorders>
              <w:top w:val="single" w:color="auto" w:sz="4" w:space="0"/>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single" w:color="auto" w:sz="4" w:space="0"/>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single" w:color="auto" w:sz="4" w:space="0"/>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37</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警示标志</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采场内火区、老空区、滑坡区应当充填或者设置栅栏，并设置警示标志。</w:t>
            </w:r>
          </w:p>
        </w:tc>
        <w:tc>
          <w:tcPr>
            <w:tcW w:w="30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《煤矿安全规程》第五百一十四条。</w:t>
            </w:r>
          </w:p>
        </w:tc>
        <w:tc>
          <w:tcPr>
            <w:tcW w:w="1154"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7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5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38</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地面、采场及排土场内临时设置变压器时应当设围栏，配电柜、箱、盘应当加锁，并设置明显的防触电标志。</w:t>
            </w:r>
          </w:p>
        </w:tc>
        <w:tc>
          <w:tcPr>
            <w:tcW w:w="30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154"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7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5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39</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设备停放场、炸药厂、爆炸物品库、油库、加油站和物资仓库等易燃易爆场所，设置防爆、防火和危险警示标志。</w:t>
            </w:r>
          </w:p>
        </w:tc>
        <w:tc>
          <w:tcPr>
            <w:tcW w:w="30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154"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7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5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40</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矿山道路必须设置限速、道口等路标，特殊路段设警示标志。汽车运输为左侧通行的，在过渡区段内必须设置醒目的换向标志。</w:t>
            </w:r>
          </w:p>
        </w:tc>
        <w:tc>
          <w:tcPr>
            <w:tcW w:w="30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154"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7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5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41</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严禁擅自移动和损坏各种安全标志。</w:t>
            </w:r>
          </w:p>
        </w:tc>
        <w:tc>
          <w:tcPr>
            <w:tcW w:w="30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154"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7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5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42</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永久性建筑物</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距采场最终境界的安全距离以内禁止修建永久性建(构)筑物。爆炸物品库爆炸危险区内禁止修建永久性建(构)筑物。不稳定的排土场内禁止修建永久性建(构)筑物。爆破、岩体变形、塌陷、滑坡危险区域内禁止修建永久性建(构)筑物。</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《煤矿安全规程》第五百一十五条。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43</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特殊天气作业</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在大雾、雨雪等能见度低的情况下作业时，制定安全技术措施。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《煤矿安全规程》第五百一十九条。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44</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暴雨期间，处在有水淹或者片帮危险区域的设备，必须撤离到安全地带。遇有6级以上大风时禁止露天起重和高处作业。遇有8级及以上大风时禁止轮斗挖掘机、排土机和转载机作业。</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《煤矿安全规程》第五百一十九条。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45</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高处作业</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作业人员在2m及以上的高处作业时，必须系安全带或设置安全网。</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《煤矿安全规程》第五百二十条。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46</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事故责任落实</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事故发生单位应当按照负责事故调查的人民政府的批复，对本单位负有事故责任的人员进行处理。事故发生单位应当认真吸取事故教训。应当及时全面落实整改措施。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《中华人民共和国安全生产法》第八十六条；《生产安全事故报告和调查处理条例》（国务院令第493号）第三十二条，第三十三条。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47</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煤矿承包生产经营安全管理</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实行整体承包生产经营后，是否重新取得或者及时变更安全生产许可证。煤矿是否采取整体承包形式进行发包，是否将煤矿整体发包给不具有法人资格或者未取得合法有效营业执照的单位或者个人。煤矿实行承包（托管）是否签订安全生产管理协议，协议约定双方安全生产管理职责。承包方（承托方）是否按规定变更安全生产许可证。承包方（承托方）是否再次将煤矿承包（托管）给其他单位或者个人。</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《煤矿重大事故隐患判定标准》（应急管理部令第4号）第十六条。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Cs w:val="21"/>
                <w:lang w:val="en-US" w:eastAsia="zh-CN"/>
              </w:rPr>
            </w:pPr>
            <w:r>
              <w:rPr>
                <w:rFonts w:hint="eastAsia" w:ascii="宋体" w:hAnsi="宋体" w:cs="宋体"/>
                <w:kern w:val="0"/>
                <w:szCs w:val="21"/>
              </w:rPr>
              <w:t>4</w:t>
            </w:r>
            <w:r>
              <w:rPr>
                <w:rFonts w:hint="eastAsia" w:ascii="宋体" w:hAnsi="宋体" w:cs="宋体"/>
                <w:kern w:val="0"/>
                <w:szCs w:val="21"/>
                <w:lang w:val="en-US" w:eastAsia="zh-CN"/>
              </w:rPr>
              <w:t>8</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配合检查及执行监察执法指令</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煤矿有关人员配合检查及执行矿山安全监察机构监察执法指令情况。</w:t>
            </w:r>
            <w:r>
              <w:rPr>
                <w:rFonts w:hint="eastAsia" w:ascii="宋体" w:hAnsi="宋体" w:cs="宋体"/>
                <w:kern w:val="0"/>
                <w:szCs w:val="21"/>
              </w:rPr>
              <w:br w:type="textWrapping"/>
            </w:r>
            <w:r>
              <w:rPr>
                <w:rFonts w:hint="eastAsia" w:ascii="宋体" w:hAnsi="宋体" w:cs="宋体"/>
                <w:kern w:val="0"/>
                <w:szCs w:val="21"/>
              </w:rPr>
              <w:t xml:space="preserve">    配合检查及执行指令由总工程师负责组织企业有关人员落实。</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《中华人民共和国安全生产法》第十条，第二十五条；《煤矿安全监察条例》（国务院令第296号）第二十条，第三十二条，第三十三条。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bl>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spacing w:line="360" w:lineRule="auto"/>
        <w:rPr>
          <w:rFonts w:ascii="黑体" w:hAnsi="黑体" w:eastAsia="黑体" w:cs="宋体"/>
          <w:kern w:val="0"/>
          <w:sz w:val="28"/>
          <w:szCs w:val="21"/>
        </w:rPr>
      </w:pPr>
      <w:r>
        <w:rPr>
          <w:rFonts w:hint="eastAsia" w:ascii="黑体" w:hAnsi="黑体" w:eastAsia="黑体" w:cs="宋体"/>
          <w:kern w:val="0"/>
          <w:sz w:val="28"/>
          <w:szCs w:val="21"/>
        </w:rPr>
        <w:t>二、安全培训单元（1</w:t>
      </w:r>
      <w:r>
        <w:rPr>
          <w:rFonts w:ascii="黑体" w:hAnsi="黑体" w:eastAsia="黑体" w:cs="宋体"/>
          <w:kern w:val="0"/>
          <w:sz w:val="28"/>
          <w:szCs w:val="21"/>
        </w:rPr>
        <w:t>2</w:t>
      </w:r>
      <w:r>
        <w:rPr>
          <w:rFonts w:hint="eastAsia" w:ascii="黑体" w:hAnsi="黑体" w:eastAsia="黑体" w:cs="宋体"/>
          <w:kern w:val="0"/>
          <w:sz w:val="28"/>
          <w:szCs w:val="21"/>
        </w:rPr>
        <w:t>）</w:t>
      </w:r>
    </w:p>
    <w:tbl>
      <w:tblPr>
        <w:tblStyle w:val="29"/>
        <w:tblW w:w="13787" w:type="dxa"/>
        <w:jc w:val="center"/>
        <w:tblInd w:w="0" w:type="dxa"/>
        <w:tblLayout w:type="fixed"/>
        <w:tblCellMar>
          <w:top w:w="0" w:type="dxa"/>
          <w:left w:w="108" w:type="dxa"/>
          <w:bottom w:w="0" w:type="dxa"/>
          <w:right w:w="108" w:type="dxa"/>
        </w:tblCellMar>
      </w:tblPr>
      <w:tblGrid>
        <w:gridCol w:w="665"/>
        <w:gridCol w:w="1126"/>
        <w:gridCol w:w="5306"/>
        <w:gridCol w:w="3004"/>
        <w:gridCol w:w="1154"/>
        <w:gridCol w:w="1276"/>
        <w:gridCol w:w="1256"/>
      </w:tblGrid>
      <w:tr>
        <w:tblPrEx>
          <w:tblLayout w:type="fixed"/>
          <w:tblCellMar>
            <w:top w:w="0" w:type="dxa"/>
            <w:left w:w="108" w:type="dxa"/>
            <w:bottom w:w="0" w:type="dxa"/>
            <w:right w:w="108" w:type="dxa"/>
          </w:tblCellMar>
        </w:tblPrEx>
        <w:trPr>
          <w:tblHeader/>
          <w:jc w:val="center"/>
        </w:trPr>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检查项目</w:t>
            </w:r>
          </w:p>
        </w:tc>
        <w:tc>
          <w:tcPr>
            <w:tcW w:w="53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检查内容</w:t>
            </w:r>
          </w:p>
        </w:tc>
        <w:tc>
          <w:tcPr>
            <w:tcW w:w="3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检查依据</w:t>
            </w:r>
          </w:p>
        </w:tc>
        <w:tc>
          <w:tcPr>
            <w:tcW w:w="1154"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现状描述</w:t>
            </w:r>
          </w:p>
        </w:tc>
        <w:tc>
          <w:tcPr>
            <w:tcW w:w="1276"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存在问题</w:t>
            </w:r>
          </w:p>
        </w:tc>
        <w:tc>
          <w:tcPr>
            <w:tcW w:w="1256"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处置措施</w:t>
            </w: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126" w:type="dxa"/>
            <w:tcBorders>
              <w:top w:val="nil"/>
              <w:left w:val="nil"/>
              <w:bottom w:val="nil"/>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安全培训机构</w:t>
            </w:r>
          </w:p>
        </w:tc>
        <w:tc>
          <w:tcPr>
            <w:tcW w:w="5306" w:type="dxa"/>
            <w:tcBorders>
              <w:top w:val="nil"/>
              <w:left w:val="nil"/>
              <w:bottom w:val="nil"/>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明确负责安全培训工作的机构，配备专职或者兼职安全培训管理人员。</w:t>
            </w:r>
          </w:p>
        </w:tc>
        <w:tc>
          <w:tcPr>
            <w:tcW w:w="3004" w:type="dxa"/>
            <w:tcBorders>
              <w:top w:val="nil"/>
              <w:left w:val="nil"/>
              <w:bottom w:val="nil"/>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《煤矿安全培训规定》(原国家安全监管总局令第92号)第六条。</w:t>
            </w:r>
          </w:p>
        </w:tc>
        <w:tc>
          <w:tcPr>
            <w:tcW w:w="1154" w:type="dxa"/>
            <w:tcBorders>
              <w:top w:val="nil"/>
              <w:left w:val="nil"/>
              <w:bottom w:val="nil"/>
              <w:right w:val="single" w:color="auto" w:sz="4" w:space="0"/>
            </w:tcBorders>
          </w:tcPr>
          <w:p>
            <w:pPr>
              <w:widowControl/>
              <w:jc w:val="left"/>
              <w:rPr>
                <w:rFonts w:ascii="宋体" w:hAnsi="宋体" w:cs="宋体"/>
                <w:kern w:val="0"/>
                <w:szCs w:val="21"/>
              </w:rPr>
            </w:pPr>
          </w:p>
        </w:tc>
        <w:tc>
          <w:tcPr>
            <w:tcW w:w="1276" w:type="dxa"/>
            <w:tcBorders>
              <w:top w:val="nil"/>
              <w:left w:val="nil"/>
              <w:bottom w:val="nil"/>
              <w:right w:val="single" w:color="auto" w:sz="4" w:space="0"/>
            </w:tcBorders>
          </w:tcPr>
          <w:p>
            <w:pPr>
              <w:widowControl/>
              <w:jc w:val="left"/>
              <w:rPr>
                <w:rFonts w:ascii="宋体" w:hAnsi="宋体" w:cs="宋体"/>
                <w:kern w:val="0"/>
                <w:szCs w:val="21"/>
              </w:rPr>
            </w:pPr>
          </w:p>
        </w:tc>
        <w:tc>
          <w:tcPr>
            <w:tcW w:w="1256" w:type="dxa"/>
            <w:tcBorders>
              <w:top w:val="nil"/>
              <w:left w:val="nil"/>
              <w:bottom w:val="nil"/>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126"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安全培训制度</w:t>
            </w:r>
          </w:p>
        </w:tc>
        <w:tc>
          <w:tcPr>
            <w:tcW w:w="5306"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建立完善安全培训管理制度，煤矿企业主要负责人组织制定年度安全培训计划。</w:t>
            </w:r>
          </w:p>
        </w:tc>
        <w:tc>
          <w:tcPr>
            <w:tcW w:w="3004"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《中华人民共和国安全生产法》第二十一条；《煤矿安全培训规定》(原国家安全监管总局令第92号)第六条。</w:t>
            </w:r>
          </w:p>
        </w:tc>
        <w:tc>
          <w:tcPr>
            <w:tcW w:w="1154" w:type="dxa"/>
            <w:tcBorders>
              <w:top w:val="single" w:color="auto" w:sz="4" w:space="0"/>
              <w:left w:val="nil"/>
              <w:bottom w:val="nil"/>
              <w:right w:val="single" w:color="auto" w:sz="4" w:space="0"/>
            </w:tcBorders>
          </w:tcPr>
          <w:p>
            <w:pPr>
              <w:widowControl/>
              <w:jc w:val="left"/>
              <w:rPr>
                <w:rFonts w:ascii="宋体" w:hAnsi="宋体" w:cs="宋体"/>
                <w:kern w:val="0"/>
                <w:szCs w:val="21"/>
              </w:rPr>
            </w:pPr>
          </w:p>
        </w:tc>
        <w:tc>
          <w:tcPr>
            <w:tcW w:w="1276" w:type="dxa"/>
            <w:tcBorders>
              <w:top w:val="single" w:color="auto" w:sz="4" w:space="0"/>
              <w:left w:val="nil"/>
              <w:bottom w:val="nil"/>
              <w:right w:val="single" w:color="auto" w:sz="4" w:space="0"/>
            </w:tcBorders>
          </w:tcPr>
          <w:p>
            <w:pPr>
              <w:widowControl/>
              <w:jc w:val="left"/>
              <w:rPr>
                <w:rFonts w:ascii="宋体" w:hAnsi="宋体" w:cs="宋体"/>
                <w:kern w:val="0"/>
                <w:szCs w:val="21"/>
              </w:rPr>
            </w:pPr>
          </w:p>
        </w:tc>
        <w:tc>
          <w:tcPr>
            <w:tcW w:w="1256" w:type="dxa"/>
            <w:tcBorders>
              <w:top w:val="single" w:color="auto" w:sz="4" w:space="0"/>
              <w:left w:val="nil"/>
              <w:bottom w:val="nil"/>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1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安全培训投入</w:t>
            </w:r>
          </w:p>
        </w:tc>
        <w:tc>
          <w:tcPr>
            <w:tcW w:w="530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按照国家规定的比例提取教育培训经费。其中，用于安全培训的资金不得低于教育培训经费总额的百分之四十。</w:t>
            </w:r>
          </w:p>
        </w:tc>
        <w:tc>
          <w:tcPr>
            <w:tcW w:w="3004"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《煤矿安全培训规定》(原国家安全监管总局令第92号)第六条。</w:t>
            </w:r>
          </w:p>
        </w:tc>
        <w:tc>
          <w:tcPr>
            <w:tcW w:w="1154" w:type="dxa"/>
            <w:tcBorders>
              <w:top w:val="single" w:color="auto" w:sz="4" w:space="0"/>
              <w:left w:val="nil"/>
              <w:bottom w:val="nil"/>
              <w:right w:val="single" w:color="auto" w:sz="4" w:space="0"/>
            </w:tcBorders>
          </w:tcPr>
          <w:p>
            <w:pPr>
              <w:widowControl/>
              <w:jc w:val="left"/>
              <w:rPr>
                <w:rFonts w:ascii="宋体" w:hAnsi="宋体" w:cs="宋体"/>
                <w:kern w:val="0"/>
                <w:szCs w:val="21"/>
              </w:rPr>
            </w:pPr>
          </w:p>
        </w:tc>
        <w:tc>
          <w:tcPr>
            <w:tcW w:w="1276" w:type="dxa"/>
            <w:tcBorders>
              <w:top w:val="single" w:color="auto" w:sz="4" w:space="0"/>
              <w:left w:val="nil"/>
              <w:bottom w:val="nil"/>
              <w:right w:val="single" w:color="auto" w:sz="4" w:space="0"/>
            </w:tcBorders>
          </w:tcPr>
          <w:p>
            <w:pPr>
              <w:widowControl/>
              <w:jc w:val="left"/>
              <w:rPr>
                <w:rFonts w:ascii="宋体" w:hAnsi="宋体" w:cs="宋体"/>
                <w:kern w:val="0"/>
                <w:szCs w:val="21"/>
              </w:rPr>
            </w:pPr>
          </w:p>
        </w:tc>
        <w:tc>
          <w:tcPr>
            <w:tcW w:w="1256" w:type="dxa"/>
            <w:tcBorders>
              <w:top w:val="single" w:color="auto" w:sz="4" w:space="0"/>
              <w:left w:val="nil"/>
              <w:bottom w:val="nil"/>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安全培训档案管理</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立健全从业人员安全培训档案，实行一人一档。煤矿企业从业人员安全培训档案的内容包括：学员登记表，包括学员的文化程度、职务、职称、工作经历、技能等级晋升等情况；身份证复印件、学历证书复印件；历次接受安全培训、考核的情况；安全生产违规违章行为记录，以及被追究责任，受到处分、处理的情况。</w:t>
            </w:r>
          </w:p>
        </w:tc>
        <w:tc>
          <w:tcPr>
            <w:tcW w:w="30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《中华人民共和国安全生产法》第二十八条；《煤矿安全培训规定》(原国家安全监管总局令第92号)第八条。</w:t>
            </w:r>
          </w:p>
        </w:tc>
        <w:tc>
          <w:tcPr>
            <w:tcW w:w="1154" w:type="dxa"/>
            <w:tcBorders>
              <w:top w:val="single" w:color="auto" w:sz="4" w:space="0"/>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single" w:color="auto" w:sz="4" w:space="0"/>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single" w:color="auto" w:sz="4" w:space="0"/>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建立企业安全培训档案，实行一期一档。煤矿企业安全培训档案的内容包括：培训计划；培训时间、地点；培训课时及授课教师；课程讲义；学员名册、考勤、考核情况；综合考评报告等。</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《中华人民共和国安全生产法》第二十八条；《煤矿安全培训规定》(原国家安全监管总局令第92号)第九条。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相关档案应当能如实记录安全生产教育和培训情况。</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《中华人民共和国安全生产法》第二十五条。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三项岗位人员培训</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每年组织主要负责人和安全生产管理人员进行新法律法规、新标准、新规程、新技术、新工艺、新设备和新材料等方面的安全培训。</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《中华人民共和国安全生产法》第二十九条；《煤矿安全培训规定》(原国家安全监管总局令第92号)第十二条。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企业主要负责人和安全生产管理人员应当自任职之日起六个月内通过考核部门组织的安全生产知识和管理能力考核，并持续保持相应水平和能力。煤矿企业主要负责人和安全生产管理人员应当自任职之日起三十日内，按照规定向考核部门提出考核申请。</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《中华人民共和国安全生产法》第二十七条；《煤矿安全培训规定》(原国家安全监管总局令第92号)第十七条。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煤矿特种作业人员应当具备初中及以上文化程度（自2018年6月1日起新上岗的应当具备高中及以上文化程度），具有煤矿相关工作经历，或者职业高中、技工学校及中专以上相关专业学历。</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《煤矿安全培训规定》(原国家安全监管总局令第92号)第二十二条。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三项岗位人员培训</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煤矿特种作业人员必须经专门的安全技术培训和考核合格，由省级煤矿安全培训主管部门颁发特种作业操作证后，方可上岗作业。</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《中华人民共和国安全生产法》第三十条；《煤矿安全培训规定》(原国家安全监管总局令第92号)第二十四条。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其他从业人员培训</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应当对其他从业人员进行安全培训，保证其具备必要的安全生产知识、技能和事故应急处理能力，知悉自身在安全生产方面的权利和义务。</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《中华人民共和国安全生产法》第二十八条；《煤矿安全培训规定》(原国家安全监管总局令第92号)第三十三条。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对从事相关工作的班组长的安全培训，应当由其所在煤矿的上一级煤矿企业组织实施；没有上一级煤矿企业的，由本单位组织实施。其他从业人员安全培训合格后，应当颁发安全培训合格证明；未经培训并取得培训合格证明的，不得上岗作业。</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《煤矿安全培训规定》(原国家安全监管总局令第92号)第三十五条。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bl>
    <w:p/>
    <w:p>
      <w:pPr>
        <w:rPr>
          <w:rFonts w:ascii="黑体" w:hAnsi="黑体" w:eastAsia="黑体" w:cs="黑体"/>
          <w:sz w:val="28"/>
          <w:szCs w:val="28"/>
        </w:rPr>
      </w:pPr>
    </w:p>
    <w:p>
      <w:pPr>
        <w:ind w:firstLine="700" w:firstLineChars="250"/>
        <w:rPr>
          <w:rFonts w:ascii="黑体" w:hAnsi="黑体" w:eastAsia="黑体" w:cs="黑体"/>
          <w:sz w:val="28"/>
          <w:szCs w:val="28"/>
        </w:rPr>
      </w:pPr>
    </w:p>
    <w:p>
      <w:pPr>
        <w:ind w:firstLine="700" w:firstLineChars="250"/>
        <w:rPr>
          <w:rFonts w:ascii="黑体" w:hAnsi="黑体" w:eastAsia="黑体" w:cs="黑体"/>
          <w:sz w:val="28"/>
          <w:szCs w:val="28"/>
        </w:rPr>
      </w:pPr>
    </w:p>
    <w:p>
      <w:pPr>
        <w:spacing w:line="360" w:lineRule="auto"/>
        <w:rPr>
          <w:rFonts w:ascii="黑体" w:hAnsi="黑体" w:eastAsia="黑体" w:cs="宋体"/>
          <w:kern w:val="0"/>
          <w:sz w:val="28"/>
          <w:szCs w:val="21"/>
        </w:rPr>
      </w:pPr>
      <w:r>
        <w:rPr>
          <w:rFonts w:hint="eastAsia" w:ascii="黑体" w:hAnsi="黑体" w:eastAsia="黑体" w:cs="宋体"/>
          <w:kern w:val="0"/>
          <w:sz w:val="28"/>
          <w:szCs w:val="21"/>
        </w:rPr>
        <w:t>三、地质保障单元（1</w:t>
      </w:r>
      <w:r>
        <w:rPr>
          <w:rFonts w:hint="eastAsia" w:ascii="黑体" w:hAnsi="黑体" w:eastAsia="黑体" w:cs="宋体"/>
          <w:kern w:val="0"/>
          <w:sz w:val="28"/>
          <w:szCs w:val="21"/>
          <w:lang w:val="en-US" w:eastAsia="zh-CN"/>
        </w:rPr>
        <w:t>6</w:t>
      </w:r>
      <w:r>
        <w:rPr>
          <w:rFonts w:hint="eastAsia" w:ascii="黑体" w:hAnsi="黑体" w:eastAsia="黑体" w:cs="宋体"/>
          <w:kern w:val="0"/>
          <w:sz w:val="28"/>
          <w:szCs w:val="21"/>
        </w:rPr>
        <w:t>）</w:t>
      </w:r>
    </w:p>
    <w:tbl>
      <w:tblPr>
        <w:tblStyle w:val="29"/>
        <w:tblW w:w="13787" w:type="dxa"/>
        <w:jc w:val="center"/>
        <w:tblInd w:w="0" w:type="dxa"/>
        <w:tblLayout w:type="fixed"/>
        <w:tblCellMar>
          <w:top w:w="0" w:type="dxa"/>
          <w:left w:w="108" w:type="dxa"/>
          <w:bottom w:w="0" w:type="dxa"/>
          <w:right w:w="108" w:type="dxa"/>
        </w:tblCellMar>
      </w:tblPr>
      <w:tblGrid>
        <w:gridCol w:w="665"/>
        <w:gridCol w:w="1126"/>
        <w:gridCol w:w="5306"/>
        <w:gridCol w:w="3004"/>
        <w:gridCol w:w="1154"/>
        <w:gridCol w:w="1276"/>
        <w:gridCol w:w="1256"/>
      </w:tblGrid>
      <w:tr>
        <w:tblPrEx>
          <w:tblLayout w:type="fixed"/>
          <w:tblCellMar>
            <w:top w:w="0" w:type="dxa"/>
            <w:left w:w="108" w:type="dxa"/>
            <w:bottom w:w="0" w:type="dxa"/>
            <w:right w:w="108" w:type="dxa"/>
          </w:tblCellMar>
        </w:tblPrEx>
        <w:trPr>
          <w:trHeight w:val="542" w:hRule="atLeast"/>
          <w:tblHeader/>
          <w:jc w:val="center"/>
        </w:trPr>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检查项目</w:t>
            </w:r>
          </w:p>
        </w:tc>
        <w:tc>
          <w:tcPr>
            <w:tcW w:w="53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检查内容</w:t>
            </w:r>
          </w:p>
        </w:tc>
        <w:tc>
          <w:tcPr>
            <w:tcW w:w="3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检查依据</w:t>
            </w:r>
          </w:p>
        </w:tc>
        <w:tc>
          <w:tcPr>
            <w:tcW w:w="1154"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Cs w:val="21"/>
              </w:rPr>
            </w:pPr>
            <w:r>
              <w:rPr>
                <w:rFonts w:hint="eastAsia" w:ascii="黑体" w:hAnsi="黑体" w:eastAsia="黑体" w:cs="黑体"/>
                <w:kern w:val="0"/>
                <w:szCs w:val="21"/>
              </w:rPr>
              <w:t>现状描述</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Cs w:val="21"/>
              </w:rPr>
            </w:pPr>
            <w:r>
              <w:rPr>
                <w:rFonts w:hint="eastAsia" w:ascii="黑体" w:hAnsi="黑体" w:eastAsia="黑体" w:cs="黑体"/>
                <w:kern w:val="0"/>
                <w:szCs w:val="21"/>
              </w:rPr>
              <w:t>存在问题</w:t>
            </w:r>
          </w:p>
        </w:tc>
        <w:tc>
          <w:tcPr>
            <w:tcW w:w="1256"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Cs w:val="21"/>
              </w:rPr>
            </w:pPr>
            <w:r>
              <w:rPr>
                <w:rFonts w:hint="eastAsia" w:ascii="黑体" w:hAnsi="黑体" w:eastAsia="黑体" w:cs="黑体"/>
                <w:kern w:val="0"/>
                <w:szCs w:val="21"/>
              </w:rPr>
              <w:t>处置措施</w:t>
            </w: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地测机构及人员配备</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煤矿企业及所属矿井应设立地测部门，配备所需的地质及相关专业技术人员和仪器设备。</w:t>
            </w:r>
          </w:p>
        </w:tc>
        <w:tc>
          <w:tcPr>
            <w:tcW w:w="30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《煤矿安全规程》第二十二条。</w:t>
            </w:r>
          </w:p>
        </w:tc>
        <w:tc>
          <w:tcPr>
            <w:tcW w:w="1154"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7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5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及时编绘反映煤矿实际的地质资料和图件。</w:t>
            </w:r>
          </w:p>
        </w:tc>
        <w:tc>
          <w:tcPr>
            <w:tcW w:w="30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154"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7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5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建立健全煤矿地测工作规章制度。</w:t>
            </w:r>
          </w:p>
        </w:tc>
        <w:tc>
          <w:tcPr>
            <w:tcW w:w="30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154"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7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5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煤矿地质类型为复杂的，配备地测副总工程师。</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《煤矿地质工作规定》（安监总煤调〔2013〕135号）第七条第二款。</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126" w:type="dxa"/>
            <w:vMerge w:val="restart"/>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地质补充勘探</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地质资料不能满足建设及生产需要时，必须针对所存在的地质问题开展补充地质勘探工作。</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《煤矿安全规程》第二十四条。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12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煤矿地质补充勘探应由煤矿企业组织实施，由具有相应资质的单位承担，现场工程结束后6个月内提交补充地质勘探报告。补充地质勘探设计和报告由煤矿总工程师组织审定。</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《煤矿地质工作规定》（安监总煤调〔2013〕135号）第二十八条。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126"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地质预测预报</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对揭露的煤层、断层、褶皱、岩浆岩体、陷落柱、含水岩层,矿井涌水量及主要出水点等进行观测及描述，综合分析，实施地质预测、预报。</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《煤矿安全规程》第二十八条。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12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地质预报应按年报、月报等形式进行，根据采剥工程的进展及时发出。地质预报应做到期前预报、期末总结，预报与实际出入较大时，应分析原因，总结经验。地质预报经煤矿总工程师审查签字后生效。</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《煤矿地质工作规定》（安监总煤调〔2013〕135号）第五十八条。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1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建矿地质报告</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露天煤矿移交生产前，必须编制建矿地质报告，并由煤矿企业技术负责人组织审定。</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《煤矿安全规程》第三十条。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隐蔽致灾因素普查</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煤矿必须结合生产实际开展隐蔽致灾地质因素普查或探测工作，并提出书面报告，由煤矿总工程师组织审定。</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《煤矿安全规程》第三十二条第一款。</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过采空区安全措施</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井工开采形成的老空区威胁露天煤矿安全时，煤矿应当制定安全措施。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《煤矿安全规程》第三十二条第二款。</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查明采空区分布、形成时间、范围、积水状况、自然发火情况和有害气体等。将采空区相关信息标绘在采剥工程平面图上，建立煤矿和周边采空区相关资料台账。</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《煤矿地质工作规定》（安监总煤调〔2013〕135号）第三十条。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13</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生产地质报告</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生产矿井地质报告每5年修编1次。地质条件变化影响地质类型划分时，在1年内重新进行地质类型划分。</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《煤矿安全规程》第三十三条。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14</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基建煤矿移交生产后，在3年内编写生产地质报告，并及时对生产地质报告进行修编。生产地质报告由煤矿总工程师组织审定。</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《煤矿地质工作规定》（安监总煤调〔2013〕135号）第七十八条。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15</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岩石物理力学试验</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根据采场、排土场的边坡稳定和采剥、运输等工程地质的需要，对各种岩石进行力学、其他物理和水理性质试验。</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《煤矿地质工作规定》（安监总煤调〔2013〕135号）第九十条。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16</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地质灾害预控</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开展边坡稳定性研究工作，对滑坡、泥石流进行预测预报并提出防范措施。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《煤矿地质工作规定》（安监总煤调〔2013〕135号）第九十一条。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bl>
    <w:p>
      <w:pPr>
        <w:ind w:firstLine="700" w:firstLineChars="250"/>
        <w:rPr>
          <w:rFonts w:ascii="黑体" w:hAnsi="黑体" w:eastAsia="黑体" w:cs="黑体"/>
          <w:sz w:val="28"/>
          <w:szCs w:val="28"/>
        </w:rPr>
      </w:pPr>
    </w:p>
    <w:p>
      <w:pPr>
        <w:ind w:firstLine="700" w:firstLineChars="250"/>
        <w:rPr>
          <w:rFonts w:ascii="黑体" w:hAnsi="黑体" w:eastAsia="黑体" w:cs="黑体"/>
          <w:sz w:val="28"/>
          <w:szCs w:val="28"/>
        </w:rPr>
      </w:pPr>
    </w:p>
    <w:p/>
    <w:p/>
    <w:p/>
    <w:p/>
    <w:p/>
    <w:p/>
    <w:p/>
    <w:p/>
    <w:p/>
    <w:p/>
    <w:p/>
    <w:p>
      <w:pPr>
        <w:spacing w:line="360" w:lineRule="auto"/>
        <w:rPr>
          <w:rFonts w:ascii="黑体" w:hAnsi="黑体" w:eastAsia="黑体" w:cs="宋体"/>
          <w:kern w:val="0"/>
          <w:sz w:val="28"/>
          <w:szCs w:val="21"/>
        </w:rPr>
      </w:pPr>
      <w:r>
        <w:rPr>
          <w:rFonts w:hint="eastAsia" w:ascii="黑体" w:hAnsi="黑体" w:eastAsia="黑体" w:cs="宋体"/>
          <w:kern w:val="0"/>
          <w:sz w:val="28"/>
          <w:szCs w:val="21"/>
          <w:lang w:val="en-US" w:eastAsia="zh-CN"/>
        </w:rPr>
        <w:t>四</w:t>
      </w:r>
      <w:r>
        <w:rPr>
          <w:rFonts w:hint="eastAsia" w:ascii="黑体" w:hAnsi="黑体" w:eastAsia="黑体" w:cs="宋体"/>
          <w:kern w:val="0"/>
          <w:sz w:val="28"/>
          <w:szCs w:val="21"/>
        </w:rPr>
        <w:t>、采装作业单元（2</w:t>
      </w:r>
      <w:r>
        <w:rPr>
          <w:rFonts w:ascii="黑体" w:hAnsi="黑体" w:eastAsia="黑体" w:cs="宋体"/>
          <w:kern w:val="0"/>
          <w:sz w:val="28"/>
          <w:szCs w:val="21"/>
        </w:rPr>
        <w:t>6</w:t>
      </w:r>
      <w:r>
        <w:rPr>
          <w:rFonts w:hint="eastAsia" w:ascii="黑体" w:hAnsi="黑体" w:eastAsia="黑体" w:cs="宋体"/>
          <w:kern w:val="0"/>
          <w:sz w:val="28"/>
          <w:szCs w:val="21"/>
        </w:rPr>
        <w:t>）</w:t>
      </w:r>
    </w:p>
    <w:tbl>
      <w:tblPr>
        <w:tblStyle w:val="29"/>
        <w:tblW w:w="13787" w:type="dxa"/>
        <w:jc w:val="center"/>
        <w:tblInd w:w="0" w:type="dxa"/>
        <w:tblLayout w:type="fixed"/>
        <w:tblCellMar>
          <w:top w:w="0" w:type="dxa"/>
          <w:left w:w="108" w:type="dxa"/>
          <w:bottom w:w="0" w:type="dxa"/>
          <w:right w:w="108" w:type="dxa"/>
        </w:tblCellMar>
      </w:tblPr>
      <w:tblGrid>
        <w:gridCol w:w="665"/>
        <w:gridCol w:w="1126"/>
        <w:gridCol w:w="5306"/>
        <w:gridCol w:w="3004"/>
        <w:gridCol w:w="1154"/>
        <w:gridCol w:w="1276"/>
        <w:gridCol w:w="1256"/>
      </w:tblGrid>
      <w:tr>
        <w:tblPrEx>
          <w:tblLayout w:type="fixed"/>
          <w:tblCellMar>
            <w:top w:w="0" w:type="dxa"/>
            <w:left w:w="108" w:type="dxa"/>
            <w:bottom w:w="0" w:type="dxa"/>
            <w:right w:w="108" w:type="dxa"/>
          </w:tblCellMar>
        </w:tblPrEx>
        <w:trPr>
          <w:tblHeader/>
          <w:jc w:val="center"/>
        </w:trPr>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检查项目</w:t>
            </w:r>
          </w:p>
        </w:tc>
        <w:tc>
          <w:tcPr>
            <w:tcW w:w="53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检查内容</w:t>
            </w:r>
          </w:p>
        </w:tc>
        <w:tc>
          <w:tcPr>
            <w:tcW w:w="3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检查依据</w:t>
            </w:r>
          </w:p>
        </w:tc>
        <w:tc>
          <w:tcPr>
            <w:tcW w:w="1154"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现状描述</w:t>
            </w:r>
          </w:p>
        </w:tc>
        <w:tc>
          <w:tcPr>
            <w:tcW w:w="1276"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存在问题</w:t>
            </w:r>
          </w:p>
        </w:tc>
        <w:tc>
          <w:tcPr>
            <w:tcW w:w="1256"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处置措施</w:t>
            </w: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126"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台阶要素</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最小工作平盘宽度，必须保证采掘、运输设备的安全运行和供电通信线路、供排水系统、安全挡墙等的正常布置。</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《煤矿安全规程》第五百四十条。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126"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单斗挖掘机采装台阶不需爆破时，台阶高度不得大于最大挖掘高度；需爆破时，爆破后爆堆高度不得大于最大挖掘高度的1.1～1.2倍，台阶顶部不得有悬浮大块。上装车台阶高度不得大于单斗挖掘机最大卸载高度与运输容器高度及卸载安全高度之和的差。</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《煤矿安全规程》第五百四十三条。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126"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轮斗挖掘机采掘、拉斗铲倒堆的台阶高度符合设计要求。</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《煤炭工业露天矿设计规范》（GB50197-2015）第3.3.8、3.5.3条。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126"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连续开采工艺、拉斗铲倒堆的采掘带宽度符合设计要求。</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《煤炭工业露天矿设计规范》（GB50197-2015）第3.3.9、3.5.4条。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5</w:t>
            </w:r>
          </w:p>
        </w:tc>
        <w:tc>
          <w:tcPr>
            <w:tcW w:w="1126"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违规开采保安煤柱、擅自开采或者破坏设计要求保留的矿(岩)柱或者挂帮矿体。</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6</w:t>
            </w:r>
          </w:p>
        </w:tc>
        <w:tc>
          <w:tcPr>
            <w:tcW w:w="1126" w:type="dxa"/>
            <w:vMerge w:val="continue"/>
            <w:tcBorders>
              <w:left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违规布置多作业点组织作业。</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7</w:t>
            </w:r>
          </w:p>
        </w:tc>
        <w:tc>
          <w:tcPr>
            <w:tcW w:w="1126" w:type="dxa"/>
            <w:vMerge w:val="continue"/>
            <w:tcBorders>
              <w:left w:val="single" w:color="auto" w:sz="4" w:space="0"/>
              <w:bottom w:val="nil"/>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采剥失调未采取处理措施。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8</w:t>
            </w:r>
          </w:p>
        </w:tc>
        <w:tc>
          <w:tcPr>
            <w:tcW w:w="112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单斗挖掘机采装</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挖掘机的行走路线与坡底线和坡顶线保持一定的安全距离。道路松软或者含水有沉陷危险时，采取安全措施。爬坡时，不得超过挖掘机规定的最大允许坡度。挖掘机升降段或者行走距离超过300m时，设专人指挥。挖掘机行走时，靠铁道线路侧的履带边缘距线路中心不得小于3m，过高压线和铁道等障碍物时，要有相应的安全措施。 </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《煤矿安全规程》第五百四十一条。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9</w:t>
            </w:r>
          </w:p>
        </w:tc>
        <w:tc>
          <w:tcPr>
            <w:tcW w:w="11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单斗挖掘机尾部与台阶坡面、运输设备之间的距离不得小于1m。停止作业时，上下设备梯子背离台阶。</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《煤矿安全规程》第五百四十四条。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10</w:t>
            </w:r>
          </w:p>
        </w:tc>
        <w:tc>
          <w:tcPr>
            <w:tcW w:w="11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单斗挖掘机向列车装载时，遵守《煤矿安全规程》第五百四十五条规定。</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《煤矿安全规程》第五百四十五条。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11</w:t>
            </w:r>
          </w:p>
        </w:tc>
        <w:tc>
          <w:tcPr>
            <w:tcW w:w="11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单斗挖掘机不得跨电缆装车，严禁勺斗从卡车驾驶室上方越过，严禁高吊勺斗装车，严禁单侧偏装、超装。单斗挖掘机单面装车作业时，履行进车、装车信号程序后进行装车。双面装车作业时，反面装车由勺斗引导卡车进入装车位置。</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《煤矿安全规程》第五百四十六条。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12</w:t>
            </w:r>
          </w:p>
        </w:tc>
        <w:tc>
          <w:tcPr>
            <w:tcW w:w="11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单斗挖掘机向自移式破碎机装载时，单斗挖掘机卸载时勺斗斗底板下缘距受料斗小于0.8m。严禁高吊铲斗卸载。自移式破碎机突出部位距单斗挖掘机机尾回转范围距离大于1.0m。</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《煤矿安全规程》第五百四十七条。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3</w:t>
            </w:r>
          </w:p>
        </w:tc>
        <w:tc>
          <w:tcPr>
            <w:tcW w:w="11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挖掘机或者反铲严禁用勺斗载人、砸大块和起吊重物，严禁装载铁器等异物和拒爆的火药、雷管等。挖掘机或者反铲勺斗回转时离开采掘工作面，严禁跨越接触网。在回转或者挖掘过程中，严禁勺斗突然变换方向。反铲上挖作业时采取安全技术措施。下挖作业时，履带不得平行于采掘面。</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《煤矿安全规程》第五百四十八条。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4</w:t>
            </w:r>
          </w:p>
        </w:tc>
        <w:tc>
          <w:tcPr>
            <w:tcW w:w="11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2台以上单斗挖掘机在同一台阶或者相邻上、下台阶作业，公路运输时，两者间距不得小于最大挖掘半径的2.5倍，并制定安全措施。在相邻的上、下台阶作业时，两者的相对位置影响上下台阶的设备、设施安全时制定安全措施。在同一铁道线路进行装车作业时制定安全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《煤矿安全规程》第五百四十九条。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5</w:t>
            </w:r>
          </w:p>
        </w:tc>
        <w:tc>
          <w:tcPr>
            <w:tcW w:w="11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挖掘机作业时有《煤矿安全规程》第五百五十条情况时，必须停止作业，撤到安全地点，并报告调度室检查处理。</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《煤矿安全规程》第五百五十条。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6</w:t>
            </w:r>
          </w:p>
        </w:tc>
        <w:tc>
          <w:tcPr>
            <w:tcW w:w="1126" w:type="dxa"/>
            <w:tcBorders>
              <w:top w:val="nil"/>
              <w:left w:val="nil"/>
              <w:bottom w:val="nil"/>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单斗挖掘机采装</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单斗挖掘机雨天作业电缆发生故障时，应当及时向矿调度室报告。故障排除后，确认柱上开关无电时，方可停送电。</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《煤矿安全规程》第五百五十一条。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7</w:t>
            </w:r>
          </w:p>
        </w:tc>
        <w:tc>
          <w:tcPr>
            <w:tcW w:w="112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破碎作业</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破碎站设矿用卡车卸料的安全限位车挡及防止物料滚落的安全防护挡墙。有良好的照明系统，并有卸料指示信号安全装置。</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《煤矿安全规程》第五百五十二条。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8</w:t>
            </w:r>
          </w:p>
        </w:tc>
        <w:tc>
          <w:tcPr>
            <w:tcW w:w="11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移动式破碎站履带外缘距工作平盘坡底线和下台阶坡顶线距离符合设计。</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《煤矿安全规程》第五百五十二条。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9</w:t>
            </w:r>
          </w:p>
        </w:tc>
        <w:tc>
          <w:tcPr>
            <w:tcW w:w="11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破碎站处理和吊运大块物料时，非作业人员撤到安全地点。清理破碎机堵料时，采取防止系统突然启动的安全保护措施。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《煤矿安全规程》第五百五十三条。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20</w:t>
            </w:r>
          </w:p>
        </w:tc>
        <w:tc>
          <w:tcPr>
            <w:tcW w:w="11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自移式破碎机设置卸料臂防撞检测、过负荷保护和各旋转部件防护装置。</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《煤矿安全规程》第五百五十四条。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21</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轮斗挖掘机采装</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轮斗挖掘机作业和行走线路处在饱和水台阶上时，有疏排水措施。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《煤矿安全规程》第五百四十二条。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ascii="宋体" w:hAnsi="宋体" w:cs="宋体"/>
                <w:kern w:val="0"/>
                <w:szCs w:val="21"/>
              </w:rPr>
              <w:t>22</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轮斗挖掘机严禁斗轮工作装置带负荷启动。调整位置时设地面指挥人员。</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《煤矿安全规程》第五百五十五条。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r>
              <w:rPr>
                <w:rFonts w:ascii="宋体" w:hAnsi="宋体" w:cs="宋体"/>
                <w:kern w:val="0"/>
                <w:szCs w:val="21"/>
              </w:rPr>
              <w:t>3</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采用轮斗挖掘机－带式输送机－排土机连续开采工艺系统时，各单机间实行安全闭锁控制，单机发生故障时立即停车，同时向集中控制室汇报。严禁擅自处理故障。</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《煤矿安全规程》第五百五十六条。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r>
              <w:rPr>
                <w:rFonts w:ascii="宋体" w:hAnsi="宋体" w:cs="宋体"/>
                <w:kern w:val="0"/>
                <w:szCs w:val="21"/>
              </w:rPr>
              <w:t>4</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拉斗铲行走与作业</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拉斗铲行走和调整作业位置时，路面必须平整，不得有凸起的岩石。</w:t>
            </w:r>
            <w:r>
              <w:rPr>
                <w:rFonts w:hint="eastAsia" w:ascii="宋体" w:hAnsi="宋体" w:cs="宋体"/>
                <w:kern w:val="0"/>
                <w:szCs w:val="21"/>
              </w:rPr>
              <w:br w:type="textWrapping"/>
            </w:r>
            <w:r>
              <w:rPr>
                <w:rFonts w:hint="eastAsia" w:ascii="宋体" w:hAnsi="宋体" w:cs="宋体"/>
                <w:kern w:val="0"/>
                <w:szCs w:val="21"/>
              </w:rPr>
              <w:t>变坡点必须设缓坡段。</w:t>
            </w:r>
            <w:r>
              <w:rPr>
                <w:rFonts w:hint="eastAsia" w:ascii="宋体" w:hAnsi="宋体" w:cs="宋体"/>
                <w:kern w:val="0"/>
                <w:szCs w:val="21"/>
              </w:rPr>
              <w:br w:type="textWrapping"/>
            </w:r>
            <w:r>
              <w:rPr>
                <w:rFonts w:hint="eastAsia" w:ascii="宋体" w:hAnsi="宋体" w:cs="宋体"/>
                <w:kern w:val="0"/>
                <w:szCs w:val="21"/>
              </w:rPr>
              <w:t>当行走路面处于路堤时，距路边缘安全距离应符合设计。</w:t>
            </w:r>
            <w:r>
              <w:rPr>
                <w:rFonts w:hint="eastAsia" w:ascii="宋体" w:hAnsi="宋体" w:cs="宋体"/>
                <w:kern w:val="0"/>
                <w:szCs w:val="21"/>
              </w:rPr>
              <w:br w:type="textWrapping"/>
            </w:r>
            <w:r>
              <w:rPr>
                <w:rFonts w:hint="eastAsia" w:ascii="宋体" w:hAnsi="宋体" w:cs="宋体"/>
                <w:kern w:val="0"/>
                <w:szCs w:val="21"/>
              </w:rPr>
              <w:t>地面要设专人指挥、监护，做好呼唤应答。</w:t>
            </w:r>
            <w:r>
              <w:rPr>
                <w:rFonts w:hint="eastAsia" w:ascii="宋体" w:hAnsi="宋体" w:cs="宋体"/>
                <w:kern w:val="0"/>
                <w:szCs w:val="21"/>
              </w:rPr>
              <w:br w:type="textWrapping"/>
            </w:r>
            <w:r>
              <w:rPr>
                <w:rFonts w:hint="eastAsia" w:ascii="宋体" w:hAnsi="宋体" w:cs="宋体"/>
                <w:kern w:val="0"/>
                <w:szCs w:val="21"/>
              </w:rPr>
              <w:t xml:space="preserve">行走靴不同步时，要重新确定行进路线或处理路面。   </w:t>
            </w:r>
            <w:r>
              <w:rPr>
                <w:rFonts w:hint="eastAsia" w:ascii="宋体" w:hAnsi="宋体" w:cs="宋体"/>
                <w:kern w:val="0"/>
                <w:szCs w:val="21"/>
              </w:rPr>
              <w:br w:type="textWrapping"/>
            </w:r>
            <w:r>
              <w:rPr>
                <w:rFonts w:hint="eastAsia" w:ascii="宋体" w:hAnsi="宋体" w:cs="宋体"/>
                <w:kern w:val="0"/>
                <w:szCs w:val="21"/>
              </w:rPr>
              <w:t>严禁使用行走靴移动电缆。</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《煤矿安全规程》第五百五十七条。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r>
              <w:rPr>
                <w:rFonts w:ascii="宋体" w:hAnsi="宋体" w:cs="宋体"/>
                <w:kern w:val="0"/>
                <w:szCs w:val="21"/>
              </w:rPr>
              <w:t>5</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拉斗铲作业时，机组人员和配合作业的辅助设备进出拉斗铲作业范围做好呼唤应答。严禁铲斗拖地回转、在空中急停和在其他设备上方通过。</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《煤矿安全规程》第五百五十八条。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r>
              <w:rPr>
                <w:rFonts w:ascii="宋体" w:hAnsi="宋体" w:cs="宋体"/>
                <w:kern w:val="0"/>
                <w:szCs w:val="21"/>
              </w:rPr>
              <w:t>6</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外包作业</w:t>
            </w:r>
          </w:p>
        </w:tc>
        <w:tc>
          <w:tcPr>
            <w:tcW w:w="5306" w:type="dxa"/>
            <w:tcBorders>
              <w:top w:val="nil"/>
              <w:left w:val="nil"/>
              <w:bottom w:val="single" w:color="auto" w:sz="4" w:space="0"/>
              <w:right w:val="single" w:color="auto" w:sz="4" w:space="0"/>
            </w:tcBorders>
            <w:shd w:val="clear" w:color="auto" w:fill="auto"/>
            <w:vAlign w:val="center"/>
          </w:tcPr>
          <w:p>
            <w:pPr>
              <w:jc w:val="left"/>
              <w:rPr>
                <w:rFonts w:ascii="宋体" w:hAnsi="宋体" w:cs="宋体"/>
                <w:kern w:val="0"/>
                <w:szCs w:val="21"/>
              </w:rPr>
            </w:pPr>
            <w:r>
              <w:rPr>
                <w:rFonts w:hint="eastAsia" w:cs="宋体" w:asciiTheme="minorEastAsia" w:hAnsiTheme="minorEastAsia"/>
                <w:kern w:val="0"/>
                <w:szCs w:val="21"/>
              </w:rPr>
              <w:t>违规分包转包、以包代管;露天煤矿将采煤、剥岩、运输作业外包。</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cs="宋体" w:asciiTheme="minorEastAsia" w:hAnsiTheme="minorEastAsia"/>
                <w:kern w:val="0"/>
                <w:szCs w:val="21"/>
              </w:rPr>
              <w:t>《国家矿山安全监察局关于开展露天矿山安全生产专项整治的通知》（矿安</w:t>
            </w:r>
            <w:r>
              <w:rPr>
                <w:rFonts w:hint="eastAsia" w:ascii="宋体" w:hAnsi="宋体" w:cs="宋体"/>
                <w:kern w:val="0"/>
                <w:szCs w:val="21"/>
              </w:rPr>
              <w:t>〔2023〕</w:t>
            </w:r>
            <w:r>
              <w:rPr>
                <w:rFonts w:hint="eastAsia" w:cs="宋体" w:asciiTheme="minorEastAsia" w:hAnsiTheme="minorEastAsia"/>
                <w:kern w:val="0"/>
                <w:szCs w:val="21"/>
              </w:rPr>
              <w:t>16号）。</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bl>
    <w:p/>
    <w:p/>
    <w:p>
      <w:pPr>
        <w:spacing w:line="360" w:lineRule="auto"/>
        <w:rPr>
          <w:rFonts w:ascii="黑体" w:hAnsi="黑体" w:eastAsia="黑体" w:cs="宋体"/>
          <w:kern w:val="0"/>
          <w:sz w:val="28"/>
          <w:szCs w:val="21"/>
        </w:rPr>
      </w:pPr>
      <w:r>
        <w:rPr>
          <w:rFonts w:hint="eastAsia" w:ascii="黑体" w:hAnsi="黑体" w:eastAsia="黑体" w:cs="宋体"/>
          <w:kern w:val="0"/>
          <w:sz w:val="28"/>
          <w:szCs w:val="21"/>
          <w:lang w:val="en-US" w:eastAsia="zh-CN"/>
        </w:rPr>
        <w:t>五</w:t>
      </w:r>
      <w:r>
        <w:rPr>
          <w:rFonts w:hint="eastAsia" w:ascii="黑体" w:hAnsi="黑体" w:eastAsia="黑体" w:cs="宋体"/>
          <w:kern w:val="0"/>
          <w:sz w:val="28"/>
          <w:szCs w:val="21"/>
        </w:rPr>
        <w:t>、运输单元（</w:t>
      </w:r>
      <w:r>
        <w:rPr>
          <w:rFonts w:hint="eastAsia" w:ascii="黑体" w:hAnsi="黑体" w:eastAsia="黑体" w:cs="宋体"/>
          <w:kern w:val="0"/>
          <w:sz w:val="28"/>
          <w:szCs w:val="21"/>
          <w:lang w:val="en-US" w:eastAsia="zh-CN"/>
        </w:rPr>
        <w:t>11</w:t>
      </w:r>
      <w:r>
        <w:rPr>
          <w:rFonts w:hint="eastAsia" w:ascii="黑体" w:hAnsi="黑体" w:eastAsia="黑体" w:cs="宋体"/>
          <w:kern w:val="0"/>
          <w:sz w:val="28"/>
          <w:szCs w:val="21"/>
        </w:rPr>
        <w:t>）</w:t>
      </w:r>
    </w:p>
    <w:tbl>
      <w:tblPr>
        <w:tblStyle w:val="29"/>
        <w:tblW w:w="13787" w:type="dxa"/>
        <w:jc w:val="center"/>
        <w:tblInd w:w="0" w:type="dxa"/>
        <w:tblLayout w:type="fixed"/>
        <w:tblCellMar>
          <w:top w:w="0" w:type="dxa"/>
          <w:left w:w="108" w:type="dxa"/>
          <w:bottom w:w="0" w:type="dxa"/>
          <w:right w:w="108" w:type="dxa"/>
        </w:tblCellMar>
      </w:tblPr>
      <w:tblGrid>
        <w:gridCol w:w="665"/>
        <w:gridCol w:w="1126"/>
        <w:gridCol w:w="5306"/>
        <w:gridCol w:w="3004"/>
        <w:gridCol w:w="1154"/>
        <w:gridCol w:w="1276"/>
        <w:gridCol w:w="1256"/>
      </w:tblGrid>
      <w:tr>
        <w:tblPrEx>
          <w:tblLayout w:type="fixed"/>
          <w:tblCellMar>
            <w:top w:w="0" w:type="dxa"/>
            <w:left w:w="108" w:type="dxa"/>
            <w:bottom w:w="0" w:type="dxa"/>
            <w:right w:w="108" w:type="dxa"/>
          </w:tblCellMar>
        </w:tblPrEx>
        <w:trPr>
          <w:tblHeader/>
          <w:jc w:val="center"/>
        </w:trPr>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检查项目</w:t>
            </w:r>
          </w:p>
        </w:tc>
        <w:tc>
          <w:tcPr>
            <w:tcW w:w="53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检查内容</w:t>
            </w:r>
          </w:p>
        </w:tc>
        <w:tc>
          <w:tcPr>
            <w:tcW w:w="3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检查依据</w:t>
            </w:r>
          </w:p>
        </w:tc>
        <w:tc>
          <w:tcPr>
            <w:tcW w:w="1154"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现状描述</w:t>
            </w:r>
          </w:p>
        </w:tc>
        <w:tc>
          <w:tcPr>
            <w:tcW w:w="1276"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存在问题</w:t>
            </w:r>
          </w:p>
        </w:tc>
        <w:tc>
          <w:tcPr>
            <w:tcW w:w="1256"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处置措施</w:t>
            </w: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公路运输</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矿山道路必须设置限速、道口等路标，特殊路段设警示标志。</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《煤矿安全规程》第五百一十四条。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val="en-US" w:eastAsia="zh-CN"/>
              </w:rPr>
              <w:t>2</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汽车运输为左侧通行的，在过渡区段内必须设置醒目的换向标志。</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《煤矿安全规程》第五百一十四条。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val="en-US" w:eastAsia="zh-CN"/>
              </w:rPr>
              <w:t>3</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运输线路两侧堆放物料不得影响行车安全。</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《煤矿安全规程》第五百一十四条。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val="en-US" w:eastAsia="zh-CN"/>
              </w:rPr>
              <w:t>4</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设备走行道路和作业场地坡度不得超过设备允许的最大坡度，转弯半径不得低于设备允许的最小转弯半径。</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《煤矿安全规程》第五百一十八条。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val="en-US" w:eastAsia="zh-CN"/>
              </w:rPr>
              <w:t>5</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矿用卡车作业时，其制动、转向系统和安全装置完好。</w:t>
            </w:r>
            <w:r>
              <w:rPr>
                <w:rFonts w:hint="eastAsia" w:ascii="宋体" w:hAnsi="宋体" w:cs="宋体"/>
                <w:kern w:val="0"/>
                <w:szCs w:val="21"/>
              </w:rPr>
              <w:br w:type="textWrapping"/>
            </w:r>
            <w:r>
              <w:rPr>
                <w:rFonts w:hint="eastAsia" w:ascii="宋体" w:hAnsi="宋体" w:cs="宋体"/>
                <w:kern w:val="0"/>
                <w:szCs w:val="21"/>
              </w:rPr>
              <w:t>定期检验矿用卡车可靠性，大型自卸车设示宽灯或者标志。</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《煤矿安全规程》第五百六十四条。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val="en-US" w:eastAsia="zh-CN"/>
              </w:rPr>
              <w:t>6</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道路宽度符合通行、会车等安全要求。受采掘条件限制、达不到规定的宽度时，视道路距离设置相应数量的会车线。矿场道路设置安全挡墙，高度为矿用卡车轮胎直径的2/5～3/5。</w:t>
            </w:r>
            <w:r>
              <w:rPr>
                <w:rFonts w:hint="eastAsia" w:ascii="宋体" w:hAnsi="宋体" w:cs="宋体"/>
                <w:kern w:val="0"/>
                <w:szCs w:val="21"/>
              </w:rPr>
              <w:br w:type="textWrapping"/>
            </w:r>
            <w:r>
              <w:rPr>
                <w:rFonts w:hint="eastAsia" w:ascii="宋体" w:hAnsi="宋体" w:cs="宋体"/>
                <w:kern w:val="0"/>
                <w:szCs w:val="21"/>
              </w:rPr>
              <w:t>长距离坡道运输系统，在适当位置设置缓坡道。</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《煤矿安全规程》第五百六十五条。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val="en-US" w:eastAsia="zh-CN"/>
              </w:rPr>
              <w:t>7</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生产干线最大纵坡小于8%；生产支线最大纵坡小于9%；联络线小于10%。重车下坡地段相应减少1%。</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《煤炭工业露天矿设计规范》（GB50197-2015）第4.2.3条。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val="en-US" w:eastAsia="zh-CN"/>
              </w:rPr>
              <w:t>8</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严禁矿用卡车超速行驶；同类汽车正常行驶不得超车；修路、弯道、单行道等特殊路况下，任何车辆都不得超车。</w:t>
            </w:r>
            <w:r>
              <w:rPr>
                <w:rFonts w:hint="eastAsia" w:ascii="宋体" w:hAnsi="宋体" w:cs="宋体"/>
                <w:kern w:val="0"/>
                <w:szCs w:val="21"/>
              </w:rPr>
              <w:br w:type="textWrapping"/>
            </w:r>
            <w:r>
              <w:rPr>
                <w:rFonts w:hint="eastAsia" w:ascii="宋体" w:hAnsi="宋体" w:cs="宋体"/>
                <w:kern w:val="0"/>
                <w:szCs w:val="21"/>
              </w:rPr>
              <w:t>冬季及时清除路面上的积雪或者结冰，并采取防滑措施；前、后车距大于50m。</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《煤矿安全规程》第五百六十六条。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lang w:val="en-US" w:eastAsia="zh-CN"/>
              </w:rPr>
              <w:t>9</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雾天或者烟尘影响视线时，开启雾灯或者大灯，前、后车距大于30m；能见度不足30m或者雨、雪天气危及行车安全时，停止作业。</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《煤矿安全规程》第五百六十七条。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Cs w:val="21"/>
                <w:lang w:val="en-US" w:eastAsia="zh-CN"/>
              </w:rPr>
            </w:pPr>
            <w:r>
              <w:rPr>
                <w:rFonts w:hint="eastAsia" w:ascii="宋体" w:hAnsi="宋体" w:cs="宋体"/>
                <w:kern w:val="0"/>
                <w:szCs w:val="21"/>
              </w:rPr>
              <w:t>1</w:t>
            </w:r>
            <w:r>
              <w:rPr>
                <w:rFonts w:hint="eastAsia" w:ascii="宋体" w:hAnsi="宋体" w:cs="宋体"/>
                <w:kern w:val="0"/>
                <w:szCs w:val="21"/>
                <w:lang w:val="en-US" w:eastAsia="zh-CN"/>
              </w:rPr>
              <w:t>0</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矿用卡车不得在矿山道路拖挂其他车辆；必须拖挂时，采取安全措施，设专人指挥监护。</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《煤矿安全规程》第五百六十八条。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11</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卡车必须在挖掘机发出信号后，方可进入或者驶出装车地点。</w:t>
            </w:r>
            <w:r>
              <w:rPr>
                <w:rFonts w:hint="eastAsia" w:ascii="宋体" w:hAnsi="宋体" w:cs="宋体"/>
                <w:kern w:val="0"/>
                <w:szCs w:val="21"/>
              </w:rPr>
              <w:br w:type="textWrapping"/>
            </w:r>
            <w:r>
              <w:rPr>
                <w:rFonts w:hint="eastAsia" w:ascii="宋体" w:hAnsi="宋体" w:cs="宋体"/>
                <w:kern w:val="0"/>
                <w:szCs w:val="21"/>
              </w:rPr>
              <w:t>待进入装车位置的卡车必须停在挖掘机最大回转半径范围之外。</w:t>
            </w:r>
            <w:r>
              <w:rPr>
                <w:rFonts w:hint="eastAsia" w:ascii="宋体" w:hAnsi="宋体" w:cs="宋体"/>
                <w:kern w:val="0"/>
                <w:szCs w:val="21"/>
              </w:rPr>
              <w:br w:type="textWrapping"/>
            </w:r>
            <w:r>
              <w:rPr>
                <w:rFonts w:hint="eastAsia" w:ascii="宋体" w:hAnsi="宋体" w:cs="宋体"/>
                <w:kern w:val="0"/>
                <w:szCs w:val="21"/>
              </w:rPr>
              <w:t>正在装车的卡车必须停在挖掘机尾部回转半径之外，且卡车必须制动。卡车排队等待装车时，车与车之间保持一定的安全距离。</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《煤矿安全规程》第五百六十九条。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bl>
    <w:p/>
    <w:p/>
    <w:p>
      <w:pPr>
        <w:spacing w:line="360" w:lineRule="auto"/>
        <w:rPr>
          <w:rFonts w:ascii="黑体" w:hAnsi="黑体" w:eastAsia="黑体" w:cs="宋体"/>
          <w:kern w:val="0"/>
          <w:sz w:val="28"/>
          <w:szCs w:val="21"/>
        </w:rPr>
      </w:pPr>
      <w:r>
        <w:rPr>
          <w:rFonts w:hint="eastAsia" w:ascii="黑体" w:hAnsi="黑体" w:eastAsia="黑体" w:cs="宋体"/>
          <w:kern w:val="0"/>
          <w:sz w:val="28"/>
          <w:szCs w:val="21"/>
          <w:lang w:val="en-US" w:eastAsia="zh-CN"/>
        </w:rPr>
        <w:t>六</w:t>
      </w:r>
      <w:r>
        <w:rPr>
          <w:rFonts w:hint="eastAsia" w:ascii="黑体" w:hAnsi="黑体" w:eastAsia="黑体" w:cs="宋体"/>
          <w:kern w:val="0"/>
          <w:sz w:val="28"/>
          <w:szCs w:val="21"/>
        </w:rPr>
        <w:t>、排土单元（</w:t>
      </w:r>
      <w:r>
        <w:rPr>
          <w:rFonts w:hint="eastAsia" w:ascii="黑体" w:hAnsi="黑体" w:eastAsia="黑体" w:cs="宋体"/>
          <w:kern w:val="0"/>
          <w:sz w:val="28"/>
          <w:szCs w:val="21"/>
          <w:lang w:val="en-US" w:eastAsia="zh-CN"/>
        </w:rPr>
        <w:t>13</w:t>
      </w:r>
      <w:r>
        <w:rPr>
          <w:rFonts w:hint="eastAsia" w:ascii="黑体" w:hAnsi="黑体" w:eastAsia="黑体" w:cs="宋体"/>
          <w:kern w:val="0"/>
          <w:sz w:val="28"/>
          <w:szCs w:val="21"/>
        </w:rPr>
        <w:t>）</w:t>
      </w:r>
    </w:p>
    <w:tbl>
      <w:tblPr>
        <w:tblStyle w:val="29"/>
        <w:tblW w:w="13787" w:type="dxa"/>
        <w:jc w:val="center"/>
        <w:tblInd w:w="0" w:type="dxa"/>
        <w:tblLayout w:type="fixed"/>
        <w:tblCellMar>
          <w:top w:w="0" w:type="dxa"/>
          <w:left w:w="108" w:type="dxa"/>
          <w:bottom w:w="0" w:type="dxa"/>
          <w:right w:w="108" w:type="dxa"/>
        </w:tblCellMar>
      </w:tblPr>
      <w:tblGrid>
        <w:gridCol w:w="665"/>
        <w:gridCol w:w="1126"/>
        <w:gridCol w:w="5306"/>
        <w:gridCol w:w="3004"/>
        <w:gridCol w:w="1154"/>
        <w:gridCol w:w="1276"/>
        <w:gridCol w:w="1256"/>
      </w:tblGrid>
      <w:tr>
        <w:tblPrEx>
          <w:tblLayout w:type="fixed"/>
          <w:tblCellMar>
            <w:top w:w="0" w:type="dxa"/>
            <w:left w:w="108" w:type="dxa"/>
            <w:bottom w:w="0" w:type="dxa"/>
            <w:right w:w="108" w:type="dxa"/>
          </w:tblCellMar>
        </w:tblPrEx>
        <w:trPr>
          <w:tblHeader/>
          <w:jc w:val="center"/>
        </w:trPr>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检查项目</w:t>
            </w:r>
          </w:p>
        </w:tc>
        <w:tc>
          <w:tcPr>
            <w:tcW w:w="53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检查内容</w:t>
            </w:r>
          </w:p>
        </w:tc>
        <w:tc>
          <w:tcPr>
            <w:tcW w:w="3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检查依据</w:t>
            </w:r>
          </w:p>
        </w:tc>
        <w:tc>
          <w:tcPr>
            <w:tcW w:w="1154"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现状描述</w:t>
            </w:r>
          </w:p>
        </w:tc>
        <w:tc>
          <w:tcPr>
            <w:tcW w:w="1276"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存在问题</w:t>
            </w:r>
          </w:p>
        </w:tc>
        <w:tc>
          <w:tcPr>
            <w:tcW w:w="1256"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处置措施</w:t>
            </w: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126" w:type="dxa"/>
            <w:vMerge w:val="restart"/>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排土场安全</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排土场位置的选择，应当保证排弃土岩时，不致因大块滚落、滑坡、塌方等威胁采场、工业场地、居民区、铁路、公路、农田和水域的安全。 </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《煤矿安全规程》第五百七十四条。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12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出现滑坡征兆或者其他危险时，停止排土作业，采取安全措施。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《煤矿安全规程》第五百七十五条。 </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12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排土场卸载区有通信设施或联络信号，夜间应当有照明。</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《煤矿安全规程》第五百八十二条。 </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列车进入排土线后，由排土人员指挥列车运行。</w:t>
            </w:r>
            <w:r>
              <w:rPr>
                <w:rFonts w:hint="eastAsia" w:ascii="宋体" w:hAnsi="宋体" w:cs="宋体"/>
                <w:kern w:val="0"/>
                <w:szCs w:val="21"/>
              </w:rPr>
              <w:br w:type="textWrapping"/>
            </w:r>
            <w:r>
              <w:rPr>
                <w:rFonts w:hint="eastAsia" w:ascii="宋体" w:hAnsi="宋体" w:cs="宋体"/>
                <w:kern w:val="0"/>
                <w:szCs w:val="21"/>
              </w:rPr>
              <w:t xml:space="preserve">机械排土线的列车运行速度不超过20km／h；人工排土线不超过15km／h；接近路端时，不超过5km／h。  </w:t>
            </w:r>
            <w:r>
              <w:rPr>
                <w:rFonts w:hint="eastAsia" w:ascii="宋体" w:hAnsi="宋体" w:cs="宋体"/>
                <w:kern w:val="0"/>
                <w:szCs w:val="21"/>
              </w:rPr>
              <w:br w:type="textWrapping"/>
            </w:r>
            <w:r>
              <w:rPr>
                <w:rFonts w:hint="eastAsia" w:ascii="宋体" w:hAnsi="宋体" w:cs="宋体"/>
                <w:kern w:val="0"/>
                <w:szCs w:val="21"/>
              </w:rPr>
              <w:t>严禁运行中卸土。</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《煤矿安全规程》第五百七十七条。 </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新移设线路，首次列车严禁牵引进入；翻车时2人操作，操作人员位于车厢内侧。采用机械化作业清扫自翻车，人工清扫必须制定安全措施。卸车完毕，列车在排土人员发出出车信号后驶出排土线。</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《煤矿安全规程》第五百七十七条。 </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单斗挖掘机排土</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受土坑的坡面角不得大于70°，严禁超挖。</w:t>
            </w:r>
          </w:p>
        </w:tc>
        <w:tc>
          <w:tcPr>
            <w:tcW w:w="30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《煤矿安全规程》第五百七十八条。</w:t>
            </w:r>
          </w:p>
        </w:tc>
        <w:tc>
          <w:tcPr>
            <w:tcW w:w="1154" w:type="dxa"/>
            <w:tcBorders>
              <w:top w:val="nil"/>
              <w:left w:val="single" w:color="auto" w:sz="4" w:space="0"/>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single" w:color="auto" w:sz="4" w:space="0"/>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single" w:color="auto" w:sz="4" w:space="0"/>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挖掘机至站立台阶坡顶线的安全距离：</w:t>
            </w:r>
            <w:r>
              <w:rPr>
                <w:rFonts w:hint="eastAsia" w:ascii="宋体" w:hAnsi="宋体" w:cs="宋体"/>
                <w:kern w:val="0"/>
                <w:szCs w:val="21"/>
              </w:rPr>
              <w:br w:type="textWrapping"/>
            </w:r>
            <w:r>
              <w:rPr>
                <w:rFonts w:hint="eastAsia" w:ascii="宋体" w:hAnsi="宋体" w:cs="宋体"/>
                <w:kern w:val="0"/>
                <w:szCs w:val="21"/>
              </w:rPr>
              <w:t>台阶高度10m以下为6m；</w:t>
            </w:r>
            <w:r>
              <w:rPr>
                <w:rFonts w:hint="eastAsia" w:ascii="宋体" w:hAnsi="宋体" w:cs="宋体"/>
                <w:kern w:val="0"/>
                <w:szCs w:val="21"/>
              </w:rPr>
              <w:br w:type="textWrapping"/>
            </w:r>
            <w:r>
              <w:rPr>
                <w:rFonts w:hint="eastAsia" w:ascii="宋体" w:hAnsi="宋体" w:cs="宋体"/>
                <w:kern w:val="0"/>
                <w:szCs w:val="21"/>
              </w:rPr>
              <w:t>台阶高度11～15m为8m；</w:t>
            </w:r>
            <w:r>
              <w:rPr>
                <w:rFonts w:hint="eastAsia" w:ascii="宋体" w:hAnsi="宋体" w:cs="宋体"/>
                <w:kern w:val="0"/>
                <w:szCs w:val="21"/>
              </w:rPr>
              <w:br w:type="textWrapping"/>
            </w:r>
            <w:r>
              <w:rPr>
                <w:rFonts w:hint="eastAsia" w:ascii="宋体" w:hAnsi="宋体" w:cs="宋体"/>
                <w:kern w:val="0"/>
                <w:szCs w:val="21"/>
              </w:rPr>
              <w:t>台阶高度16～20m为11m；</w:t>
            </w:r>
            <w:r>
              <w:rPr>
                <w:rFonts w:hint="eastAsia" w:ascii="宋体" w:hAnsi="宋体" w:cs="宋体"/>
                <w:kern w:val="0"/>
                <w:szCs w:val="21"/>
              </w:rPr>
              <w:br w:type="textWrapping"/>
            </w:r>
            <w:r>
              <w:rPr>
                <w:rFonts w:hint="eastAsia" w:ascii="宋体" w:hAnsi="宋体" w:cs="宋体"/>
                <w:kern w:val="0"/>
                <w:szCs w:val="21"/>
              </w:rPr>
              <w:t>台阶高度超过20m时必须制定安全措施。</w:t>
            </w:r>
          </w:p>
        </w:tc>
        <w:tc>
          <w:tcPr>
            <w:tcW w:w="300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154" w:type="dxa"/>
            <w:tcBorders>
              <w:top w:val="nil"/>
              <w:left w:val="single" w:color="auto" w:sz="4" w:space="0"/>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single" w:color="auto" w:sz="4" w:space="0"/>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single" w:color="auto" w:sz="4" w:space="0"/>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矿用卡车排土</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矿用卡车排土场卸载区，必须有连续的安全挡墙，车型小于240t时安全挡墙高度不得低于轮胎直径的0.4倍，车型大于240t时安全挡墙高度不得低于轮胎直径的0.35倍。排土工作面向坡顶线方向保持3％～5％的反坡。</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《煤矿安全规程》第五百七十九条。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卸载物料时，矿用卡车应当垂直排土工作线；严禁高速倒车、冲撞安全挡墙。</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《煤矿安全规程》第五百七十九条。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排土作业时，设备之间保持足够的安全距离。</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《煤矿安全规程》第五百七十九条，第五百八十条。 </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w:t>
            </w:r>
          </w:p>
        </w:tc>
        <w:tc>
          <w:tcPr>
            <w:tcW w:w="1126" w:type="dxa"/>
            <w:tcBorders>
              <w:top w:val="nil"/>
              <w:left w:val="nil"/>
              <w:bottom w:val="nil"/>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推土机、装载机排土</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推土机、装载机排土严禁平行于坡顶线作业。</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《煤矿安全规程》第五百八十条。 </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13</w:t>
            </w:r>
          </w:p>
        </w:tc>
        <w:tc>
          <w:tcPr>
            <w:tcW w:w="11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排土机排土</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排土机必须在稳定的平盘上作业，外侧履带与台阶坡顶线之间必须保持一定的安全距离。</w:t>
            </w:r>
            <w:r>
              <w:rPr>
                <w:rFonts w:hint="eastAsia" w:ascii="宋体" w:hAnsi="宋体" w:cs="宋体"/>
                <w:kern w:val="0"/>
                <w:szCs w:val="21"/>
              </w:rPr>
              <w:br w:type="textWrapping"/>
            </w:r>
            <w:r>
              <w:rPr>
                <w:rFonts w:hint="eastAsia" w:ascii="宋体" w:hAnsi="宋体" w:cs="宋体"/>
                <w:kern w:val="0"/>
                <w:szCs w:val="21"/>
              </w:rPr>
              <w:t>工作场地和行走道路的坡度必须符合排土机的技术要求。</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《煤矿安全规程》第五百八十一条。 </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bl>
    <w:p/>
    <w:p/>
    <w:p>
      <w:pPr>
        <w:spacing w:line="360" w:lineRule="auto"/>
        <w:rPr>
          <w:rFonts w:ascii="黑体" w:hAnsi="黑体" w:eastAsia="黑体" w:cs="宋体"/>
          <w:kern w:val="0"/>
          <w:sz w:val="28"/>
          <w:szCs w:val="21"/>
        </w:rPr>
      </w:pPr>
      <w:r>
        <w:rPr>
          <w:rFonts w:hint="eastAsia" w:ascii="黑体" w:hAnsi="黑体" w:eastAsia="黑体" w:cs="宋体"/>
          <w:kern w:val="0"/>
          <w:sz w:val="28"/>
          <w:szCs w:val="21"/>
          <w:lang w:val="en-US" w:eastAsia="zh-CN"/>
        </w:rPr>
        <w:t>七</w:t>
      </w:r>
      <w:r>
        <w:rPr>
          <w:rFonts w:hint="eastAsia" w:ascii="黑体" w:hAnsi="黑体" w:eastAsia="黑体" w:cs="宋体"/>
          <w:kern w:val="0"/>
          <w:sz w:val="28"/>
          <w:szCs w:val="21"/>
        </w:rPr>
        <w:t>、电气单元（3</w:t>
      </w:r>
      <w:r>
        <w:rPr>
          <w:rFonts w:hint="eastAsia" w:ascii="黑体" w:hAnsi="黑体" w:eastAsia="黑体" w:cs="宋体"/>
          <w:kern w:val="0"/>
          <w:sz w:val="28"/>
          <w:szCs w:val="21"/>
          <w:lang w:val="en-US" w:eastAsia="zh-CN"/>
        </w:rPr>
        <w:t>2</w:t>
      </w:r>
      <w:r>
        <w:rPr>
          <w:rFonts w:hint="eastAsia" w:ascii="黑体" w:hAnsi="黑体" w:eastAsia="黑体" w:cs="宋体"/>
          <w:kern w:val="0"/>
          <w:sz w:val="28"/>
          <w:szCs w:val="21"/>
        </w:rPr>
        <w:t>）</w:t>
      </w:r>
    </w:p>
    <w:tbl>
      <w:tblPr>
        <w:tblStyle w:val="29"/>
        <w:tblW w:w="13787" w:type="dxa"/>
        <w:jc w:val="center"/>
        <w:tblInd w:w="0" w:type="dxa"/>
        <w:tblLayout w:type="fixed"/>
        <w:tblCellMar>
          <w:top w:w="0" w:type="dxa"/>
          <w:left w:w="108" w:type="dxa"/>
          <w:bottom w:w="0" w:type="dxa"/>
          <w:right w:w="108" w:type="dxa"/>
        </w:tblCellMar>
      </w:tblPr>
      <w:tblGrid>
        <w:gridCol w:w="665"/>
        <w:gridCol w:w="1126"/>
        <w:gridCol w:w="5306"/>
        <w:gridCol w:w="3004"/>
        <w:gridCol w:w="1154"/>
        <w:gridCol w:w="1276"/>
        <w:gridCol w:w="1256"/>
      </w:tblGrid>
      <w:tr>
        <w:tblPrEx>
          <w:tblLayout w:type="fixed"/>
          <w:tblCellMar>
            <w:top w:w="0" w:type="dxa"/>
            <w:left w:w="108" w:type="dxa"/>
            <w:bottom w:w="0" w:type="dxa"/>
            <w:right w:w="108" w:type="dxa"/>
          </w:tblCellMar>
        </w:tblPrEx>
        <w:trPr>
          <w:tblHeader/>
          <w:jc w:val="center"/>
        </w:trPr>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检查项目</w:t>
            </w:r>
          </w:p>
        </w:tc>
        <w:tc>
          <w:tcPr>
            <w:tcW w:w="53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检查内容</w:t>
            </w:r>
          </w:p>
        </w:tc>
        <w:tc>
          <w:tcPr>
            <w:tcW w:w="3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检查依据</w:t>
            </w:r>
          </w:p>
        </w:tc>
        <w:tc>
          <w:tcPr>
            <w:tcW w:w="1154"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现状描述</w:t>
            </w:r>
          </w:p>
        </w:tc>
        <w:tc>
          <w:tcPr>
            <w:tcW w:w="1276"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存在问题</w:t>
            </w:r>
          </w:p>
        </w:tc>
        <w:tc>
          <w:tcPr>
            <w:tcW w:w="1256"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处置措施</w:t>
            </w: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一般规定</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电气设备、电力和通信系统的设计、安装、验收、运行、检修、试验等工作，必须符合国家有关规定。</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《煤矿安全规程》第五百九十七条，第六百一十条。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采场内的主排水泵站必须设置备用电源，当供电线路发生故障时，备用电源必须能担负最大排水负荷。</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《煤矿安全规程》第五百九十八条。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一般规定</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向采场内的移动式高压电动设备供电的变压器严禁中性点直接接地；当采用中性点经限流电阻接地方式供电时，且流经单相接地故障点的电流应当限制在200A以内，装设两段式中性点零序电流保护。中性点直接接地的变压器还应当装设单相接地保护。</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《煤矿安全规程》第五百九十九条。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变（配）电设施、油库、爆炸物品库、高大或者易受雷击的建筑，必须装设防雷电装置，每年雨季前检验1次。</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《煤矿安全规程》第六百一十一条。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执行电气检修作业，必须停电、验电、放电，挂接三相短路接地线，装设遮栏并悬挂标示牌。</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变电所和配电设备</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采场变电站使用不燃性材料修建，站内变电装置与墙的距离不小于0.8m，距顶部不小于1m。变电站的门向外开，门口悬挂警示牌。采场变电站、非全封闭式移动变电站，四周设有围墙或者栅栏。矿坑变电站（移动站）、开关箱、分支箱统一编号，门必须加锁，并设安全警示标志。变电站内的设备编号管理，并注明负荷名称，设有停、送电标志。移动变电站箱体有保护接地。无人值班的变电站、移动变电站至少每2周巡视一次。变电站室内配备合格的检测和绝缘用具。</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《煤矿安全规程》第六百零一条。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移动变电站进线户外主隔离开关上锁，馈出侧隔离开关与断路器之间有可靠的机械或者电气闭锁。</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《煤矿安全规程》第六百零二条。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架空输电线和电缆</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采场内架空线路敷设应当遵守下列规定：固定供电线路和通信线路应当设置在稳定的边坡上。高压架空输电线截面不得小于35mm</w:t>
            </w:r>
            <w:r>
              <w:rPr>
                <w:rFonts w:hint="eastAsia" w:ascii="宋体" w:hAnsi="宋体" w:cs="宋体"/>
                <w:kern w:val="0"/>
                <w:szCs w:val="21"/>
                <w:vertAlign w:val="superscript"/>
              </w:rPr>
              <w:t>2</w:t>
            </w:r>
            <w:r>
              <w:rPr>
                <w:rFonts w:hint="eastAsia" w:ascii="宋体" w:hAnsi="宋体" w:cs="宋体"/>
                <w:kern w:val="0"/>
                <w:szCs w:val="21"/>
              </w:rPr>
              <w:t>，低压架空输电线截面不得小于25mm</w:t>
            </w:r>
            <w:r>
              <w:rPr>
                <w:rFonts w:hint="eastAsia" w:ascii="宋体" w:hAnsi="宋体" w:cs="宋体"/>
                <w:kern w:val="0"/>
                <w:szCs w:val="21"/>
                <w:vertAlign w:val="superscript"/>
              </w:rPr>
              <w:t>2</w:t>
            </w:r>
            <w:r>
              <w:rPr>
                <w:rFonts w:hint="eastAsia" w:ascii="宋体" w:hAnsi="宋体" w:cs="宋体"/>
                <w:kern w:val="0"/>
                <w:szCs w:val="21"/>
              </w:rPr>
              <w:t>。由架空线向移动式高压电气设备和移动变电站供电的分支线路应当采用橡套电缆。架设在同一电杆上的高低压输（配）电线路不得多于两回；对于直线杆，上下横担的距离不得小于800mm；对于转角杆，上下横担的距离不得小于500mm（10kV线路及以下）。同一电杆上的高压线路，应当由同一电压等级的电源供电。垂直向采场供电的配电线路，同一杆上只能架设一回。架空线下严禁停放矿用设备，严禁堆置剥离物和煤炭等物料。</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《煤矿安全规程》第六百零三条。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在最大下垂度的情况下，架空线路到地面和接触网的垂直距离符合《煤矿安全规程》的第六百零四条的规定。</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《煤矿安全规程》第六百零四条。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移动金属塔架和大型设备通过架空线以及在架空输配电线附近作业的机械设备，其最高（最远）点至电线的垂直（水平）距离，必须符合《煤矿安全规程》第六百零五条的规定。</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《煤矿安全规程》第六百零五条。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挖掘机作业不得影响和破坏电缆线、电杆或者其他支架基础的安全，不得损伤接地导体和接地线。</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《煤矿安全规程》第六百零六条。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台阶上6～10kV的架空输配电线最边上的导线，在没有偏差的情况下，至接触网最近边的水平距离不应小于2.5m，至铁路路肩的水平距离不应小于2m。</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《煤矿安全规程》第六百零七条。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13</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电压小于10kV的输配电线，允许采用移动电杆，移动电杆之间的距离不应大于50m，特殊情况应当根据计算确定。</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《煤矿安全规程》第六百零八条。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14</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敷设橡套电缆符合下列要求：避开火区、水塘、水仓和可能出现滑坡的地段。跨台阶敷设电缆应当避开有伞檐、浮石、裂缝等的地段。新投入的高压电缆，使用前进行绝缘试验；修复后的高压电缆进行绝缘试验；运行高压电缆每年雷雨前进行预防性试验。电缆接头应当采用热缩或者冷补修复，其强度和导电性能不低于原要求。缠绕在卷筒（盘）上电缆载流量的计算符合相关要求，温升不超过要求。电缆穿越铁路、公路时，采取防护措施，严禁设备碾压电缆。</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《煤矿安全规程》第六百零九条。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15</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电气设备保护和接地</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高压配电线路装设过负荷、短路、漏电保护；低压配电线路装设短路和单相接地（漏电）保护；高压电动机装设短路、过负荷、漏电和欠压释放保护；低压电动机装设过流、短路保护；中性点接地的变压器装设接地保护；低压电力系统的变压器中性点直接接地时，装设接地保护。</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《煤矿安全规程》第六百一十条。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16</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电气保护装置使用前按规定进行检验，并做好记录。运行中每年至少对保护做1次检验，漏电保护6个月1次，负荷调整、线路变动及时检验。接地系统每月检查1次，每年至少检测1次，并做好记录。</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《煤矿安全规程》第六百一十二条。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17</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采场必须选用户外型电气设备，所有高、低压电气设备裸露导电体必须有安全防护。</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《煤矿安全规程》第六百一十三条。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18</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电气设备保护和接地</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变电所（站）的各种继电保护装置每2年至少做1次试验。</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《煤矿安全规程》第六百一十四条。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19</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变电所开关跳闸后，立即报告调度人员，经查询，可试送1次；若仍跳闸，不得强行送电，待查明原因，排除故障后，方可送电。</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《煤矿安全规程》第六百一十五条。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接地和接零应当符合下列要求：采场的架空线主接地极不得少于2组。主接地极应当设在电阻率低的地方，每组接地电阻值不得大于4Ω，在土壤电阻率大于1000Ωmm</w:t>
            </w:r>
            <w:r>
              <w:rPr>
                <w:rFonts w:hint="eastAsia" w:ascii="宋体" w:hAnsi="宋体" w:cs="宋体"/>
                <w:kern w:val="0"/>
                <w:szCs w:val="21"/>
                <w:vertAlign w:val="superscript"/>
              </w:rPr>
              <w:t>2</w:t>
            </w:r>
            <w:r>
              <w:rPr>
                <w:rFonts w:hint="eastAsia" w:ascii="宋体" w:hAnsi="宋体" w:cs="宋体"/>
                <w:kern w:val="0"/>
                <w:szCs w:val="21"/>
              </w:rPr>
              <w:t>/m的地区，不得超过30Ω。移动设备与架空线接地极之间的电阻值不得大于1Ω。接地线和设备的金属外壳的接触电压不得大于36V。高压架空线的接地线应当使用截面大于35mm²的钢绞线。采用橡套电缆的专用接地芯线必须接地或者接零，严禁接地线作电源线。50V以上的交流电气设备的金属外壳、构架等必须接地。连接电气设备与接地母线应当使用截面不小于50mm²的耐腐蚀的铁线，严禁电气设备的接地线串联接地，严禁用金属管道或者电缆金属护套作为接地线。低压接地系统的架空线路的终端和支线的终端必须重复接地，交流线路零线的重复接地必须用独立的人工接地体，不得与地下金属管网相连接。</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《煤矿安全规程》第六百一十六条。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21</w:t>
            </w:r>
          </w:p>
        </w:tc>
        <w:tc>
          <w:tcPr>
            <w:tcW w:w="1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电气设备操作、维护和调整</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严禁带电检修、移动电气设备。对设备进行带电调试、测试、试验时，必须采取安全措施。移动带电电缆时，检查确认电缆没有破损，并穿戴好绝缘防护用品。采用快速插接式的高压电缆头严禁带电插拔。</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《煤矿安全规程》第六百一十七条。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22</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操作电气设备遵守下列规定：非专职和非值班人员，严禁操作电气设备。操作高压电气设备回路时，操作人员戴绝缘手套、穿电工绝缘靴或者站在绝缘台上。手持式电气设备的操作柄和工作中必须接触的部分，有合格的绝缘。操作人员身体任何部分与电气设备裸露带电部分的最小距离执行国家相关标准。</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《煤矿安全规程》第六百一十八条。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23</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检修多用户使用的输配电线路时，制定安全措施。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《煤矿安全规程》第六百一十九条。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24</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采场内（变电站、所及以下）配电线路的停送电作业遵守下列规定：计划停送电严格执行工作票、操作票制度。非计划停送电，经调度同意后执行，并双方做好停送电记录。事故停电，执行先停电，后履行停电手续，采取安全措施做好记录。严禁约时停送电。</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《煤矿安全规程》第六百二十条。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25</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高压变配电设备和线路的检修及停送电，严格执行停电申请和工作票制度。停电线路维修作业遵守下列规定：由负责人统一指挥。有明显的断开点，该线路断开的电源开关把手，必须专人看管或者加锁，并悬挂警示牌。停电后验电，并挂好接地线。作业时有专人监护。确认所有作业完毕后，摘除接地线和警示牌，由负责人检查无误后通知调度恢复送电。</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《煤矿安全规程》第六百二十一条。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26</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雷电或者雷雨时，严禁进行倒闸操作，严禁操作跌落开关。</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《煤矿安全规程》第六百二十二条。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27</w:t>
            </w:r>
          </w:p>
        </w:tc>
        <w:tc>
          <w:tcPr>
            <w:tcW w:w="1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停送电操作</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高压变配电设备和线路的检修及停送电，必须严格执行停电申请和工作票制度。</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《煤矿安全规程》第六百二十一条。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28</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采场内（变电站、所及以下）配电线路的停送电严格执行工作票、操作票制度；非计划停送电，应经调度同意后执行，并做好停送电记录。</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《煤矿安全规程》第六百二十条。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宋体" w:eastAsiaTheme="minorEastAsia"/>
                <w:kern w:val="0"/>
                <w:szCs w:val="21"/>
                <w:lang w:val="en-US" w:eastAsia="zh-CN"/>
              </w:rPr>
            </w:pPr>
            <w:r>
              <w:rPr>
                <w:rFonts w:hint="eastAsia" w:ascii="宋体" w:hAnsi="宋体" w:cs="宋体"/>
                <w:kern w:val="0"/>
                <w:szCs w:val="21"/>
                <w:lang w:val="en-US" w:eastAsia="zh-CN"/>
              </w:rPr>
              <w:t>29</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有爆炸危险场所中的金属设备、管道和其他导电物体，均应当接地，其防静电的接地电阻不得大于100Ω。该接地装置与电气设备的、防雷电的接地装置共用，此时接地电阻值取其中最小值。根据具体情况，还应当采用其他的防静电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《煤矿安全规程》第六百二十六条。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rPr>
              <w:t>3</w:t>
            </w:r>
            <w:r>
              <w:rPr>
                <w:rFonts w:hint="eastAsia" w:ascii="宋体" w:hAnsi="宋体" w:cs="宋体"/>
                <w:kern w:val="0"/>
                <w:szCs w:val="21"/>
                <w:lang w:val="en-US" w:eastAsia="zh-CN"/>
              </w:rPr>
              <w:t>0</w:t>
            </w:r>
          </w:p>
        </w:tc>
        <w:tc>
          <w:tcPr>
            <w:tcW w:w="1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照明和通信</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固定式照明灯具使用的电压不得超过220V，手灯或者移动式照明灯具的电压小于36V，在金属容器内作业用的照明灯具的电压不得超过24V。在同一地点安装不同照明电压等级的电源插座时，有明显区别标志。</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《煤矿安全规程》第六百二十七条。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rPr>
              <w:t>3</w:t>
            </w:r>
            <w:r>
              <w:rPr>
                <w:rFonts w:hint="eastAsia" w:ascii="宋体" w:hAnsi="宋体" w:cs="宋体"/>
                <w:kern w:val="0"/>
                <w:szCs w:val="21"/>
                <w:lang w:val="en-US" w:eastAsia="zh-CN"/>
              </w:rPr>
              <w:t>1</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配置能够覆盖整个开采范围的无线对讲系统，有基站的必须配备不间断电源，同时配置其他的有线或者无线应急通信系统；调度室与附近急救中心、消防机构、上级生产指挥中心的通信联系必须装设有线电话。</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《煤矿安全规程》第六百二十八条。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eastAsiaTheme="minorEastAsia"/>
                <w:kern w:val="0"/>
                <w:szCs w:val="21"/>
                <w:lang w:eastAsia="zh-CN"/>
              </w:rPr>
            </w:pPr>
            <w:r>
              <w:rPr>
                <w:rFonts w:hint="eastAsia" w:ascii="宋体" w:hAnsi="宋体" w:cs="宋体"/>
                <w:kern w:val="0"/>
                <w:szCs w:val="21"/>
              </w:rPr>
              <w:t>3</w:t>
            </w:r>
            <w:r>
              <w:rPr>
                <w:rFonts w:hint="eastAsia" w:ascii="宋体" w:hAnsi="宋体" w:cs="宋体"/>
                <w:kern w:val="0"/>
                <w:szCs w:val="21"/>
                <w:lang w:val="en-US" w:eastAsia="zh-CN"/>
              </w:rPr>
              <w:t>2</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安标及产品合格证</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露天煤矿涉及井巷运输、端帮采煤等环节的机电设备具有产品合格证；纳入安标管理的产品要有煤矿矿用产品安全标志。</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《中华人民共和国安全生产法》第三十七条；《煤矿安全规程》第十条。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bl>
    <w:p/>
    <w:p>
      <w:pPr>
        <w:spacing w:line="360" w:lineRule="auto"/>
        <w:rPr>
          <w:rFonts w:ascii="黑体" w:hAnsi="黑体" w:eastAsia="黑体" w:cs="宋体"/>
          <w:kern w:val="0"/>
          <w:sz w:val="28"/>
          <w:szCs w:val="21"/>
        </w:rPr>
      </w:pPr>
      <w:r>
        <w:rPr>
          <w:rFonts w:hint="eastAsia" w:ascii="黑体" w:hAnsi="黑体" w:eastAsia="黑体" w:cs="宋体"/>
          <w:kern w:val="0"/>
          <w:sz w:val="28"/>
          <w:szCs w:val="21"/>
          <w:lang w:val="en-US" w:eastAsia="zh-CN"/>
        </w:rPr>
        <w:t>八</w:t>
      </w:r>
      <w:r>
        <w:rPr>
          <w:rFonts w:hint="eastAsia" w:ascii="黑体" w:hAnsi="黑体" w:eastAsia="黑体" w:cs="宋体"/>
          <w:kern w:val="0"/>
          <w:sz w:val="28"/>
          <w:szCs w:val="21"/>
        </w:rPr>
        <w:t>、设备检修单元（17）</w:t>
      </w:r>
    </w:p>
    <w:tbl>
      <w:tblPr>
        <w:tblStyle w:val="29"/>
        <w:tblW w:w="13787" w:type="dxa"/>
        <w:jc w:val="center"/>
        <w:tblInd w:w="0" w:type="dxa"/>
        <w:tblLayout w:type="fixed"/>
        <w:tblCellMar>
          <w:top w:w="0" w:type="dxa"/>
          <w:left w:w="108" w:type="dxa"/>
          <w:bottom w:w="0" w:type="dxa"/>
          <w:right w:w="108" w:type="dxa"/>
        </w:tblCellMar>
      </w:tblPr>
      <w:tblGrid>
        <w:gridCol w:w="665"/>
        <w:gridCol w:w="1126"/>
        <w:gridCol w:w="5306"/>
        <w:gridCol w:w="3004"/>
        <w:gridCol w:w="1154"/>
        <w:gridCol w:w="1276"/>
        <w:gridCol w:w="1256"/>
      </w:tblGrid>
      <w:tr>
        <w:tblPrEx>
          <w:tblLayout w:type="fixed"/>
          <w:tblCellMar>
            <w:top w:w="0" w:type="dxa"/>
            <w:left w:w="108" w:type="dxa"/>
            <w:bottom w:w="0" w:type="dxa"/>
            <w:right w:w="108" w:type="dxa"/>
          </w:tblCellMar>
        </w:tblPrEx>
        <w:trPr>
          <w:tblHeader/>
          <w:jc w:val="center"/>
        </w:trPr>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检查项目</w:t>
            </w:r>
          </w:p>
        </w:tc>
        <w:tc>
          <w:tcPr>
            <w:tcW w:w="53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检查内容</w:t>
            </w:r>
          </w:p>
        </w:tc>
        <w:tc>
          <w:tcPr>
            <w:tcW w:w="3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检查依据</w:t>
            </w:r>
          </w:p>
        </w:tc>
        <w:tc>
          <w:tcPr>
            <w:tcW w:w="1154"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现状描述</w:t>
            </w:r>
          </w:p>
        </w:tc>
        <w:tc>
          <w:tcPr>
            <w:tcW w:w="1276"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存在问题</w:t>
            </w:r>
          </w:p>
        </w:tc>
        <w:tc>
          <w:tcPr>
            <w:tcW w:w="1256"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处置措施</w:t>
            </w: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防护用品</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机械设备内备有完好的绝缘防护用品和工具。绝缘防护用品和工具定期进行电气绝缘性能试验。不合格的绝缘防护用品和工具及时更换。劳动防护用品应当符合国家标准或者行业标准。使用进口的劳动防护用品，其防护性能不得低于我国相关标准。</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《煤矿安全规程》第五百一十六条；《用人单位劳动防护用品管理规范（2018年）》（安监总厅安健〔2018〕3号）第七条。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检修作业</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建立各种设备、设施检查维修制度，定期进行检查维修，做好记录。</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检修前，应当选择坚实平坦的地面停放，因故障不能移动的设备应当采取防止溜车措施，轮式设备必须安放止轮器。</w:t>
            </w:r>
          </w:p>
        </w:tc>
        <w:tc>
          <w:tcPr>
            <w:tcW w:w="300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《煤矿安全规程》第六百二十九条。</w:t>
            </w:r>
          </w:p>
        </w:tc>
        <w:tc>
          <w:tcPr>
            <w:tcW w:w="1154" w:type="dxa"/>
            <w:tcBorders>
              <w:top w:val="nil"/>
              <w:left w:val="nil"/>
              <w:bottom w:val="single" w:color="auto" w:sz="4" w:space="0"/>
              <w:right w:val="single" w:color="auto" w:sz="4" w:space="0"/>
            </w:tcBorders>
            <w:shd w:val="clear" w:color="000000" w:fill="FFFFFF"/>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shd w:val="clear" w:color="000000" w:fill="FFFFFF"/>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shd w:val="clear" w:color="000000" w:fill="FFFFFF"/>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设备检修时要执行挂牌制度，悬挂警示牌，设专人协调指挥。</w:t>
            </w:r>
          </w:p>
        </w:tc>
        <w:tc>
          <w:tcPr>
            <w:tcW w:w="30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《煤矿安全规程》第六百三十条。</w:t>
            </w:r>
          </w:p>
        </w:tc>
        <w:tc>
          <w:tcPr>
            <w:tcW w:w="1154"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7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5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多工种联合检修作业时，制定安全措施，设专人协调指挥。</w:t>
            </w:r>
          </w:p>
        </w:tc>
        <w:tc>
          <w:tcPr>
            <w:tcW w:w="30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154"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7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5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在设备的隐蔽处及通风不畅的空间内检修时，必须制定安全措施，设专人监护。</w:t>
            </w:r>
          </w:p>
        </w:tc>
        <w:tc>
          <w:tcPr>
            <w:tcW w:w="30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154"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7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5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检查和诊断运动、铰接、高温、有压、带电、弹性储能等危险部位时，制定安全措施，检修前必须切断相应的动力源、释放压力。</w:t>
            </w:r>
          </w:p>
        </w:tc>
        <w:tc>
          <w:tcPr>
            <w:tcW w:w="30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154"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7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5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在带式输送机上更换、维修输送带时，制定安全措施。</w:t>
            </w:r>
          </w:p>
        </w:tc>
        <w:tc>
          <w:tcPr>
            <w:tcW w:w="30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154"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7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c>
          <w:tcPr>
            <w:tcW w:w="1256" w:type="dxa"/>
            <w:tcBorders>
              <w:top w:val="nil"/>
              <w:left w:val="single" w:color="auto" w:sz="4" w:space="0"/>
              <w:bottom w:val="single" w:color="000000"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检修用电设备的高压进线和总隔离开关柜时，必须执行停送电制度。</w:t>
            </w:r>
            <w:r>
              <w:rPr>
                <w:rFonts w:hint="eastAsia" w:ascii="宋体" w:hAnsi="宋体" w:cs="宋体"/>
                <w:kern w:val="0"/>
                <w:szCs w:val="21"/>
              </w:rPr>
              <w:br w:type="textWrapping"/>
            </w:r>
            <w:r>
              <w:rPr>
                <w:rFonts w:hint="eastAsia" w:ascii="宋体" w:hAnsi="宋体" w:cs="宋体"/>
                <w:kern w:val="0"/>
                <w:szCs w:val="21"/>
              </w:rPr>
              <w:t>检修设备高压线路时，必须切断相应的断路器和拉开隔离开关，并进行验电、放电、挂接短路接地线。</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《煤矿安全规程》第六百三十一条。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拆装高温(＞40℃)或者低温(＜－15℃)部件时，必须采取防护措施，严禁人体直接接触。</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《煤矿安全规程》第六百三十二条。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电焊气焊切割作业</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电焊、气焊、切割必须遵守下列规定：工作场地通风良好，无易燃、易爆物品。各类气瓶要距明火10m以上，氧气瓶距乙炔瓶5m以上。在重点防火、防爆区焊接作业时，办理用火审批单，并制定防火、防爆措施。在焊接或者切割盛放过易燃、易爆物品或者情况不明物品的容器时，制定安全措施。进入设备或者容器内部焊接、切割时，确认无易燃、易爆气体或者物品，方可作业。检查各种气瓶连接处、胶管接头、减压器是否沾染油脂，检查电焊机及电焊用具的绝缘是否合格，电焊机外壳是否接地。</w:t>
            </w:r>
            <w:r>
              <w:rPr>
                <w:rFonts w:hint="eastAsia" w:ascii="宋体" w:hAnsi="宋体" w:cs="宋体"/>
                <w:kern w:val="0"/>
                <w:szCs w:val="21"/>
              </w:rPr>
              <w:br w:type="textWrapping"/>
            </w:r>
            <w:r>
              <w:rPr>
                <w:rFonts w:hint="eastAsia" w:ascii="宋体" w:hAnsi="宋体" w:cs="宋体"/>
                <w:kern w:val="0"/>
                <w:szCs w:val="21"/>
              </w:rPr>
              <w:t>各类气瓶使用时必须稳固竖立或装在专用车(架)或固定装置上，不得置于受阳光暴晒、热源辐射及可能受到电击的地方。</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《煤矿安全规程》第六百三十三条；《焊接与切割安全》（GB9448—1999）10.5.4。</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进入设备或者容器内部焊接、切割时，确认无易燃、易爆气体或者物品，封闭空间内必须佩戴合适的供气呼吸设备并由戴有类似设备的他人监护，方可作业。</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《焊接与切割安全》（GB9448—1999）7.1.1。</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13</w:t>
            </w:r>
          </w:p>
        </w:tc>
        <w:tc>
          <w:tcPr>
            <w:tcW w:w="1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吊装作业</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起重吊装作业前，必须编制吊装作业的专项施工方案，并应进行安全技术交底；作业中，未经技术负责人批准，不得随意更改。</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《建筑施工起重吊装安全技术规范》（JGJ276-2012）3.0.1。</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14</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吊装作业必须遵守下列规定：吊装作业区四周设置明显标志，夜间作业有足够的照明。是否超载吊装，是否起吊物体的重量不明；是否使用一根绳索挂2个吊点；绳索与棱角是否直接接触。2台及以上起重机起吊同一物体时，是否合理分配负载，单机载荷不超过额定起重量的80%。</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《煤矿安全规程》第六百三十四条。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15</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高处作业</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高处作业遵守下列规定：使用登高工具和安全用具。使用梯子时，支承必须牢固，并有防滑措施，严禁垫高使用。采取可靠的防止人员坠落措施，必要时设置防护网或者防护围栏。人员站立位置及扶手采取防滑措施。防止物体坠落，是否有抛掷工具和器材的现象。在有坠落危险的下方是否其他人员停留或者作业。</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《煤矿安全规程》第六百三十五条。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16</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矿用卡车检修作业</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检修矿用卡车编制作业规程，并遵守下列规定：厢斗举升维修过程中，设定警戒区，严禁人员进入。厢斗举起后，采用刚性支撑或者安全索固定厢斗，严禁利用举升缸支撑作业。在车上进行焊接和切割作业时，要防止火花溅落到下方作业区或者油箱。必要时，应当采取防护措施。必须制定专门的检修轮胎安全技术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《煤矿安全规程》第六百三十六条。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17</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设备检测检验</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特种设备、矿用在用安全设备应当委托具有相应资质的机构进行检测检验。</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《中华人民共和国安全生产法》第三十七条。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bl>
    <w:p/>
    <w:p/>
    <w:p>
      <w:pPr>
        <w:spacing w:line="360" w:lineRule="auto"/>
        <w:rPr>
          <w:rFonts w:ascii="黑体" w:hAnsi="黑体" w:eastAsia="黑体" w:cs="宋体"/>
          <w:kern w:val="0"/>
          <w:sz w:val="28"/>
          <w:szCs w:val="21"/>
        </w:rPr>
      </w:pPr>
      <w:r>
        <w:rPr>
          <w:rFonts w:hint="eastAsia" w:ascii="黑体" w:hAnsi="黑体" w:eastAsia="黑体" w:cs="宋体"/>
          <w:kern w:val="0"/>
          <w:sz w:val="28"/>
          <w:szCs w:val="21"/>
          <w:lang w:val="en-US" w:eastAsia="zh-CN"/>
        </w:rPr>
        <w:t>九</w:t>
      </w:r>
      <w:r>
        <w:rPr>
          <w:rFonts w:hint="eastAsia" w:ascii="黑体" w:hAnsi="黑体" w:eastAsia="黑体" w:cs="宋体"/>
          <w:kern w:val="0"/>
          <w:sz w:val="28"/>
          <w:szCs w:val="21"/>
        </w:rPr>
        <w:t>、边坡单元（2</w:t>
      </w:r>
      <w:r>
        <w:rPr>
          <w:rFonts w:ascii="黑体" w:hAnsi="黑体" w:eastAsia="黑体" w:cs="宋体"/>
          <w:kern w:val="0"/>
          <w:sz w:val="28"/>
          <w:szCs w:val="21"/>
        </w:rPr>
        <w:t>1</w:t>
      </w:r>
      <w:r>
        <w:rPr>
          <w:rFonts w:hint="eastAsia" w:ascii="黑体" w:hAnsi="黑体" w:eastAsia="黑体" w:cs="宋体"/>
          <w:kern w:val="0"/>
          <w:sz w:val="28"/>
          <w:szCs w:val="21"/>
        </w:rPr>
        <w:t>）</w:t>
      </w:r>
    </w:p>
    <w:tbl>
      <w:tblPr>
        <w:tblStyle w:val="29"/>
        <w:tblW w:w="13787" w:type="dxa"/>
        <w:jc w:val="center"/>
        <w:tblInd w:w="0" w:type="dxa"/>
        <w:tblLayout w:type="fixed"/>
        <w:tblCellMar>
          <w:top w:w="0" w:type="dxa"/>
          <w:left w:w="108" w:type="dxa"/>
          <w:bottom w:w="0" w:type="dxa"/>
          <w:right w:w="108" w:type="dxa"/>
        </w:tblCellMar>
      </w:tblPr>
      <w:tblGrid>
        <w:gridCol w:w="665"/>
        <w:gridCol w:w="1126"/>
        <w:gridCol w:w="5306"/>
        <w:gridCol w:w="3004"/>
        <w:gridCol w:w="1154"/>
        <w:gridCol w:w="1276"/>
        <w:gridCol w:w="1256"/>
      </w:tblGrid>
      <w:tr>
        <w:tblPrEx>
          <w:tblLayout w:type="fixed"/>
          <w:tblCellMar>
            <w:top w:w="0" w:type="dxa"/>
            <w:left w:w="108" w:type="dxa"/>
            <w:bottom w:w="0" w:type="dxa"/>
            <w:right w:w="108" w:type="dxa"/>
          </w:tblCellMar>
        </w:tblPrEx>
        <w:trPr>
          <w:tblHeader/>
          <w:jc w:val="center"/>
        </w:trPr>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检查项目</w:t>
            </w:r>
          </w:p>
        </w:tc>
        <w:tc>
          <w:tcPr>
            <w:tcW w:w="53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检查内容</w:t>
            </w:r>
          </w:p>
        </w:tc>
        <w:tc>
          <w:tcPr>
            <w:tcW w:w="3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检查依据</w:t>
            </w:r>
          </w:p>
        </w:tc>
        <w:tc>
          <w:tcPr>
            <w:tcW w:w="1154"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现状描述</w:t>
            </w:r>
          </w:p>
        </w:tc>
        <w:tc>
          <w:tcPr>
            <w:tcW w:w="1276"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存在问题</w:t>
            </w:r>
          </w:p>
        </w:tc>
        <w:tc>
          <w:tcPr>
            <w:tcW w:w="1256"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处置措施</w:t>
            </w: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126" w:type="dxa"/>
            <w:vMerge w:val="restart"/>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边坡设计</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露天采场最终边坡的台阶坡面角和边坡角符合最终边坡设计要求。</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《煤矿安全规程》第五百三十九条。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12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发生滑坡后，应立即对滑坡区采取安全措施，并进行专门的勘查、评价与治理工程设计。</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《煤矿安全规程》第五百八十三条。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12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露天煤矿进行采剥前，应编制边坡工程监测方案。</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《煤炭工业露天矿边坡工程监测规范》（GB51214-2017）3.1.2。</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12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边坡评价</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应当进行专门的边坡工程、地质勘探工程和稳定性分析评价。</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《煤矿安全规程》第五百八十三条。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1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非工作帮形成一定范围的到界台阶后，应当定期进行边坡稳定性分析和评价，对影响生产安全的不稳定边坡必须采取安全措施。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《煤矿安全规程》第五百八十四条。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1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工作帮边坡在临近最终设计边坡之前，必须对其进行稳定性分析和评价。当原设计的最终边坡达不到稳定的安全系数时，应当修改设计或者采取治理措施。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《煤矿安全规程》第五百八十五条。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1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长远和年度采矿工程设计，必须进行边坡稳定性验算。达不到边坡稳定要求时，应当修改采矿设计或者制定安全措施。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《煤矿安全规程》第五百八十六条。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126" w:type="dxa"/>
            <w:tcBorders>
              <w:top w:val="nil"/>
              <w:left w:val="nil"/>
              <w:bottom w:val="nil"/>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边坡评价</w:t>
            </w:r>
          </w:p>
        </w:tc>
        <w:tc>
          <w:tcPr>
            <w:tcW w:w="530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Cs w:val="21"/>
              </w:rPr>
            </w:pPr>
            <w:r>
              <w:rPr>
                <w:rFonts w:hint="eastAsia" w:ascii="宋体" w:hAnsi="宋体" w:cs="宋体"/>
                <w:kern w:val="0"/>
                <w:szCs w:val="21"/>
              </w:rPr>
              <w:t>定期对排土场边坡进行稳定性分析，必要时采取防治措施。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《煤矿安全规程》第五百八十八条。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边坡安全措施</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定期巡视采场及排土场边坡，发现有滑坡征兆时，必须设明显标志牌。</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《煤矿安全规程》第五百八十三条。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采场最终边坡采剥作业必须按设计进行，坡底线严禁超挖。临近到界台阶时采用控制爆破。最终煤台阶要采取防止煤风化、自然发火及沿煤层底板滑坡措施。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《煤矿安全规程》第五百八十七条；《煤矿企业安全生产许可证实施办法》第九条；《煤矿防灭火细则》）第一百一十五条。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内排土场最下部台阶的坡底与采剥台阶坡底之间必须留有足够的安全距离。排土场必须采取有效的防排水措施，防止或者减少水流入排土场。</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《煤矿安全规程》第五百八十八条。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设有运输道路、采运机械和重要设施的边坡，必须采取安全措施。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《煤矿安全规程》第五百八十三条。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13</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当露天煤矿采场边坡之下存在采空区等空洞时，应监测已有采空区对露天煤矿采场边坡的影响；当露天煤矿由露天开采转入井工开采时，应监测井工开采对露天煤矿采场已有边坡影响。</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《煤炭工业露天矿边坡工程监测规范》（GB51214-2017）4.1.3。</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14</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当露天煤矿排土场边坡之下存在采空区时，应监测已有采空区对排土场边坡的影响。</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《煤炭工业露天矿边坡工程监测规范》（GB51214-2017）5.1.3。</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15</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露天煤矿建设和开采阶段，应设置监测站对采掘场边坡、排土场边坡进行变形监测。</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《煤炭工业露天矿边坡工程监测规范》（GB51214-2017）7.1.1。</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16</w:t>
            </w:r>
          </w:p>
        </w:tc>
        <w:tc>
          <w:tcPr>
            <w:tcW w:w="1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受地下水影响范围内的露天煤矿采场边坡及排土场边坡应进行地下水动态监测。</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《煤炭工业露天矿边坡工程监测规范》（GB51214-2017）9.1.1。</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17</w:t>
            </w:r>
          </w:p>
        </w:tc>
        <w:tc>
          <w:tcPr>
            <w:tcW w:w="1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预测预警</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边坡工程发生变形量或变形速率出现异常变化时，必须立即预警，同时增加监测频率并调整监测方案。</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《煤炭工业露天矿边坡工程监测规范》（GB51214-2017）12.3.4。</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18</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边坡工程发生变形量达到或超出预警值时，必须立即预警，同时增加监测频率并调整监测方案。</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《煤炭工业露天矿边坡工程监测规范》（GB51214-2017）12.3.4。</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19</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边坡工程发生边坡影响范围内出现崩塌、滑坡迹象时，必须立即预警，同时增加监测频率并调整监测方案。</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《煤炭工业露天矿边坡工程监测规范》（GB51214-2017）12.3.4。</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边坡工程发生边坡影响范围或周边建（构）筑物及地表异常时，必须立即预警，同时增加监测频率并调整监测方案。</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《煤炭工业露天矿边坡工程监测规范》（GB51214-2017）12.3.4。</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21</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边坡工程发生地震、暴雨、冻融等引起变形异常时，必须立即预警，同时增加监测频率并调整监测方案。</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《煤炭工业露天矿边坡工程监测规范》（GB51214-2017）12.3.4。</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bl>
    <w:p/>
    <w:p/>
    <w:p/>
    <w:p/>
    <w:p/>
    <w:p/>
    <w:p/>
    <w:p>
      <w:pPr>
        <w:spacing w:line="360" w:lineRule="auto"/>
        <w:rPr>
          <w:rFonts w:ascii="黑体" w:hAnsi="黑体" w:eastAsia="黑体" w:cs="宋体"/>
          <w:kern w:val="0"/>
          <w:sz w:val="28"/>
          <w:szCs w:val="21"/>
        </w:rPr>
      </w:pPr>
      <w:r>
        <w:rPr>
          <w:rFonts w:hint="eastAsia" w:ascii="黑体" w:hAnsi="黑体" w:eastAsia="黑体" w:cs="宋体"/>
          <w:kern w:val="0"/>
          <w:sz w:val="28"/>
          <w:szCs w:val="21"/>
        </w:rPr>
        <w:t>十、防排水单元（15）</w:t>
      </w:r>
    </w:p>
    <w:tbl>
      <w:tblPr>
        <w:tblStyle w:val="29"/>
        <w:tblW w:w="13787" w:type="dxa"/>
        <w:jc w:val="center"/>
        <w:tblInd w:w="0" w:type="dxa"/>
        <w:tblLayout w:type="fixed"/>
        <w:tblCellMar>
          <w:top w:w="0" w:type="dxa"/>
          <w:left w:w="108" w:type="dxa"/>
          <w:bottom w:w="0" w:type="dxa"/>
          <w:right w:w="108" w:type="dxa"/>
        </w:tblCellMar>
      </w:tblPr>
      <w:tblGrid>
        <w:gridCol w:w="665"/>
        <w:gridCol w:w="1126"/>
        <w:gridCol w:w="5306"/>
        <w:gridCol w:w="3004"/>
        <w:gridCol w:w="1154"/>
        <w:gridCol w:w="1276"/>
        <w:gridCol w:w="1256"/>
      </w:tblGrid>
      <w:tr>
        <w:tblPrEx>
          <w:tblLayout w:type="fixed"/>
          <w:tblCellMar>
            <w:top w:w="0" w:type="dxa"/>
            <w:left w:w="108" w:type="dxa"/>
            <w:bottom w:w="0" w:type="dxa"/>
            <w:right w:w="108" w:type="dxa"/>
          </w:tblCellMar>
        </w:tblPrEx>
        <w:trPr>
          <w:tblHeader/>
          <w:jc w:val="center"/>
        </w:trPr>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检查项目</w:t>
            </w:r>
          </w:p>
        </w:tc>
        <w:tc>
          <w:tcPr>
            <w:tcW w:w="53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检查内容</w:t>
            </w:r>
          </w:p>
        </w:tc>
        <w:tc>
          <w:tcPr>
            <w:tcW w:w="3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检查依据</w:t>
            </w:r>
          </w:p>
        </w:tc>
        <w:tc>
          <w:tcPr>
            <w:tcW w:w="1154"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现状描述</w:t>
            </w:r>
          </w:p>
        </w:tc>
        <w:tc>
          <w:tcPr>
            <w:tcW w:w="1276"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存在问题</w:t>
            </w:r>
          </w:p>
        </w:tc>
        <w:tc>
          <w:tcPr>
            <w:tcW w:w="1256"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处置措施</w:t>
            </w: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防排水计划</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露天煤矿应当制定防治水中长期规划，对地下水、地表水和降水可能对排土场、工业广场、采场等区域造成的危害进行风险评估。</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《煤矿防治水细则》（煤安监调查〔2018〕14号）第一百一十四条。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年初必须制定当年的防排水工作计划与措施，由煤炭企业负责人审批。</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《煤矿安全规程》第五百八十九条；《煤矿防治水细则》（煤安监调查〔2018〕14号）第一百一十四条。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雨季前必须对防排水设施作全面检查，检修防排水设施、新建的重要防排水工程必须在雨季前完工。</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《煤矿安全规程》第五百八十九条。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对低于当地历史最高洪水位的设施，必须按规定采取修筑堤坝、沟渠，疏通水沟等防洪措施。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《煤矿安全规程》第五百九十条。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地表防排水设施</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地表及边坡上的防排水设施应当避开有滑坡危险的地段。</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《煤矿安全规程》第五百九十一条。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排水沟应当经常检查、清淤，不应渗漏、倒灌或者漫流。当水沟经过有变形、裂缝的边坡地段时，应当采取防渗措施。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《煤矿安全规程》第五百九十一条。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排土场应当保持平整，不得有积水，周围应当修筑可靠的截泥、防洪和排水设施。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《煤矿安全规程》第五百九十一条。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126" w:type="dxa"/>
            <w:vMerge w:val="restart"/>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采场排水设施</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当采场内有滑坡区时，应当在滑坡区周围采取截水措施。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《煤矿安全规程》第五百九十一条。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12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在采场或排土场范围内，应对自然纵坡较大的冲沟修筑临时拦水坝。</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《煤炭工业露天矿设计规范》（GB50197-2015）8.2.10。</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12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用露天采场深部做储水池排水时，必须采取安全措施，备用水泵的能力不小于工作水泵能力的50％。</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《煤矿安全规程》第五百九十二条。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w:t>
            </w:r>
          </w:p>
        </w:tc>
        <w:tc>
          <w:tcPr>
            <w:tcW w:w="112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地下水疏干</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地层含水影响采矿工程正常进行时，应当进行疏干，当疏干不可行，可以采取帷幕注浆截流等措施。疏干、帷幕注浆截流等工程应当超前于采矿工程。</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《煤矿防治水细则》（煤安监调查〔2018〕14号）第一百一十八条。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w:t>
            </w:r>
          </w:p>
        </w:tc>
        <w:tc>
          <w:tcPr>
            <w:tcW w:w="11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在矿床疏干漏斗范围内，地面出现裂缝、塌陷时，应当圈定范围加以防护、设置警示标志，并采取安全措施；（半）地下疏干泵房应当设通风装置。</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《煤矿防治水细则》（煤安监调查〔2018〕14号）第一百一十八条。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13</w:t>
            </w:r>
          </w:p>
        </w:tc>
        <w:tc>
          <w:tcPr>
            <w:tcW w:w="11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地下水影响较大和已进行疏干排水工程的边坡，应当进行地下水位、水压及涌水量的观测，分析地下水对边坡稳定的影响程度及疏干的效果，并制定地下水治理措施。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《煤矿安全规程》第五百九十四条。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14</w:t>
            </w:r>
          </w:p>
        </w:tc>
        <w:tc>
          <w:tcPr>
            <w:tcW w:w="11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因地下水水位升高，可能造成排土场或者采场滑坡时，必须进行地下水疏干。</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《煤矿安全规程》第五百九十四条。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15</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防隔水煤（岩）柱保护</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露天煤矿采排场周围存在地表河流、水库或者地下水体，且水体难以疏干，应当进行专门的水文地质勘探，确定含水区域准确边界，进行专门设计，确定防隔水煤（岩）柱尺寸。并定期对水位水情进行观测，分析防隔水煤（岩）柱稳定情况。</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《煤矿防治水细则》（煤安监调查〔2018〕14号）第一百二十一条。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bl>
    <w:p/>
    <w:p/>
    <w:p>
      <w:pPr>
        <w:spacing w:line="360" w:lineRule="auto"/>
        <w:rPr>
          <w:rFonts w:ascii="黑体" w:hAnsi="黑体" w:eastAsia="黑体" w:cs="宋体"/>
          <w:kern w:val="0"/>
          <w:sz w:val="28"/>
          <w:szCs w:val="21"/>
        </w:rPr>
      </w:pPr>
      <w:r>
        <w:rPr>
          <w:rFonts w:hint="eastAsia" w:ascii="黑体" w:hAnsi="黑体" w:eastAsia="黑体" w:cs="宋体"/>
          <w:kern w:val="0"/>
          <w:sz w:val="28"/>
          <w:szCs w:val="21"/>
        </w:rPr>
        <w:t>十</w:t>
      </w:r>
      <w:r>
        <w:rPr>
          <w:rFonts w:hint="eastAsia" w:ascii="黑体" w:hAnsi="黑体" w:eastAsia="黑体" w:cs="宋体"/>
          <w:kern w:val="0"/>
          <w:sz w:val="28"/>
          <w:szCs w:val="21"/>
          <w:lang w:val="en-US" w:eastAsia="zh-CN"/>
        </w:rPr>
        <w:t>一</w:t>
      </w:r>
      <w:r>
        <w:rPr>
          <w:rFonts w:hint="eastAsia" w:ascii="黑体" w:hAnsi="黑体" w:eastAsia="黑体" w:cs="宋体"/>
          <w:kern w:val="0"/>
          <w:sz w:val="28"/>
          <w:szCs w:val="21"/>
        </w:rPr>
        <w:t>、防灭火单元（7）</w:t>
      </w:r>
    </w:p>
    <w:tbl>
      <w:tblPr>
        <w:tblStyle w:val="29"/>
        <w:tblW w:w="13787" w:type="dxa"/>
        <w:jc w:val="center"/>
        <w:tblInd w:w="0" w:type="dxa"/>
        <w:tblLayout w:type="fixed"/>
        <w:tblCellMar>
          <w:top w:w="0" w:type="dxa"/>
          <w:left w:w="108" w:type="dxa"/>
          <w:bottom w:w="0" w:type="dxa"/>
          <w:right w:w="108" w:type="dxa"/>
        </w:tblCellMar>
      </w:tblPr>
      <w:tblGrid>
        <w:gridCol w:w="665"/>
        <w:gridCol w:w="1126"/>
        <w:gridCol w:w="5306"/>
        <w:gridCol w:w="3004"/>
        <w:gridCol w:w="1154"/>
        <w:gridCol w:w="1276"/>
        <w:gridCol w:w="1256"/>
      </w:tblGrid>
      <w:tr>
        <w:tblPrEx>
          <w:tblLayout w:type="fixed"/>
          <w:tblCellMar>
            <w:top w:w="0" w:type="dxa"/>
            <w:left w:w="108" w:type="dxa"/>
            <w:bottom w:w="0" w:type="dxa"/>
            <w:right w:w="108" w:type="dxa"/>
          </w:tblCellMar>
        </w:tblPrEx>
        <w:trPr>
          <w:tblHeader/>
          <w:jc w:val="center"/>
        </w:trPr>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检查项目</w:t>
            </w:r>
          </w:p>
        </w:tc>
        <w:tc>
          <w:tcPr>
            <w:tcW w:w="53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检查内容</w:t>
            </w:r>
          </w:p>
        </w:tc>
        <w:tc>
          <w:tcPr>
            <w:tcW w:w="3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检查依据</w:t>
            </w:r>
          </w:p>
        </w:tc>
        <w:tc>
          <w:tcPr>
            <w:tcW w:w="1154"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现状描述</w:t>
            </w:r>
          </w:p>
        </w:tc>
        <w:tc>
          <w:tcPr>
            <w:tcW w:w="1276"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存在问题</w:t>
            </w:r>
          </w:p>
        </w:tc>
        <w:tc>
          <w:tcPr>
            <w:tcW w:w="1256"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处置措施</w:t>
            </w: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地面防灭火</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制定地面和采场内的防灭火措施。所有建筑物、煤堆、排土场、仓库、油库、爆炸物品库、木料厂等处的防火措施和制度符合国家有关法律、法规和标准的规定。</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《煤矿安全规程》第五百九十五条。《煤矿防灭火细则》）第一百零九条。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设备防灭火</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露天煤矿内的采掘、运输、排土等主要设备，配备灭火器材，并定期检查和更换。</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《煤矿安全规程》第五百九十五条。《煤矿防灭火细则》）第一百一十七条。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采场防灭火</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露天煤矿应当对开采煤层自燃倾向性进行鉴定。开采有自然发火倾向的煤层或者开采范围内存在火区时制定防灭火措施。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《煤矿安全规程》第五百九十六条。《煤矿防灭火细则》）第一百一十条。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露天煤矿建设及生产过程中，应当评估所属范围内的井工煤矿采空区的危险性。对存在自然发火危险的采空区必须进行探查并制定安全措施，探明预留煤（岩）柱厚度、气体、温度、塌陷等情况，根据探查结果采取措施进行处理。</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《煤矿防灭火细则》）第一百一十一条。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开采容易自燃和自燃煤层的露天煤矿，应当采取防止采场边坡煤台阶、工作面、排土场自然发火的措施。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《煤矿防灭火细则》）第一百一十三条。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储煤场防灭火</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露天或室内储煤场及仓式储煤型式，当存储褐煤等容易自燃煤种时应采取预防及消除煤自燃的措施。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《煤炭工业露天矿设计规范》（GB50197-2015）9.3.5。</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露天储煤场和存储容易自燃煤种的室内储煤场，煤堆四周应设移动设备和消防通道。</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《煤炭工业露天矿设计规范》（GB50197-2015）9.3.5。</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bl>
    <w:p/>
    <w:p/>
    <w:p>
      <w:pPr>
        <w:spacing w:line="360" w:lineRule="auto"/>
        <w:rPr>
          <w:rFonts w:ascii="黑体" w:hAnsi="黑体" w:eastAsia="黑体" w:cs="宋体"/>
          <w:kern w:val="0"/>
          <w:sz w:val="28"/>
          <w:szCs w:val="21"/>
        </w:rPr>
      </w:pPr>
      <w:r>
        <w:rPr>
          <w:rFonts w:hint="eastAsia" w:ascii="黑体" w:hAnsi="黑体" w:eastAsia="黑体" w:cs="宋体"/>
          <w:kern w:val="0"/>
          <w:sz w:val="28"/>
          <w:szCs w:val="21"/>
        </w:rPr>
        <w:t>十</w:t>
      </w:r>
      <w:r>
        <w:rPr>
          <w:rFonts w:hint="eastAsia" w:ascii="黑体" w:hAnsi="黑体" w:eastAsia="黑体" w:cs="宋体"/>
          <w:kern w:val="0"/>
          <w:sz w:val="28"/>
          <w:szCs w:val="21"/>
          <w:lang w:val="en-US" w:eastAsia="zh-CN"/>
        </w:rPr>
        <w:t>二</w:t>
      </w:r>
      <w:r>
        <w:rPr>
          <w:rFonts w:hint="eastAsia" w:ascii="黑体" w:hAnsi="黑体" w:eastAsia="黑体" w:cs="宋体"/>
          <w:kern w:val="0"/>
          <w:sz w:val="28"/>
          <w:szCs w:val="21"/>
        </w:rPr>
        <w:t>、应急救援单元（18）</w:t>
      </w:r>
    </w:p>
    <w:tbl>
      <w:tblPr>
        <w:tblStyle w:val="29"/>
        <w:tblW w:w="13787" w:type="dxa"/>
        <w:jc w:val="center"/>
        <w:tblInd w:w="0" w:type="dxa"/>
        <w:tblLayout w:type="fixed"/>
        <w:tblCellMar>
          <w:top w:w="0" w:type="dxa"/>
          <w:left w:w="108" w:type="dxa"/>
          <w:bottom w:w="0" w:type="dxa"/>
          <w:right w:w="108" w:type="dxa"/>
        </w:tblCellMar>
      </w:tblPr>
      <w:tblGrid>
        <w:gridCol w:w="665"/>
        <w:gridCol w:w="1126"/>
        <w:gridCol w:w="5306"/>
        <w:gridCol w:w="3004"/>
        <w:gridCol w:w="1154"/>
        <w:gridCol w:w="1276"/>
        <w:gridCol w:w="1256"/>
      </w:tblGrid>
      <w:tr>
        <w:tblPrEx>
          <w:tblLayout w:type="fixed"/>
          <w:tblCellMar>
            <w:top w:w="0" w:type="dxa"/>
            <w:left w:w="108" w:type="dxa"/>
            <w:bottom w:w="0" w:type="dxa"/>
            <w:right w:w="108" w:type="dxa"/>
          </w:tblCellMar>
        </w:tblPrEx>
        <w:trPr>
          <w:trHeight w:val="556" w:hRule="atLeast"/>
          <w:tblHeader/>
          <w:jc w:val="center"/>
        </w:trPr>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检查项目</w:t>
            </w:r>
          </w:p>
        </w:tc>
        <w:tc>
          <w:tcPr>
            <w:tcW w:w="53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检查内容</w:t>
            </w:r>
          </w:p>
        </w:tc>
        <w:tc>
          <w:tcPr>
            <w:tcW w:w="3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检查依据</w:t>
            </w:r>
          </w:p>
        </w:tc>
        <w:tc>
          <w:tcPr>
            <w:tcW w:w="1154" w:type="dxa"/>
            <w:tcBorders>
              <w:top w:val="single" w:color="auto" w:sz="4" w:space="0"/>
              <w:left w:val="nil"/>
              <w:bottom w:val="single" w:color="auto" w:sz="4" w:space="0"/>
              <w:right w:val="single" w:color="auto" w:sz="4" w:space="0"/>
            </w:tcBorders>
            <w:vAlign w:val="center"/>
          </w:tcPr>
          <w:p>
            <w:pPr>
              <w:jc w:val="center"/>
              <w:textAlignment w:val="center"/>
              <w:rPr>
                <w:rFonts w:ascii="黑体" w:hAnsi="黑体" w:eastAsia="黑体" w:cs="黑体"/>
                <w:kern w:val="0"/>
                <w:szCs w:val="21"/>
              </w:rPr>
            </w:pPr>
            <w:r>
              <w:rPr>
                <w:rFonts w:hint="eastAsia" w:ascii="黑体" w:hAnsi="黑体" w:eastAsia="黑体" w:cs="黑体"/>
                <w:kern w:val="0"/>
                <w:szCs w:val="21"/>
              </w:rPr>
              <w:t>现状描述</w:t>
            </w:r>
          </w:p>
        </w:tc>
        <w:tc>
          <w:tcPr>
            <w:tcW w:w="1276" w:type="dxa"/>
            <w:tcBorders>
              <w:top w:val="single" w:color="auto" w:sz="4" w:space="0"/>
              <w:left w:val="nil"/>
              <w:bottom w:val="single" w:color="auto" w:sz="4" w:space="0"/>
              <w:right w:val="single" w:color="auto" w:sz="4" w:space="0"/>
            </w:tcBorders>
            <w:vAlign w:val="center"/>
          </w:tcPr>
          <w:p>
            <w:pPr>
              <w:jc w:val="center"/>
              <w:textAlignment w:val="center"/>
              <w:rPr>
                <w:rFonts w:ascii="黑体" w:hAnsi="黑体" w:eastAsia="黑体" w:cs="黑体"/>
                <w:kern w:val="0"/>
                <w:szCs w:val="21"/>
              </w:rPr>
            </w:pPr>
            <w:r>
              <w:rPr>
                <w:rFonts w:hint="eastAsia" w:ascii="黑体" w:hAnsi="黑体" w:eastAsia="黑体" w:cs="黑体"/>
                <w:kern w:val="0"/>
                <w:szCs w:val="21"/>
              </w:rPr>
              <w:t>存在问题</w:t>
            </w:r>
          </w:p>
        </w:tc>
        <w:tc>
          <w:tcPr>
            <w:tcW w:w="1256" w:type="dxa"/>
            <w:tcBorders>
              <w:top w:val="single" w:color="auto" w:sz="4" w:space="0"/>
              <w:left w:val="nil"/>
              <w:bottom w:val="single" w:color="auto" w:sz="4" w:space="0"/>
              <w:right w:val="single" w:color="auto" w:sz="4" w:space="0"/>
            </w:tcBorders>
            <w:vAlign w:val="center"/>
          </w:tcPr>
          <w:p>
            <w:pPr>
              <w:jc w:val="center"/>
              <w:textAlignment w:val="center"/>
              <w:rPr>
                <w:rFonts w:ascii="黑体" w:hAnsi="黑体" w:eastAsia="黑体" w:cs="黑体"/>
                <w:kern w:val="0"/>
                <w:szCs w:val="21"/>
              </w:rPr>
            </w:pPr>
            <w:r>
              <w:rPr>
                <w:rFonts w:hint="eastAsia" w:ascii="黑体" w:hAnsi="黑体" w:eastAsia="黑体" w:cs="黑体"/>
                <w:kern w:val="0"/>
                <w:szCs w:val="21"/>
              </w:rPr>
              <w:t>处置措施</w:t>
            </w:r>
          </w:p>
        </w:tc>
      </w:tr>
      <w:tr>
        <w:tblPrEx>
          <w:tblLayout w:type="fixed"/>
          <w:tblCellMar>
            <w:top w:w="0" w:type="dxa"/>
            <w:left w:w="108" w:type="dxa"/>
            <w:bottom w:w="0" w:type="dxa"/>
            <w:right w:w="108" w:type="dxa"/>
          </w:tblCellMar>
        </w:tblPrEx>
        <w:trPr>
          <w:trHeight w:val="20" w:hRule="atLeast"/>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灾害预防和处理计划</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编制年度灾害预防和处理计划，并根据具体情况及时修改。灾害预防和处理计划由矿长负责组织实施。  </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《煤矿安全规程》第十二条。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20" w:hRule="atLeast"/>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应急规章制度</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建立事故预警、应急值守、信息报告、现场处置、应急投入、救援装备和物资储备、安全避险设施管理和使用等规章制度，主要负责人是应急管理和事故救援第一责任人。</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《煤矿安全规程》第六百七十二条。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20" w:hRule="atLeast"/>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应急救援预案</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企业必须编制应急救援预案并组织评审，由本单位主要负责人批准后实施；应急救援预案应当与所在地县级以上地方人民政府组织制定的生产安全事故应急救援预案相衔接。应急救援预案的主要内容发生变化，或者在事故处置和应急演练中发现存在重大问题时，及时修订完善。应急预案分为综合应急预案、专项应急预案和现场处置方案。</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《中华人民共和国安全生产法》第八十一条；《生产安全事故应急预案管理办法》（原国家安全监管总局令第88号，应急管理部令第2号修正）第六条，第九条；《煤矿安全规程》第六百七十四条。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20" w:hRule="atLeast"/>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应急演练制度</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建立应急演练制度。应急演练计划、方案、记录和总结评估报告等资料保存期限不少于2年。</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《煤矿安全规程》第六百七十五条。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20" w:hRule="atLeast"/>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应急预案演练</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根据本单位的事故风险特点，每年至少组织一次综合应急预案演练或者专项应急预案演练，每半年至少组织一次现场处置方案演练。</w:t>
            </w:r>
            <w:r>
              <w:rPr>
                <w:rFonts w:hint="eastAsia" w:ascii="宋体" w:hAnsi="宋体" w:cs="宋体"/>
                <w:kern w:val="0"/>
                <w:szCs w:val="21"/>
              </w:rPr>
              <w:br w:type="textWrapping"/>
            </w:r>
            <w:r>
              <w:rPr>
                <w:rFonts w:hint="eastAsia" w:ascii="宋体" w:hAnsi="宋体" w:cs="宋体"/>
                <w:kern w:val="0"/>
                <w:szCs w:val="21"/>
              </w:rPr>
              <w:t>应急救援演练应当由总工程师组织或参加。</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二十五条；《生产安全事故应急预案管理办法》（原国家安全监管总局令第88号，应急管理部令第2号修正）第三十二条，第三十三条，第三十四条，第三十五条，第四十条，第四十一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20" w:hRule="atLeast"/>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126" w:type="dxa"/>
            <w:vMerge w:val="restart"/>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救护队</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必须有矿山救护队为其服务，不具备设立独立矿山救护队条件的要设立兼职救护队，并与就近的救护队签订救护协议，救护队到达煤矿的时间不超30min。</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《煤矿安全规程》第六百七十六条。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20" w:hRule="atLeast"/>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12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兼职矿山救护队应由2个以上小队组成，每个小队由9人以上组成。</w:t>
            </w:r>
            <w:r>
              <w:rPr>
                <w:rFonts w:hint="eastAsia" w:ascii="宋体" w:hAnsi="宋体" w:cs="宋体"/>
                <w:kern w:val="0"/>
                <w:szCs w:val="21"/>
              </w:rPr>
              <w:br w:type="textWrapping"/>
            </w:r>
            <w:r>
              <w:rPr>
                <w:rFonts w:hint="eastAsia" w:ascii="宋体" w:hAnsi="宋体" w:cs="宋体"/>
                <w:kern w:val="0"/>
                <w:szCs w:val="21"/>
              </w:rPr>
              <w:t>设专职队长及仪器装备管理人员。</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《矿山救护规程》(AQ1008-2007)5.1.4。</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20" w:hRule="atLeast"/>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12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兼职矿山救护队及个人配备装备符合规定。</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《矿山救护规程》(AQ1008-2007)7.1-7.4。</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20" w:hRule="atLeast"/>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12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兼职矿山救护队有电话接警值班室、夜间值班休息室、办公室、学习室、装备室、修理室、氧气充填室、战备器材库等。</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《矿山救护规程》(AQ1008-2007)7.6。</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20" w:hRule="atLeast"/>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12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兼职矿山救护队指战员经过救护理论及技术、技能培训，并经考核取得合格证。</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《矿山救护规程》(AQ1008-2007)8.1。</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20" w:hRule="atLeast"/>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w:t>
            </w:r>
          </w:p>
        </w:tc>
        <w:tc>
          <w:tcPr>
            <w:tcW w:w="112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兼职救护队每季度至少进行一次佩用呼吸器的单项演习训练。</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《矿山救护规程》(AQ1008-2007)8.2.2。</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20" w:hRule="atLeast"/>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w:t>
            </w:r>
          </w:p>
        </w:tc>
        <w:tc>
          <w:tcPr>
            <w:tcW w:w="112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向救护队提供的图纸和资料</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露天煤矿应当向矿山救护队提供采剥、排土工程平面图和运输系统图、防排水系统图及排水设备布置图、井工老空区与露天矿平面对照图，以及应急救援预案。提供的上述图纸和资料应当真实、准确，且至少每季度为救护队更新一次。</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《煤矿安全规程》第六百七十八条。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20" w:hRule="atLeast"/>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13</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创伤急救系统</w:t>
            </w:r>
          </w:p>
        </w:tc>
        <w:tc>
          <w:tcPr>
            <w:tcW w:w="5306" w:type="dxa"/>
            <w:tcBorders>
              <w:top w:val="nil"/>
              <w:left w:val="nil"/>
              <w:bottom w:val="nil"/>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煤矿企业应当有创伤急救系统为其服务。</w:t>
            </w:r>
          </w:p>
        </w:tc>
        <w:tc>
          <w:tcPr>
            <w:tcW w:w="3004" w:type="dxa"/>
            <w:tcBorders>
              <w:top w:val="nil"/>
              <w:left w:val="nil"/>
              <w:bottom w:val="nil"/>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《煤矿安全规程》第十八条。</w:t>
            </w:r>
          </w:p>
        </w:tc>
        <w:tc>
          <w:tcPr>
            <w:tcW w:w="1154" w:type="dxa"/>
            <w:tcBorders>
              <w:top w:val="nil"/>
              <w:left w:val="nil"/>
              <w:bottom w:val="nil"/>
              <w:right w:val="single" w:color="auto" w:sz="4" w:space="0"/>
            </w:tcBorders>
          </w:tcPr>
          <w:p>
            <w:pPr>
              <w:widowControl/>
              <w:jc w:val="left"/>
              <w:rPr>
                <w:rFonts w:ascii="宋体" w:hAnsi="宋体" w:cs="宋体"/>
                <w:kern w:val="0"/>
                <w:szCs w:val="21"/>
              </w:rPr>
            </w:pPr>
          </w:p>
        </w:tc>
        <w:tc>
          <w:tcPr>
            <w:tcW w:w="1276" w:type="dxa"/>
            <w:tcBorders>
              <w:top w:val="nil"/>
              <w:left w:val="nil"/>
              <w:bottom w:val="nil"/>
              <w:right w:val="single" w:color="auto" w:sz="4" w:space="0"/>
            </w:tcBorders>
          </w:tcPr>
          <w:p>
            <w:pPr>
              <w:widowControl/>
              <w:jc w:val="left"/>
              <w:rPr>
                <w:rFonts w:ascii="宋体" w:hAnsi="宋体" w:cs="宋体"/>
                <w:kern w:val="0"/>
                <w:szCs w:val="21"/>
              </w:rPr>
            </w:pPr>
          </w:p>
        </w:tc>
        <w:tc>
          <w:tcPr>
            <w:tcW w:w="1256" w:type="dxa"/>
            <w:tcBorders>
              <w:top w:val="nil"/>
              <w:left w:val="nil"/>
              <w:bottom w:val="nil"/>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20" w:hRule="atLeast"/>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14</w:t>
            </w:r>
          </w:p>
        </w:tc>
        <w:tc>
          <w:tcPr>
            <w:tcW w:w="1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矿山救护队装备、设施管理</w:t>
            </w:r>
          </w:p>
        </w:tc>
        <w:tc>
          <w:tcPr>
            <w:tcW w:w="530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矿山救护队必须配备救援车辆及通信、灭火、侦察、气体分析、个体防护等救援装备，建有演习训练等设施。</w:t>
            </w:r>
          </w:p>
        </w:tc>
        <w:tc>
          <w:tcPr>
            <w:tcW w:w="300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《煤矿安全规程》第六百九十九条。</w:t>
            </w:r>
          </w:p>
        </w:tc>
        <w:tc>
          <w:tcPr>
            <w:tcW w:w="1154" w:type="dxa"/>
            <w:tcBorders>
              <w:top w:val="single" w:color="auto" w:sz="4" w:space="0"/>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single" w:color="auto" w:sz="4" w:space="0"/>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single" w:color="auto" w:sz="4" w:space="0"/>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20" w:hRule="atLeast"/>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15</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矿山救护队技术装备、救援车辆和设施必须由专人管理，定期检查、维护和保养，保持战备和完好状态。技术装备不得露天存放，救援车辆必须专车专用。</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《煤矿安全规程》第七百条。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20" w:hRule="atLeast"/>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16</w:t>
            </w:r>
          </w:p>
        </w:tc>
        <w:tc>
          <w:tcPr>
            <w:tcW w:w="1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应急救援装备、物资储备</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煤矿企业应当根据矿井灾害特点，结合所在区域实际情况，储备必要的应急救援装备及物资，由主要负责人审批。</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《生产安全事故应急预案管理办法》（原国家安全监管总局令第88号，应急管理部令第2号修正）第三十八条；《煤矿安全规程》第七百零一条。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20" w:hRule="atLeast"/>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17</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救援装备、器材、物资、防护用品和安全检测仪器、仪表，必须符合国家标准或者行业标准，满足应急救援工作的特殊需要。</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《煤矿安全规程》第七百零二条。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20" w:hRule="atLeast"/>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18</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紧急撤离</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建立紧急撤离预警系统，保证预警信息迅速传递到每名入坑人员。</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bl>
    <w:p/>
    <w:p/>
    <w:p/>
    <w:p>
      <w:pPr>
        <w:spacing w:line="360" w:lineRule="auto"/>
        <w:rPr>
          <w:rFonts w:ascii="黑体" w:hAnsi="黑体" w:eastAsia="黑体" w:cs="宋体"/>
          <w:kern w:val="0"/>
          <w:sz w:val="28"/>
          <w:szCs w:val="21"/>
        </w:rPr>
      </w:pPr>
      <w:r>
        <w:rPr>
          <w:rFonts w:hint="eastAsia" w:ascii="黑体" w:hAnsi="黑体" w:eastAsia="黑体" w:cs="宋体"/>
          <w:kern w:val="0"/>
          <w:sz w:val="28"/>
          <w:szCs w:val="21"/>
        </w:rPr>
        <w:t>十</w:t>
      </w:r>
      <w:r>
        <w:rPr>
          <w:rFonts w:hint="eastAsia" w:ascii="黑体" w:hAnsi="黑体" w:eastAsia="黑体" w:cs="宋体"/>
          <w:kern w:val="0"/>
          <w:sz w:val="28"/>
          <w:szCs w:val="21"/>
          <w:lang w:val="en-US" w:eastAsia="zh-CN"/>
        </w:rPr>
        <w:t>三</w:t>
      </w:r>
      <w:r>
        <w:rPr>
          <w:rFonts w:hint="eastAsia" w:ascii="黑体" w:hAnsi="黑体" w:eastAsia="黑体" w:cs="宋体"/>
          <w:kern w:val="0"/>
          <w:sz w:val="28"/>
          <w:szCs w:val="21"/>
        </w:rPr>
        <w:t>、建设项目单元（23）</w:t>
      </w:r>
    </w:p>
    <w:tbl>
      <w:tblPr>
        <w:tblStyle w:val="29"/>
        <w:tblW w:w="13787" w:type="dxa"/>
        <w:jc w:val="center"/>
        <w:tblInd w:w="0" w:type="dxa"/>
        <w:tblLayout w:type="fixed"/>
        <w:tblCellMar>
          <w:top w:w="0" w:type="dxa"/>
          <w:left w:w="108" w:type="dxa"/>
          <w:bottom w:w="0" w:type="dxa"/>
          <w:right w:w="108" w:type="dxa"/>
        </w:tblCellMar>
      </w:tblPr>
      <w:tblGrid>
        <w:gridCol w:w="665"/>
        <w:gridCol w:w="1126"/>
        <w:gridCol w:w="5306"/>
        <w:gridCol w:w="3004"/>
        <w:gridCol w:w="1154"/>
        <w:gridCol w:w="1276"/>
        <w:gridCol w:w="1256"/>
      </w:tblGrid>
      <w:tr>
        <w:tblPrEx>
          <w:tblLayout w:type="fixed"/>
          <w:tblCellMar>
            <w:top w:w="0" w:type="dxa"/>
            <w:left w:w="108" w:type="dxa"/>
            <w:bottom w:w="0" w:type="dxa"/>
            <w:right w:w="108" w:type="dxa"/>
          </w:tblCellMar>
        </w:tblPrEx>
        <w:trPr>
          <w:tblHeader/>
          <w:jc w:val="center"/>
        </w:trPr>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检查项目</w:t>
            </w:r>
          </w:p>
        </w:tc>
        <w:tc>
          <w:tcPr>
            <w:tcW w:w="53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检查内容</w:t>
            </w:r>
          </w:p>
        </w:tc>
        <w:tc>
          <w:tcPr>
            <w:tcW w:w="30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Cs w:val="21"/>
              </w:rPr>
            </w:pPr>
            <w:r>
              <w:rPr>
                <w:rFonts w:hint="eastAsia" w:ascii="黑体" w:hAnsi="黑体" w:eastAsia="黑体" w:cs="黑体"/>
                <w:kern w:val="0"/>
                <w:szCs w:val="21"/>
              </w:rPr>
              <w:t>检查依据</w:t>
            </w:r>
          </w:p>
        </w:tc>
        <w:tc>
          <w:tcPr>
            <w:tcW w:w="1154"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现状描述</w:t>
            </w:r>
          </w:p>
        </w:tc>
        <w:tc>
          <w:tcPr>
            <w:tcW w:w="1276"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存在问题</w:t>
            </w:r>
          </w:p>
        </w:tc>
        <w:tc>
          <w:tcPr>
            <w:tcW w:w="1256" w:type="dxa"/>
            <w:tcBorders>
              <w:top w:val="single" w:color="auto" w:sz="4" w:space="0"/>
              <w:left w:val="nil"/>
              <w:bottom w:val="single" w:color="auto" w:sz="4" w:space="0"/>
              <w:right w:val="single" w:color="auto" w:sz="4" w:space="0"/>
            </w:tcBorders>
            <w:vAlign w:val="center"/>
          </w:tcPr>
          <w:p>
            <w:pPr>
              <w:spacing w:line="560" w:lineRule="exact"/>
              <w:jc w:val="center"/>
              <w:textAlignment w:val="center"/>
              <w:rPr>
                <w:rFonts w:ascii="黑体" w:hAnsi="黑体" w:eastAsia="黑体" w:cs="黑体"/>
                <w:kern w:val="0"/>
                <w:szCs w:val="21"/>
              </w:rPr>
            </w:pPr>
            <w:r>
              <w:rPr>
                <w:rFonts w:hint="eastAsia" w:ascii="黑体" w:hAnsi="黑体" w:eastAsia="黑体" w:cs="黑体"/>
                <w:kern w:val="0"/>
                <w:szCs w:val="21"/>
              </w:rPr>
              <w:t>处置措施</w:t>
            </w: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1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安全准入条件管理</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建设项目的安全设施必须与主体工程同时设计、同时施工、同时投入使用。</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《中华人民共和国安全生产法》第三十一条。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建设项目安全设施设计未经审查批准，或者批准后做出重大变更后未经再次审批是否擅自组织施工。新建煤矿在建设期间是否组织采煤（经批准的联合试运转除外）。改扩建矿井在改扩建区域是否生产。改扩建矿井在非改扩建区域是否超出设计规定范围和规模生产的。 </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《煤矿重大事故隐患判定标准》（应急管理部令第4号）第十五条。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编制安全设施设计，经矿山安全监察机构审查同意。</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《煤矿建设项目安全设施监察规定》（原国家安全监管总局令第6号，第81号修改）第十五条。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12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已批准的煤矿建设项目安全设施设计需作重大变更的，经原审查机构审查同意。</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《煤矿建设项目安全设施监察规定》（原国家安全监管总局令第6号，第81号修改）第二十二条，第二十四条。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建设项目地质预报</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单项工程、单位工程开工前，施工单位必须根据建设单位提供的地质资料，编制承包工程范围内的地质预测报告，说明施工过程中可能遇到地质灾害因素及采取的预防措施。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《煤矿建设安全规范》（AQ1083-2011）5.2.1。</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在施工期间，施工单位应根据工程进度情况，适时编制单位工程地质预报，必须做到一工程一预报。</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《煤矿建设安全规范》（AQ1083-2011）5.2.2。</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施工至接近有预报的地质灾害区域时，施工单位的地测部门必须提前发出地质、水文地质通知单，并制定预防地质灾害因素的专项措施。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《煤矿建设安全规范》（AQ1083-2011）5.2.3。</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建设单位机构设置及人员配备</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煤矿建设单位必须设置安全生产管理机构，配备满足安全生产需要的专职安全生产管理人员和装备。煤矿施工项目部必须配备满足需要的工程技术人员和特种作业人员。</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《煤矿建设安全规范》（AQ1083-2011）4.4、4.5。</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建设项目应急管理</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煤矿建设单位必须有矿山救护队为其服务。煤矿建设单位及施工单位根据工程进展情况组织编制应急预案，成立应急救援领导小组，指定兼职应急救援人员，配备必要的救援器材、设备，保证正常运转。及时修订应急预案，每年必须至少组织1次救灾演习。  </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《煤矿建设安全规范》（AQ1083-2011）4.28、4.29。</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建设项目安全管理制度</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煤矿建设单位必须建立健全安全生产责任制度、安全目标管理制度、安全投入保障制度、安全教育与培训制度、事故隐患排查与整改制度、安全监督检查制度、安全技术审批制度、安全会议等制度。</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《煤矿建设安全规范》（AQ1083-2011）4.3。</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w:t>
            </w:r>
          </w:p>
        </w:tc>
        <w:tc>
          <w:tcPr>
            <w:tcW w:w="1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施工单位资质管理</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施工单位有工商登记、施工资质和安全生产许可证，施工资质与工程级别相符。</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《煤矿建设项目安全设施监察规定》（原国家安全监管总局令第6号，第81号修改）第二十三条；《煤矿建设安全规范》（AQ1083-2011）4.1。</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一个建设项目单项工程（或同类专业工程），原则上发包给1家有相应资质的施工单位，大型及以上项目单项工程（或同类专业工程）施工单位不得超过2家。煤矿建设项目由2家施工单位共同施工的，由建设单位负责组织制定和督促落实有关安全技术措施，并签订安全生产管理协议。</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《煤矿建设安全规范》（AQ1083-2011）4.2、4.8。</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13</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煤矿建设项目施工单位不得倒卖、出租、出借、挂靠或者以其他形式非法转让施工资质。</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《中华人民共和国安全生产法》第四十九条。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14</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施工单位资质管理</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煤矿建设项目施工单位不得将其承包的全部建设工程转包给第三人或者将其承包的全部建设工程支解以后以分包的名义分别转包给第三人，不得将工程分包给不具备相应资质条件的单位。</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《中华人民共和国安全生产法》第四十九条。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15</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施工单位机构设置及人员配备</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煤矿施工单位必须设置安全生产管理机构，配备满足安全生产需要的专职安全生产管理人员和装备。煤矿施工项目部必须配备满足需要的矿建、机电、通风、地测等工程技术人员和特种作业人员。</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《煤矿建设安全规范》（AQ1083-2011）4.4、4.5。</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16</w:t>
            </w:r>
          </w:p>
        </w:tc>
        <w:tc>
          <w:tcPr>
            <w:tcW w:w="1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施工组织</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单项工程施工组织设计按规定编制，并根据年度施工进展情况进行调整。施工组织设计需经设计、监理、施工等相关单位会审后组织实施，原设计变更的应作相应调整变更。</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《煤矿建设安全规范》（AQ1083-2011）4.11。</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17</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单位工程施工组织设计、作业规程、安全技术措施按规定编制、审批，批准后报送建设单位和监理单位；无上级主管单位的施工单位，报送建设单位批准实施。</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《煤矿建设安全规范》（AQ1083-2011）4.12。</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18</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当施工过程中发现设计存在重大缺陷，或者地质条件变化较大时，应立即停止施工并向建设单位报告。建设单位应及时组织相关各方制定应急安全防范措施，组织修改设计并按规定重新报批。</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《煤矿建设安全规范》（AQ1083-2011）4.13。</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19</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安全费用提取与使用</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建设工程施工企业以建筑安装工程造价为计提依据。矿山工程类别安全费用提取标准为3.5%。建设工程施工企业提取的安全费用列入工程造价，在竞标时，不得删减，列入标外管理。总包单位应当将安全费用按比例直接支付分包单位并监督使用，分包单位不再重复提取。</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《中华人民共和国安全生产法》第二十条；</w:t>
            </w:r>
            <w:r>
              <w:rPr>
                <w:rFonts w:hint="eastAsia" w:ascii="宋体" w:hAnsi="宋体" w:cs="宋体"/>
                <w:kern w:val="0"/>
              </w:rPr>
              <w:t>《企业安全生产费用提取和使用管理办法》（财资</w:t>
            </w:r>
            <w:r>
              <w:rPr>
                <w:rFonts w:ascii="宋体" w:hAnsi="宋体" w:cs="宋体"/>
                <w:kern w:val="0"/>
              </w:rPr>
              <w:t>[20</w:t>
            </w:r>
            <w:r>
              <w:rPr>
                <w:rFonts w:hint="eastAsia" w:ascii="宋体" w:hAnsi="宋体" w:cs="宋体"/>
                <w:kern w:val="0"/>
              </w:rPr>
              <w:t>2</w:t>
            </w:r>
            <w:r>
              <w:rPr>
                <w:rFonts w:ascii="宋体" w:hAnsi="宋体" w:cs="宋体"/>
                <w:kern w:val="0"/>
              </w:rPr>
              <w:t>2]1</w:t>
            </w:r>
            <w:r>
              <w:rPr>
                <w:rFonts w:hint="eastAsia" w:ascii="宋体" w:hAnsi="宋体" w:cs="宋体"/>
                <w:kern w:val="0"/>
              </w:rPr>
              <w:t>3</w:t>
            </w:r>
            <w:r>
              <w:rPr>
                <w:rFonts w:ascii="宋体" w:hAnsi="宋体" w:cs="宋体"/>
                <w:kern w:val="0"/>
              </w:rPr>
              <w:t>6</w:t>
            </w:r>
            <w:r>
              <w:rPr>
                <w:rFonts w:hint="eastAsia" w:ascii="宋体" w:hAnsi="宋体" w:cs="宋体"/>
                <w:kern w:val="0"/>
              </w:rPr>
              <w:t>号）</w:t>
            </w:r>
            <w:r>
              <w:rPr>
                <w:rFonts w:hint="eastAsia" w:ascii="宋体" w:hAnsi="宋体" w:cs="宋体"/>
                <w:kern w:val="0"/>
                <w:szCs w:val="21"/>
              </w:rPr>
              <w:t xml:space="preserve"> 第七条。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20</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监理单位资质</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监理单位的资质有效并与工程级别相符，现场监理人员执有效监理资格证书。人员配备能够满足工程监理需要。</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《煤矿建设安全规范》（AQ1083-2011）4.8。</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21</w:t>
            </w:r>
          </w:p>
        </w:tc>
        <w:tc>
          <w:tcPr>
            <w:tcW w:w="1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联合试运转</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竣工完成后，应当在正式投入生产或使用前进行联合试运转。联合试运转的时间一般为1-6个月，特殊情况需要延长的，总时长不得超过12个月。</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《煤矿建设项目安全设施监察规定》（原国家安全监管总局令第6号，第81号修改）第二十六条。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22</w:t>
            </w:r>
          </w:p>
        </w:tc>
        <w:tc>
          <w:tcPr>
            <w:tcW w:w="1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联合试运转正常后，进行安全验收评价。</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《煤矿建设项目安全设施监察规定》（原国家安全监管总局令第6号，第81号修改）第二十八条。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jc w:val="center"/>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23</w:t>
            </w:r>
          </w:p>
        </w:tc>
        <w:tc>
          <w:tcPr>
            <w:tcW w:w="1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安全设施与条件验收</w:t>
            </w:r>
          </w:p>
        </w:tc>
        <w:tc>
          <w:tcPr>
            <w:tcW w:w="53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煤矿建设项目的安全设施和安全条件验收应当由煤矿建设单位负责组织；未经验收合格的，不得投入生产和使用。</w:t>
            </w:r>
          </w:p>
        </w:tc>
        <w:tc>
          <w:tcPr>
            <w:tcW w:w="30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《煤矿建设项目安全设施监察规定》（原国家安全监管总局令第6号，第81号修改）第二十九条。</w:t>
            </w:r>
          </w:p>
        </w:tc>
        <w:tc>
          <w:tcPr>
            <w:tcW w:w="1154"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76" w:type="dxa"/>
            <w:tcBorders>
              <w:top w:val="nil"/>
              <w:left w:val="nil"/>
              <w:bottom w:val="single" w:color="auto" w:sz="4" w:space="0"/>
              <w:right w:val="single" w:color="auto" w:sz="4" w:space="0"/>
            </w:tcBorders>
          </w:tcPr>
          <w:p>
            <w:pPr>
              <w:widowControl/>
              <w:jc w:val="left"/>
              <w:rPr>
                <w:rFonts w:ascii="宋体" w:hAnsi="宋体" w:cs="宋体"/>
                <w:kern w:val="0"/>
                <w:szCs w:val="21"/>
              </w:rPr>
            </w:pPr>
          </w:p>
        </w:tc>
        <w:tc>
          <w:tcPr>
            <w:tcW w:w="1256" w:type="dxa"/>
            <w:tcBorders>
              <w:top w:val="nil"/>
              <w:left w:val="nil"/>
              <w:bottom w:val="single" w:color="auto" w:sz="4" w:space="0"/>
              <w:right w:val="single" w:color="auto" w:sz="4" w:space="0"/>
            </w:tcBorders>
          </w:tcPr>
          <w:p>
            <w:pPr>
              <w:widowControl/>
              <w:jc w:val="left"/>
              <w:rPr>
                <w:rFonts w:ascii="宋体" w:hAnsi="宋体" w:cs="宋体"/>
                <w:kern w:val="0"/>
                <w:szCs w:val="21"/>
              </w:rPr>
            </w:pPr>
          </w:p>
        </w:tc>
      </w:tr>
    </w:tbl>
    <w:p/>
    <w:p/>
    <w:p>
      <w:pPr>
        <w:spacing w:line="360" w:lineRule="auto"/>
        <w:rPr>
          <w:rFonts w:ascii="黑体" w:hAnsi="黑体" w:eastAsia="黑体" w:cs="宋体"/>
          <w:kern w:val="0"/>
          <w:sz w:val="28"/>
          <w:szCs w:val="21"/>
        </w:rPr>
      </w:pPr>
      <w:r>
        <w:rPr>
          <w:rFonts w:hint="eastAsia" w:ascii="黑体" w:hAnsi="黑体" w:eastAsia="黑体" w:cs="宋体"/>
          <w:kern w:val="0"/>
          <w:sz w:val="28"/>
          <w:szCs w:val="21"/>
        </w:rPr>
        <w:t>十</w:t>
      </w:r>
      <w:r>
        <w:rPr>
          <w:rFonts w:hint="eastAsia" w:ascii="黑体" w:hAnsi="黑体" w:eastAsia="黑体" w:cs="宋体"/>
          <w:kern w:val="0"/>
          <w:sz w:val="28"/>
          <w:szCs w:val="21"/>
          <w:lang w:val="en-US" w:eastAsia="zh-CN"/>
        </w:rPr>
        <w:t>四</w:t>
      </w:r>
      <w:r>
        <w:rPr>
          <w:rFonts w:hint="eastAsia" w:ascii="黑体" w:hAnsi="黑体" w:eastAsia="黑体" w:cs="宋体"/>
          <w:kern w:val="0"/>
          <w:sz w:val="28"/>
          <w:szCs w:val="21"/>
        </w:rPr>
        <w:t>、停工停产矿井单元（4）</w:t>
      </w:r>
    </w:p>
    <w:tbl>
      <w:tblPr>
        <w:tblStyle w:val="29"/>
        <w:tblW w:w="13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207"/>
        <w:gridCol w:w="5600"/>
        <w:gridCol w:w="2328"/>
        <w:gridCol w:w="1316"/>
        <w:gridCol w:w="1441"/>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blHeader/>
          <w:jc w:val="center"/>
        </w:trPr>
        <w:tc>
          <w:tcPr>
            <w:tcW w:w="669" w:type="dxa"/>
            <w:vAlign w:val="center"/>
          </w:tcPr>
          <w:p>
            <w:pPr>
              <w:jc w:val="center"/>
              <w:rPr>
                <w:rFonts w:ascii="黑体" w:hAnsi="黑体" w:eastAsia="黑体" w:cs="黑体"/>
                <w:szCs w:val="21"/>
              </w:rPr>
            </w:pPr>
            <w:r>
              <w:rPr>
                <w:rFonts w:hint="eastAsia" w:ascii="黑体" w:hAnsi="黑体" w:eastAsia="黑体" w:cs="黑体"/>
                <w:kern w:val="0"/>
                <w:szCs w:val="21"/>
              </w:rPr>
              <w:t>序号</w:t>
            </w:r>
          </w:p>
        </w:tc>
        <w:tc>
          <w:tcPr>
            <w:tcW w:w="1207" w:type="dxa"/>
            <w:vAlign w:val="center"/>
          </w:tcPr>
          <w:p>
            <w:pPr>
              <w:jc w:val="center"/>
              <w:rPr>
                <w:rFonts w:ascii="黑体" w:hAnsi="黑体" w:eastAsia="黑体" w:cs="黑体"/>
                <w:szCs w:val="21"/>
              </w:rPr>
            </w:pPr>
            <w:r>
              <w:rPr>
                <w:rFonts w:hint="eastAsia" w:ascii="黑体" w:hAnsi="黑体" w:eastAsia="黑体" w:cs="黑体"/>
                <w:kern w:val="0"/>
                <w:szCs w:val="21"/>
              </w:rPr>
              <w:t>检查项目</w:t>
            </w:r>
          </w:p>
        </w:tc>
        <w:tc>
          <w:tcPr>
            <w:tcW w:w="5600" w:type="dxa"/>
            <w:vAlign w:val="center"/>
          </w:tcPr>
          <w:p>
            <w:pPr>
              <w:jc w:val="center"/>
              <w:rPr>
                <w:rFonts w:ascii="黑体" w:hAnsi="黑体" w:eastAsia="黑体" w:cs="黑体"/>
                <w:szCs w:val="21"/>
              </w:rPr>
            </w:pPr>
            <w:r>
              <w:rPr>
                <w:rFonts w:hint="eastAsia" w:ascii="黑体" w:hAnsi="黑体" w:eastAsia="黑体" w:cs="黑体"/>
                <w:kern w:val="0"/>
                <w:szCs w:val="21"/>
              </w:rPr>
              <w:t>检查内容</w:t>
            </w:r>
          </w:p>
        </w:tc>
        <w:tc>
          <w:tcPr>
            <w:tcW w:w="2328" w:type="dxa"/>
            <w:vAlign w:val="center"/>
          </w:tcPr>
          <w:p>
            <w:pPr>
              <w:jc w:val="center"/>
              <w:rPr>
                <w:rFonts w:ascii="黑体" w:hAnsi="黑体" w:eastAsia="黑体" w:cs="黑体"/>
                <w:szCs w:val="21"/>
              </w:rPr>
            </w:pPr>
            <w:r>
              <w:rPr>
                <w:rFonts w:hint="eastAsia" w:ascii="黑体" w:hAnsi="黑体" w:eastAsia="黑体" w:cs="黑体"/>
                <w:kern w:val="0"/>
                <w:szCs w:val="21"/>
              </w:rPr>
              <w:t>检查依据</w:t>
            </w:r>
          </w:p>
        </w:tc>
        <w:tc>
          <w:tcPr>
            <w:tcW w:w="1316" w:type="dxa"/>
            <w:vAlign w:val="center"/>
          </w:tcPr>
          <w:p>
            <w:pPr>
              <w:jc w:val="center"/>
              <w:rPr>
                <w:rFonts w:ascii="黑体" w:hAnsi="黑体" w:eastAsia="黑体" w:cs="黑体"/>
                <w:szCs w:val="21"/>
              </w:rPr>
            </w:pPr>
            <w:r>
              <w:rPr>
                <w:rFonts w:hint="eastAsia" w:ascii="黑体" w:hAnsi="黑体" w:eastAsia="黑体" w:cs="黑体"/>
                <w:kern w:val="0"/>
                <w:szCs w:val="21"/>
              </w:rPr>
              <w:t>现状描述</w:t>
            </w:r>
          </w:p>
        </w:tc>
        <w:tc>
          <w:tcPr>
            <w:tcW w:w="1441" w:type="dxa"/>
            <w:vAlign w:val="center"/>
          </w:tcPr>
          <w:p>
            <w:pPr>
              <w:jc w:val="center"/>
              <w:rPr>
                <w:rFonts w:ascii="黑体" w:hAnsi="黑体" w:eastAsia="黑体" w:cs="黑体"/>
                <w:kern w:val="0"/>
                <w:szCs w:val="21"/>
              </w:rPr>
            </w:pPr>
            <w:r>
              <w:rPr>
                <w:rFonts w:hint="eastAsia" w:ascii="黑体" w:hAnsi="黑体" w:eastAsia="黑体" w:cs="黑体"/>
                <w:kern w:val="0"/>
                <w:szCs w:val="21"/>
              </w:rPr>
              <w:t>存在问题</w:t>
            </w:r>
          </w:p>
        </w:tc>
        <w:tc>
          <w:tcPr>
            <w:tcW w:w="1210" w:type="dxa"/>
            <w:vAlign w:val="center"/>
          </w:tcPr>
          <w:p>
            <w:pPr>
              <w:jc w:val="center"/>
              <w:rPr>
                <w:rFonts w:ascii="黑体" w:hAnsi="黑体" w:eastAsia="黑体" w:cs="黑体"/>
                <w:kern w:val="0"/>
                <w:szCs w:val="21"/>
              </w:rPr>
            </w:pPr>
            <w:r>
              <w:rPr>
                <w:rFonts w:hint="eastAsia" w:ascii="黑体" w:hAnsi="黑体" w:eastAsia="黑体" w:cs="黑体"/>
                <w:kern w:val="0"/>
                <w:szCs w:val="21"/>
              </w:rPr>
              <w:t>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9" w:type="dxa"/>
            <w:vAlign w:val="center"/>
          </w:tcPr>
          <w:p>
            <w:pPr>
              <w:jc w:val="center"/>
              <w:rPr>
                <w:rFonts w:ascii="宋体" w:hAnsi="宋体" w:cs="宋体"/>
              </w:rPr>
            </w:pPr>
            <w:r>
              <w:rPr>
                <w:rFonts w:ascii="宋体" w:hAnsi="宋体" w:cs="宋体"/>
              </w:rPr>
              <w:t>1</w:t>
            </w:r>
          </w:p>
        </w:tc>
        <w:tc>
          <w:tcPr>
            <w:tcW w:w="1207" w:type="dxa"/>
            <w:vMerge w:val="restart"/>
            <w:vAlign w:val="center"/>
          </w:tcPr>
          <w:p>
            <w:pPr>
              <w:jc w:val="left"/>
              <w:rPr>
                <w:rFonts w:ascii="宋体" w:cs="宋体"/>
                <w:kern w:val="0"/>
              </w:rPr>
            </w:pPr>
            <w:r>
              <w:rPr>
                <w:rFonts w:hint="eastAsia" w:ascii="宋体" w:hAnsi="宋体" w:cs="宋体"/>
                <w:kern w:val="0"/>
              </w:rPr>
              <w:t>严格监管</w:t>
            </w:r>
          </w:p>
        </w:tc>
        <w:tc>
          <w:tcPr>
            <w:tcW w:w="5600" w:type="dxa"/>
            <w:vAlign w:val="center"/>
          </w:tcPr>
          <w:p>
            <w:pPr>
              <w:jc w:val="left"/>
              <w:rPr>
                <w:rFonts w:ascii="宋体" w:cs="宋体"/>
              </w:rPr>
            </w:pPr>
            <w:r>
              <w:rPr>
                <w:rFonts w:hint="eastAsia" w:ascii="宋体" w:hAnsi="宋体" w:cs="宋体"/>
                <w:kern w:val="0"/>
              </w:rPr>
              <w:t>是否采取停止或限制供电，停止供应火工品等措施。</w:t>
            </w:r>
          </w:p>
        </w:tc>
        <w:tc>
          <w:tcPr>
            <w:tcW w:w="2328" w:type="dxa"/>
            <w:vMerge w:val="restart"/>
            <w:vAlign w:val="center"/>
          </w:tcPr>
          <w:p>
            <w:pPr>
              <w:jc w:val="left"/>
              <w:rPr>
                <w:rFonts w:ascii="宋体" w:cs="宋体"/>
              </w:rPr>
            </w:pPr>
            <w:r>
              <w:rPr>
                <w:rFonts w:hint="eastAsia" w:ascii="宋体" w:hAnsi="宋体" w:cs="宋体"/>
                <w:kern w:val="0"/>
              </w:rPr>
              <w:t>《国家矿山安全监察局关于进一步压实矿山安全监管监察责任切实消除监管盲区的通知》（矿安</w:t>
            </w:r>
            <w:r>
              <w:rPr>
                <w:rFonts w:hint="eastAsia" w:ascii="宋体" w:hAnsi="宋体" w:cs="宋体"/>
                <w:kern w:val="0"/>
                <w:szCs w:val="21"/>
              </w:rPr>
              <w:t>〔2021〕</w:t>
            </w:r>
            <w:r>
              <w:rPr>
                <w:rFonts w:hint="eastAsia" w:ascii="宋体" w:hAnsi="宋体" w:cs="宋体"/>
                <w:kern w:val="0"/>
              </w:rPr>
              <w:t>50号）。</w:t>
            </w:r>
          </w:p>
        </w:tc>
        <w:tc>
          <w:tcPr>
            <w:tcW w:w="1316" w:type="dxa"/>
            <w:vAlign w:val="center"/>
          </w:tcPr>
          <w:p>
            <w:pPr>
              <w:jc w:val="left"/>
              <w:rPr>
                <w:rFonts w:ascii="宋体" w:cs="宋体"/>
              </w:rPr>
            </w:pPr>
          </w:p>
        </w:tc>
        <w:tc>
          <w:tcPr>
            <w:tcW w:w="1441" w:type="dxa"/>
            <w:vAlign w:val="center"/>
          </w:tcPr>
          <w:p>
            <w:pPr>
              <w:jc w:val="left"/>
              <w:rPr>
                <w:rFonts w:ascii="宋体" w:cs="宋体"/>
              </w:rPr>
            </w:pPr>
          </w:p>
        </w:tc>
        <w:tc>
          <w:tcPr>
            <w:tcW w:w="1210" w:type="dxa"/>
            <w:vAlign w:val="center"/>
          </w:tcPr>
          <w:p>
            <w:pPr>
              <w:jc w:val="lef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9" w:type="dxa"/>
            <w:vAlign w:val="center"/>
          </w:tcPr>
          <w:p>
            <w:pPr>
              <w:jc w:val="center"/>
              <w:rPr>
                <w:rFonts w:ascii="宋体" w:hAnsi="宋体" w:cs="宋体"/>
              </w:rPr>
            </w:pPr>
            <w:r>
              <w:rPr>
                <w:rFonts w:hint="eastAsia" w:ascii="宋体" w:hAnsi="宋体" w:cs="宋体"/>
              </w:rPr>
              <w:t>2</w:t>
            </w:r>
          </w:p>
        </w:tc>
        <w:tc>
          <w:tcPr>
            <w:tcW w:w="1207" w:type="dxa"/>
            <w:vMerge w:val="continue"/>
            <w:vAlign w:val="center"/>
          </w:tcPr>
          <w:p>
            <w:pPr>
              <w:jc w:val="left"/>
              <w:rPr>
                <w:rFonts w:ascii="宋体" w:hAnsi="宋体" w:cs="宋体"/>
              </w:rPr>
            </w:pPr>
          </w:p>
        </w:tc>
        <w:tc>
          <w:tcPr>
            <w:tcW w:w="5600" w:type="dxa"/>
            <w:vAlign w:val="center"/>
          </w:tcPr>
          <w:p>
            <w:pPr>
              <w:jc w:val="left"/>
              <w:rPr>
                <w:rFonts w:ascii="宋体" w:cs="宋体"/>
              </w:rPr>
            </w:pPr>
            <w:r>
              <w:rPr>
                <w:rFonts w:hint="eastAsia" w:ascii="宋体" w:hAnsi="宋体" w:cs="宋体"/>
              </w:rPr>
              <w:t>是否明确停产停工监管部门责任。</w:t>
            </w:r>
          </w:p>
        </w:tc>
        <w:tc>
          <w:tcPr>
            <w:tcW w:w="2328" w:type="dxa"/>
            <w:vMerge w:val="continue"/>
            <w:vAlign w:val="center"/>
          </w:tcPr>
          <w:p>
            <w:pPr>
              <w:jc w:val="left"/>
              <w:rPr>
                <w:rFonts w:ascii="宋体" w:cs="宋体"/>
              </w:rPr>
            </w:pPr>
          </w:p>
        </w:tc>
        <w:tc>
          <w:tcPr>
            <w:tcW w:w="1316" w:type="dxa"/>
            <w:vAlign w:val="center"/>
          </w:tcPr>
          <w:p>
            <w:pPr>
              <w:jc w:val="left"/>
              <w:rPr>
                <w:rFonts w:ascii="宋体" w:cs="宋体"/>
              </w:rPr>
            </w:pPr>
          </w:p>
        </w:tc>
        <w:tc>
          <w:tcPr>
            <w:tcW w:w="1441" w:type="dxa"/>
            <w:vAlign w:val="center"/>
          </w:tcPr>
          <w:p>
            <w:pPr>
              <w:jc w:val="left"/>
              <w:rPr>
                <w:rFonts w:ascii="宋体" w:cs="宋体"/>
              </w:rPr>
            </w:pPr>
          </w:p>
        </w:tc>
        <w:tc>
          <w:tcPr>
            <w:tcW w:w="1210" w:type="dxa"/>
            <w:vAlign w:val="center"/>
          </w:tcPr>
          <w:p>
            <w:pPr>
              <w:jc w:val="lef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9" w:type="dxa"/>
            <w:vAlign w:val="center"/>
          </w:tcPr>
          <w:p>
            <w:pPr>
              <w:jc w:val="center"/>
              <w:rPr>
                <w:rFonts w:ascii="宋体" w:hAnsi="宋体" w:cs="宋体"/>
              </w:rPr>
            </w:pPr>
            <w:r>
              <w:rPr>
                <w:rFonts w:hint="eastAsia" w:ascii="宋体" w:hAnsi="宋体" w:cs="宋体"/>
              </w:rPr>
              <w:t>3</w:t>
            </w:r>
          </w:p>
        </w:tc>
        <w:tc>
          <w:tcPr>
            <w:tcW w:w="1207" w:type="dxa"/>
            <w:vMerge w:val="continue"/>
            <w:vAlign w:val="center"/>
          </w:tcPr>
          <w:p>
            <w:pPr>
              <w:jc w:val="left"/>
              <w:rPr>
                <w:rFonts w:ascii="宋体" w:hAnsi="宋体" w:cs="宋体"/>
              </w:rPr>
            </w:pPr>
          </w:p>
        </w:tc>
        <w:tc>
          <w:tcPr>
            <w:tcW w:w="5600" w:type="dxa"/>
            <w:vAlign w:val="center"/>
          </w:tcPr>
          <w:p>
            <w:pPr>
              <w:jc w:val="left"/>
              <w:rPr>
                <w:rFonts w:ascii="宋体" w:cs="宋体"/>
              </w:rPr>
            </w:pPr>
            <w:r>
              <w:rPr>
                <w:rFonts w:hint="eastAsia" w:ascii="宋体" w:hAnsi="宋体" w:cs="宋体"/>
              </w:rPr>
              <w:t>是否落实驻矿盯守或定期巡查人员。</w:t>
            </w:r>
          </w:p>
        </w:tc>
        <w:tc>
          <w:tcPr>
            <w:tcW w:w="2328" w:type="dxa"/>
            <w:vMerge w:val="continue"/>
            <w:vAlign w:val="center"/>
          </w:tcPr>
          <w:p>
            <w:pPr>
              <w:jc w:val="left"/>
              <w:rPr>
                <w:rFonts w:ascii="宋体" w:cs="宋体"/>
              </w:rPr>
            </w:pPr>
          </w:p>
        </w:tc>
        <w:tc>
          <w:tcPr>
            <w:tcW w:w="1316" w:type="dxa"/>
            <w:vAlign w:val="center"/>
          </w:tcPr>
          <w:p>
            <w:pPr>
              <w:jc w:val="left"/>
              <w:rPr>
                <w:rFonts w:ascii="宋体" w:cs="宋体"/>
              </w:rPr>
            </w:pPr>
          </w:p>
        </w:tc>
        <w:tc>
          <w:tcPr>
            <w:tcW w:w="1441" w:type="dxa"/>
            <w:vAlign w:val="center"/>
          </w:tcPr>
          <w:p>
            <w:pPr>
              <w:jc w:val="left"/>
              <w:rPr>
                <w:rFonts w:ascii="宋体" w:cs="宋体"/>
              </w:rPr>
            </w:pPr>
          </w:p>
        </w:tc>
        <w:tc>
          <w:tcPr>
            <w:tcW w:w="1210" w:type="dxa"/>
            <w:vAlign w:val="center"/>
          </w:tcPr>
          <w:p>
            <w:pPr>
              <w:jc w:val="lef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9" w:type="dxa"/>
            <w:vAlign w:val="center"/>
          </w:tcPr>
          <w:p>
            <w:pPr>
              <w:jc w:val="center"/>
              <w:rPr>
                <w:rFonts w:ascii="宋体" w:hAnsi="宋体" w:cs="宋体"/>
              </w:rPr>
            </w:pPr>
            <w:r>
              <w:rPr>
                <w:rFonts w:hint="eastAsia" w:ascii="宋体" w:hAnsi="宋体" w:cs="宋体"/>
              </w:rPr>
              <w:t>4</w:t>
            </w:r>
          </w:p>
        </w:tc>
        <w:tc>
          <w:tcPr>
            <w:tcW w:w="1207" w:type="dxa"/>
            <w:vAlign w:val="center"/>
          </w:tcPr>
          <w:p>
            <w:pPr>
              <w:jc w:val="left"/>
              <w:rPr>
                <w:rFonts w:ascii="宋体" w:cs="宋体"/>
              </w:rPr>
            </w:pPr>
            <w:r>
              <w:rPr>
                <w:rFonts w:hint="eastAsia" w:ascii="宋体" w:hAnsi="宋体" w:cs="宋体"/>
              </w:rPr>
              <w:t>责任落实</w:t>
            </w:r>
          </w:p>
        </w:tc>
        <w:tc>
          <w:tcPr>
            <w:tcW w:w="5600" w:type="dxa"/>
            <w:vAlign w:val="center"/>
          </w:tcPr>
          <w:p>
            <w:pPr>
              <w:jc w:val="left"/>
              <w:rPr>
                <w:rFonts w:ascii="宋体" w:cs="宋体"/>
                <w:kern w:val="0"/>
              </w:rPr>
            </w:pPr>
            <w:r>
              <w:rPr>
                <w:rFonts w:hint="eastAsia" w:ascii="宋体" w:hAnsi="宋体" w:cs="宋体"/>
                <w:kern w:val="0"/>
              </w:rPr>
              <w:t>是否存在未经验收批准擅自复工复产、明停暗开等违法违规行为。</w:t>
            </w:r>
          </w:p>
        </w:tc>
        <w:tc>
          <w:tcPr>
            <w:tcW w:w="2328" w:type="dxa"/>
            <w:vAlign w:val="center"/>
          </w:tcPr>
          <w:p>
            <w:pPr>
              <w:jc w:val="left"/>
              <w:rPr>
                <w:rFonts w:ascii="宋体" w:cs="宋体"/>
                <w:kern w:val="0"/>
              </w:rPr>
            </w:pPr>
          </w:p>
        </w:tc>
        <w:tc>
          <w:tcPr>
            <w:tcW w:w="1316" w:type="dxa"/>
            <w:vAlign w:val="center"/>
          </w:tcPr>
          <w:p>
            <w:pPr>
              <w:jc w:val="left"/>
              <w:rPr>
                <w:rFonts w:ascii="宋体" w:cs="宋体"/>
              </w:rPr>
            </w:pPr>
          </w:p>
        </w:tc>
        <w:tc>
          <w:tcPr>
            <w:tcW w:w="1441" w:type="dxa"/>
            <w:vAlign w:val="center"/>
          </w:tcPr>
          <w:p>
            <w:pPr>
              <w:jc w:val="left"/>
              <w:rPr>
                <w:rFonts w:ascii="宋体" w:cs="宋体"/>
              </w:rPr>
            </w:pPr>
          </w:p>
        </w:tc>
        <w:tc>
          <w:tcPr>
            <w:tcW w:w="1210" w:type="dxa"/>
            <w:vAlign w:val="center"/>
          </w:tcPr>
          <w:p>
            <w:pPr>
              <w:jc w:val="left"/>
              <w:rPr>
                <w:rFonts w:ascii="宋体" w:cs="宋体"/>
              </w:rPr>
            </w:pPr>
          </w:p>
        </w:tc>
      </w:tr>
    </w:tbl>
    <w:p/>
    <w:p/>
    <w:p>
      <w:pPr>
        <w:spacing w:line="360" w:lineRule="auto"/>
        <w:rPr>
          <w:rFonts w:ascii="黑体" w:hAnsi="黑体" w:eastAsia="黑体" w:cs="宋体"/>
          <w:kern w:val="0"/>
          <w:sz w:val="28"/>
          <w:szCs w:val="21"/>
        </w:rPr>
      </w:pPr>
      <w:r>
        <w:rPr>
          <w:rFonts w:hint="eastAsia" w:ascii="黑体" w:hAnsi="黑体" w:eastAsia="黑体" w:cs="宋体"/>
          <w:kern w:val="0"/>
          <w:sz w:val="28"/>
          <w:szCs w:val="21"/>
        </w:rPr>
        <w:t>十</w:t>
      </w:r>
      <w:r>
        <w:rPr>
          <w:rFonts w:hint="eastAsia" w:ascii="黑体" w:hAnsi="黑体" w:eastAsia="黑体" w:cs="宋体"/>
          <w:kern w:val="0"/>
          <w:sz w:val="28"/>
          <w:szCs w:val="21"/>
          <w:lang w:val="en-US" w:eastAsia="zh-CN"/>
        </w:rPr>
        <w:t>五</w:t>
      </w:r>
      <w:r>
        <w:rPr>
          <w:rFonts w:hint="eastAsia" w:ascii="黑体" w:hAnsi="黑体" w:eastAsia="黑体" w:cs="宋体"/>
          <w:kern w:val="0"/>
          <w:sz w:val="28"/>
          <w:szCs w:val="21"/>
        </w:rPr>
        <w:t>、井工转露天单元（9）</w:t>
      </w:r>
    </w:p>
    <w:tbl>
      <w:tblPr>
        <w:tblStyle w:val="29"/>
        <w:tblW w:w="13745" w:type="dxa"/>
        <w:jc w:val="center"/>
        <w:tblInd w:w="0" w:type="dxa"/>
        <w:tblLayout w:type="fixed"/>
        <w:tblCellMar>
          <w:top w:w="0" w:type="dxa"/>
          <w:left w:w="0" w:type="dxa"/>
          <w:bottom w:w="0" w:type="dxa"/>
          <w:right w:w="0" w:type="dxa"/>
        </w:tblCellMar>
      </w:tblPr>
      <w:tblGrid>
        <w:gridCol w:w="972"/>
        <w:gridCol w:w="6075"/>
        <w:gridCol w:w="2729"/>
        <w:gridCol w:w="1351"/>
        <w:gridCol w:w="1427"/>
        <w:gridCol w:w="1191"/>
      </w:tblGrid>
      <w:tr>
        <w:tblPrEx>
          <w:tblLayout w:type="fixed"/>
          <w:tblCellMar>
            <w:top w:w="0" w:type="dxa"/>
            <w:left w:w="0" w:type="dxa"/>
            <w:bottom w:w="0" w:type="dxa"/>
            <w:right w:w="0" w:type="dxa"/>
          </w:tblCellMar>
        </w:tblPrEx>
        <w:trPr>
          <w:trHeight w:val="473" w:hRule="atLeast"/>
          <w:tblHeader/>
          <w:jc w:val="center"/>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黑体" w:hAnsi="黑体" w:eastAsia="黑体" w:cs="黑体"/>
                <w:bCs/>
                <w:kern w:val="0"/>
                <w:szCs w:val="21"/>
              </w:rPr>
            </w:pPr>
            <w:r>
              <w:rPr>
                <w:rFonts w:hint="eastAsia" w:ascii="黑体" w:hAnsi="黑体" w:eastAsia="黑体" w:cs="黑体"/>
                <w:bCs/>
                <w:kern w:val="0"/>
                <w:szCs w:val="21"/>
              </w:rPr>
              <w:t>序号</w:t>
            </w:r>
          </w:p>
        </w:tc>
        <w:tc>
          <w:tcPr>
            <w:tcW w:w="6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黑体" w:hAnsi="黑体" w:eastAsia="黑体" w:cs="黑体"/>
                <w:bCs/>
                <w:kern w:val="0"/>
                <w:szCs w:val="21"/>
              </w:rPr>
            </w:pPr>
            <w:r>
              <w:rPr>
                <w:rFonts w:hint="eastAsia" w:ascii="黑体" w:hAnsi="黑体" w:eastAsia="黑体" w:cs="黑体"/>
                <w:bCs/>
                <w:kern w:val="0"/>
                <w:szCs w:val="21"/>
              </w:rPr>
              <w:t>检查内容</w:t>
            </w:r>
          </w:p>
        </w:tc>
        <w:tc>
          <w:tcPr>
            <w:tcW w:w="2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黑体" w:hAnsi="黑体" w:eastAsia="黑体" w:cs="黑体"/>
                <w:bCs/>
                <w:szCs w:val="21"/>
              </w:rPr>
            </w:pPr>
            <w:r>
              <w:rPr>
                <w:rFonts w:hint="eastAsia" w:ascii="黑体" w:hAnsi="黑体" w:eastAsia="黑体" w:cs="黑体"/>
                <w:bCs/>
                <w:kern w:val="0"/>
                <w:szCs w:val="21"/>
              </w:rPr>
              <w:t>检查依据</w:t>
            </w:r>
          </w:p>
        </w:tc>
        <w:tc>
          <w:tcPr>
            <w:tcW w:w="13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黑体" w:hAnsi="黑体" w:eastAsia="黑体" w:cs="黑体"/>
                <w:bCs/>
                <w:kern w:val="0"/>
                <w:szCs w:val="21"/>
              </w:rPr>
            </w:pPr>
            <w:r>
              <w:rPr>
                <w:rFonts w:hint="eastAsia" w:ascii="黑体" w:hAnsi="黑体" w:eastAsia="黑体" w:cs="黑体"/>
                <w:bCs/>
                <w:kern w:val="0"/>
                <w:szCs w:val="21"/>
              </w:rPr>
              <w:t>现状描述</w:t>
            </w:r>
          </w:p>
        </w:tc>
        <w:tc>
          <w:tcPr>
            <w:tcW w:w="1427"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Cs/>
                <w:kern w:val="0"/>
                <w:szCs w:val="21"/>
              </w:rPr>
            </w:pPr>
            <w:r>
              <w:rPr>
                <w:rFonts w:hint="eastAsia" w:ascii="黑体" w:hAnsi="黑体" w:eastAsia="黑体" w:cs="黑体"/>
                <w:bCs/>
                <w:kern w:val="0"/>
                <w:szCs w:val="21"/>
              </w:rPr>
              <w:t>存在问题</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黑体"/>
                <w:bCs/>
                <w:kern w:val="0"/>
                <w:szCs w:val="21"/>
              </w:rPr>
            </w:pPr>
            <w:r>
              <w:rPr>
                <w:rFonts w:hint="eastAsia" w:ascii="黑体" w:hAnsi="黑体" w:eastAsia="黑体" w:cs="黑体"/>
                <w:bCs/>
                <w:kern w:val="0"/>
                <w:szCs w:val="21"/>
              </w:rPr>
              <w:t>处置措施</w:t>
            </w:r>
          </w:p>
        </w:tc>
      </w:tr>
      <w:tr>
        <w:tblPrEx>
          <w:tblLayout w:type="fixed"/>
          <w:tblCellMar>
            <w:top w:w="0" w:type="dxa"/>
            <w:left w:w="0" w:type="dxa"/>
            <w:bottom w:w="0" w:type="dxa"/>
            <w:right w:w="0" w:type="dxa"/>
          </w:tblCellMar>
        </w:tblPrEx>
        <w:trPr>
          <w:jc w:val="center"/>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1</w:t>
            </w:r>
          </w:p>
        </w:tc>
        <w:tc>
          <w:tcPr>
            <w:tcW w:w="6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cs="宋体" w:asciiTheme="minorEastAsia" w:hAnsiTheme="minorEastAsia"/>
                <w:kern w:val="0"/>
                <w:szCs w:val="21"/>
              </w:rPr>
            </w:pPr>
            <w:r>
              <w:rPr>
                <w:rFonts w:hint="eastAsia" w:cs="宋体" w:asciiTheme="minorEastAsia" w:hAnsiTheme="minorEastAsia"/>
                <w:kern w:val="0"/>
                <w:szCs w:val="21"/>
              </w:rPr>
              <w:t>安全生产手续不齐违规组织生产建设，以灾害治理、生态恢复治理等名义盗采矿产资源。</w:t>
            </w:r>
          </w:p>
        </w:tc>
        <w:tc>
          <w:tcPr>
            <w:tcW w:w="2729"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rPr>
                <w:rFonts w:cs="宋体" w:asciiTheme="minorEastAsia" w:hAnsiTheme="minorEastAsia"/>
                <w:kern w:val="0"/>
                <w:szCs w:val="21"/>
              </w:rPr>
            </w:pPr>
            <w:r>
              <w:rPr>
                <w:rFonts w:hint="eastAsia" w:cs="宋体" w:asciiTheme="minorEastAsia" w:hAnsiTheme="minorEastAsia"/>
                <w:kern w:val="0"/>
                <w:szCs w:val="21"/>
              </w:rPr>
              <w:t>《国家矿山安全监察局关于开展露天矿山安全生产专项整治的通知》（矿安</w:t>
            </w:r>
            <w:r>
              <w:rPr>
                <w:rFonts w:hint="eastAsia" w:ascii="宋体" w:hAnsi="宋体" w:cs="宋体"/>
                <w:kern w:val="0"/>
                <w:szCs w:val="21"/>
              </w:rPr>
              <w:t>〔2023〕</w:t>
            </w:r>
            <w:r>
              <w:rPr>
                <w:rFonts w:hint="eastAsia" w:cs="宋体" w:asciiTheme="minorEastAsia" w:hAnsiTheme="minorEastAsia"/>
                <w:kern w:val="0"/>
                <w:szCs w:val="21"/>
              </w:rPr>
              <w:t>16号）。</w:t>
            </w:r>
          </w:p>
        </w:tc>
        <w:tc>
          <w:tcPr>
            <w:tcW w:w="13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b/>
                <w:bCs/>
                <w:kern w:val="0"/>
              </w:rPr>
            </w:pPr>
          </w:p>
        </w:tc>
        <w:tc>
          <w:tcPr>
            <w:tcW w:w="14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kern w:val="0"/>
              </w:rPr>
            </w:pPr>
          </w:p>
        </w:tc>
        <w:tc>
          <w:tcPr>
            <w:tcW w:w="119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kern w:val="0"/>
              </w:rPr>
            </w:pPr>
          </w:p>
        </w:tc>
      </w:tr>
      <w:tr>
        <w:tblPrEx>
          <w:tblLayout w:type="fixed"/>
          <w:tblCellMar>
            <w:top w:w="0" w:type="dxa"/>
            <w:left w:w="0" w:type="dxa"/>
            <w:bottom w:w="0" w:type="dxa"/>
            <w:right w:w="0" w:type="dxa"/>
          </w:tblCellMar>
        </w:tblPrEx>
        <w:trPr>
          <w:jc w:val="center"/>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2</w:t>
            </w:r>
          </w:p>
        </w:tc>
        <w:tc>
          <w:tcPr>
            <w:tcW w:w="6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cs="宋体" w:asciiTheme="minorEastAsia" w:hAnsiTheme="minorEastAsia"/>
                <w:kern w:val="0"/>
                <w:szCs w:val="21"/>
              </w:rPr>
            </w:pPr>
            <w:r>
              <w:rPr>
                <w:rFonts w:hint="eastAsia" w:cs="宋体" w:asciiTheme="minorEastAsia" w:hAnsiTheme="minorEastAsia"/>
                <w:kern w:val="0"/>
                <w:szCs w:val="21"/>
              </w:rPr>
              <w:t>是否按照规定配备安全管理人员、专职技术人员和特种作业人员，存在“草台班子”“挂名矿长”。</w:t>
            </w:r>
          </w:p>
        </w:tc>
        <w:tc>
          <w:tcPr>
            <w:tcW w:w="2729" w:type="dxa"/>
            <w:vMerge w:val="continue"/>
            <w:tcBorders>
              <w:left w:val="single" w:color="000000" w:sz="4" w:space="0"/>
              <w:right w:val="single" w:color="000000" w:sz="4" w:space="0"/>
            </w:tcBorders>
            <w:tcMar>
              <w:top w:w="12" w:type="dxa"/>
              <w:left w:w="12" w:type="dxa"/>
              <w:right w:w="12" w:type="dxa"/>
            </w:tcMar>
            <w:vAlign w:val="center"/>
          </w:tcPr>
          <w:p>
            <w:pPr>
              <w:rPr>
                <w:rFonts w:cs="宋体" w:asciiTheme="minorEastAsia" w:hAnsiTheme="minorEastAsia"/>
                <w:b/>
                <w:kern w:val="0"/>
                <w:szCs w:val="21"/>
              </w:rPr>
            </w:pPr>
          </w:p>
        </w:tc>
        <w:tc>
          <w:tcPr>
            <w:tcW w:w="13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b/>
                <w:bCs/>
                <w:kern w:val="0"/>
              </w:rPr>
            </w:pPr>
          </w:p>
        </w:tc>
        <w:tc>
          <w:tcPr>
            <w:tcW w:w="14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kern w:val="0"/>
              </w:rPr>
            </w:pPr>
          </w:p>
        </w:tc>
        <w:tc>
          <w:tcPr>
            <w:tcW w:w="119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kern w:val="0"/>
              </w:rPr>
            </w:pPr>
          </w:p>
        </w:tc>
      </w:tr>
      <w:tr>
        <w:tblPrEx>
          <w:tblLayout w:type="fixed"/>
          <w:tblCellMar>
            <w:top w:w="0" w:type="dxa"/>
            <w:left w:w="0" w:type="dxa"/>
            <w:bottom w:w="0" w:type="dxa"/>
            <w:right w:w="0" w:type="dxa"/>
          </w:tblCellMar>
        </w:tblPrEx>
        <w:trPr>
          <w:jc w:val="center"/>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3</w:t>
            </w:r>
          </w:p>
        </w:tc>
        <w:tc>
          <w:tcPr>
            <w:tcW w:w="6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cs="宋体" w:asciiTheme="minorEastAsia" w:hAnsiTheme="minorEastAsia"/>
                <w:kern w:val="0"/>
                <w:szCs w:val="21"/>
              </w:rPr>
            </w:pPr>
            <w:r>
              <w:rPr>
                <w:rFonts w:hint="eastAsia" w:cs="宋体" w:asciiTheme="minorEastAsia" w:hAnsiTheme="minorEastAsia"/>
                <w:kern w:val="0"/>
                <w:szCs w:val="21"/>
              </w:rPr>
              <w:t>是否按要求编制应急救援预案,开展应急演练。</w:t>
            </w:r>
          </w:p>
        </w:tc>
        <w:tc>
          <w:tcPr>
            <w:tcW w:w="2729" w:type="dxa"/>
            <w:vMerge w:val="continue"/>
            <w:tcBorders>
              <w:left w:val="single" w:color="000000" w:sz="4" w:space="0"/>
              <w:right w:val="single" w:color="000000" w:sz="4" w:space="0"/>
            </w:tcBorders>
            <w:tcMar>
              <w:top w:w="12" w:type="dxa"/>
              <w:left w:w="12" w:type="dxa"/>
              <w:right w:w="12" w:type="dxa"/>
            </w:tcMar>
            <w:vAlign w:val="center"/>
          </w:tcPr>
          <w:p>
            <w:pPr>
              <w:rPr>
                <w:rFonts w:cs="宋体" w:asciiTheme="minorEastAsia" w:hAnsiTheme="minorEastAsia"/>
                <w:b/>
                <w:kern w:val="0"/>
                <w:szCs w:val="21"/>
              </w:rPr>
            </w:pPr>
          </w:p>
        </w:tc>
        <w:tc>
          <w:tcPr>
            <w:tcW w:w="13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b/>
                <w:bCs/>
                <w:kern w:val="0"/>
              </w:rPr>
            </w:pPr>
          </w:p>
        </w:tc>
        <w:tc>
          <w:tcPr>
            <w:tcW w:w="14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kern w:val="0"/>
              </w:rPr>
            </w:pPr>
          </w:p>
        </w:tc>
        <w:tc>
          <w:tcPr>
            <w:tcW w:w="119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kern w:val="0"/>
              </w:rPr>
            </w:pPr>
          </w:p>
        </w:tc>
      </w:tr>
      <w:tr>
        <w:tblPrEx>
          <w:tblLayout w:type="fixed"/>
          <w:tblCellMar>
            <w:top w:w="0" w:type="dxa"/>
            <w:left w:w="0" w:type="dxa"/>
            <w:bottom w:w="0" w:type="dxa"/>
            <w:right w:w="0" w:type="dxa"/>
          </w:tblCellMar>
        </w:tblPrEx>
        <w:trPr>
          <w:jc w:val="center"/>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4</w:t>
            </w:r>
          </w:p>
        </w:tc>
        <w:tc>
          <w:tcPr>
            <w:tcW w:w="6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cs="宋体" w:asciiTheme="minorEastAsia" w:hAnsiTheme="minorEastAsia"/>
                <w:kern w:val="0"/>
                <w:szCs w:val="21"/>
              </w:rPr>
            </w:pPr>
            <w:r>
              <w:rPr>
                <w:rFonts w:hint="eastAsia" w:cs="宋体" w:asciiTheme="minorEastAsia" w:hAnsiTheme="minorEastAsia"/>
                <w:kern w:val="0"/>
                <w:szCs w:val="21"/>
              </w:rPr>
              <w:t>存在废弃巷道、采空区威胁露天开采,未超前采取针对性安全防范措施。</w:t>
            </w:r>
          </w:p>
        </w:tc>
        <w:tc>
          <w:tcPr>
            <w:tcW w:w="2729" w:type="dxa"/>
            <w:vMerge w:val="continue"/>
            <w:tcBorders>
              <w:left w:val="single" w:color="000000" w:sz="4" w:space="0"/>
              <w:right w:val="single" w:color="000000" w:sz="4" w:space="0"/>
            </w:tcBorders>
            <w:tcMar>
              <w:top w:w="12" w:type="dxa"/>
              <w:left w:w="12" w:type="dxa"/>
              <w:right w:w="12" w:type="dxa"/>
            </w:tcMar>
            <w:vAlign w:val="center"/>
          </w:tcPr>
          <w:p>
            <w:pPr>
              <w:rPr>
                <w:rFonts w:cs="宋体" w:asciiTheme="minorEastAsia" w:hAnsiTheme="minorEastAsia"/>
                <w:kern w:val="0"/>
                <w:szCs w:val="21"/>
              </w:rPr>
            </w:pPr>
          </w:p>
        </w:tc>
        <w:tc>
          <w:tcPr>
            <w:tcW w:w="13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cs="宋体" w:asciiTheme="minorEastAsia" w:hAnsiTheme="minorEastAsia"/>
                <w:kern w:val="0"/>
                <w:szCs w:val="21"/>
              </w:rPr>
            </w:pPr>
          </w:p>
        </w:tc>
        <w:tc>
          <w:tcPr>
            <w:tcW w:w="1427"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kern w:val="0"/>
                <w:szCs w:val="21"/>
              </w:rPr>
            </w:pPr>
          </w:p>
        </w:tc>
        <w:tc>
          <w:tcPr>
            <w:tcW w:w="1191"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kern w:val="0"/>
                <w:szCs w:val="21"/>
              </w:rPr>
            </w:pPr>
          </w:p>
        </w:tc>
      </w:tr>
      <w:tr>
        <w:tblPrEx>
          <w:tblLayout w:type="fixed"/>
          <w:tblCellMar>
            <w:top w:w="0" w:type="dxa"/>
            <w:left w:w="0" w:type="dxa"/>
            <w:bottom w:w="0" w:type="dxa"/>
            <w:right w:w="0" w:type="dxa"/>
          </w:tblCellMar>
        </w:tblPrEx>
        <w:trPr>
          <w:jc w:val="center"/>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5</w:t>
            </w:r>
          </w:p>
        </w:tc>
        <w:tc>
          <w:tcPr>
            <w:tcW w:w="6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cs="宋体" w:asciiTheme="minorEastAsia" w:hAnsiTheme="minorEastAsia"/>
                <w:kern w:val="0"/>
                <w:szCs w:val="21"/>
              </w:rPr>
            </w:pPr>
            <w:r>
              <w:rPr>
                <w:rFonts w:hint="eastAsia" w:cs="宋体" w:asciiTheme="minorEastAsia" w:hAnsiTheme="minorEastAsia"/>
                <w:kern w:val="0"/>
                <w:szCs w:val="21"/>
              </w:rPr>
              <w:t>地质构造发育、存在边坡垮塌风险,未采取加固措施治理边坡;发现边坡变形、滑坡征兆,是否制定并实施保证边坡稳定的安全技术措施。</w:t>
            </w:r>
          </w:p>
        </w:tc>
        <w:tc>
          <w:tcPr>
            <w:tcW w:w="2729"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rPr>
                <w:rFonts w:cs="宋体" w:asciiTheme="minorEastAsia" w:hAnsiTheme="minorEastAsia"/>
                <w:kern w:val="0"/>
                <w:szCs w:val="21"/>
              </w:rPr>
            </w:pPr>
          </w:p>
        </w:tc>
        <w:tc>
          <w:tcPr>
            <w:tcW w:w="13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cs="宋体" w:asciiTheme="minorEastAsia" w:hAnsiTheme="minorEastAsia"/>
                <w:kern w:val="0"/>
                <w:szCs w:val="21"/>
              </w:rPr>
            </w:pPr>
          </w:p>
        </w:tc>
        <w:tc>
          <w:tcPr>
            <w:tcW w:w="1427"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kern w:val="0"/>
                <w:szCs w:val="21"/>
              </w:rPr>
            </w:pPr>
          </w:p>
        </w:tc>
        <w:tc>
          <w:tcPr>
            <w:tcW w:w="1191"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kern w:val="0"/>
                <w:szCs w:val="21"/>
              </w:rPr>
            </w:pPr>
          </w:p>
        </w:tc>
      </w:tr>
      <w:tr>
        <w:tblPrEx>
          <w:tblLayout w:type="fixed"/>
          <w:tblCellMar>
            <w:top w:w="0" w:type="dxa"/>
            <w:left w:w="0" w:type="dxa"/>
            <w:bottom w:w="0" w:type="dxa"/>
            <w:right w:w="0" w:type="dxa"/>
          </w:tblCellMar>
        </w:tblPrEx>
        <w:trPr>
          <w:jc w:val="center"/>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6</w:t>
            </w:r>
          </w:p>
        </w:tc>
        <w:tc>
          <w:tcPr>
            <w:tcW w:w="6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rPr>
                <w:rFonts w:ascii="宋体" w:hAnsi="宋体" w:cs="宋体"/>
                <w:kern w:val="0"/>
                <w:szCs w:val="21"/>
              </w:rPr>
            </w:pPr>
            <w:r>
              <w:rPr>
                <w:rFonts w:hint="eastAsia" w:ascii="宋体" w:hAnsi="宋体" w:cs="宋体"/>
                <w:kern w:val="0"/>
                <w:szCs w:val="21"/>
              </w:rPr>
              <w:t>是否制定和落实露天采坑治理措施，采坑是否修筑导水、排洪设施，是否采取防止雨水涌（渗）入井下形成松散含水体的措施。</w:t>
            </w:r>
          </w:p>
        </w:tc>
        <w:tc>
          <w:tcPr>
            <w:tcW w:w="2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rPr>
                <w:rFonts w:ascii="宋体" w:hAnsi="宋体" w:cs="宋体"/>
                <w:kern w:val="0"/>
                <w:szCs w:val="21"/>
              </w:rPr>
            </w:pPr>
            <w:r>
              <w:rPr>
                <w:rFonts w:hint="eastAsia" w:ascii="宋体" w:hAnsi="宋体" w:cs="宋体"/>
                <w:kern w:val="0"/>
                <w:szCs w:val="21"/>
              </w:rPr>
              <w:t>《煤矿防治水细则》第五十四条。</w:t>
            </w:r>
          </w:p>
        </w:tc>
        <w:tc>
          <w:tcPr>
            <w:tcW w:w="13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rPr>
                <w:rFonts w:ascii="宋体" w:hAnsi="宋体" w:cs="宋体"/>
                <w:kern w:val="0"/>
                <w:szCs w:val="21"/>
              </w:rPr>
            </w:pPr>
          </w:p>
        </w:tc>
        <w:tc>
          <w:tcPr>
            <w:tcW w:w="14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宋体"/>
                <w:kern w:val="0"/>
                <w:szCs w:val="21"/>
              </w:rPr>
            </w:pP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宋体"/>
                <w:kern w:val="0"/>
                <w:szCs w:val="21"/>
              </w:rPr>
            </w:pPr>
          </w:p>
        </w:tc>
      </w:tr>
      <w:tr>
        <w:tblPrEx>
          <w:tblLayout w:type="fixed"/>
          <w:tblCellMar>
            <w:top w:w="0" w:type="dxa"/>
            <w:left w:w="0" w:type="dxa"/>
            <w:bottom w:w="0" w:type="dxa"/>
            <w:right w:w="0" w:type="dxa"/>
          </w:tblCellMar>
        </w:tblPrEx>
        <w:trPr>
          <w:jc w:val="center"/>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7</w:t>
            </w:r>
          </w:p>
        </w:tc>
        <w:tc>
          <w:tcPr>
            <w:tcW w:w="6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cs="宋体" w:asciiTheme="minorEastAsia" w:hAnsiTheme="minorEastAsia"/>
                <w:kern w:val="0"/>
                <w:szCs w:val="21"/>
              </w:rPr>
            </w:pPr>
            <w:r>
              <w:rPr>
                <w:rFonts w:hint="eastAsia" w:cs="宋体" w:asciiTheme="minorEastAsia" w:hAnsiTheme="minorEastAsia"/>
                <w:kern w:val="0"/>
                <w:szCs w:val="21"/>
              </w:rPr>
              <w:t>露天煤矿基建过程中是否及时开展边坡研究工作，测定与边坡稳定性有关的岩石力学参数，评价边坡稳定性，开展滑坡、泥石流地质灾害的预测预报及其防治等工作。</w:t>
            </w:r>
          </w:p>
        </w:tc>
        <w:tc>
          <w:tcPr>
            <w:tcW w:w="2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cs="宋体" w:asciiTheme="minorEastAsia" w:hAnsiTheme="minorEastAsia"/>
                <w:kern w:val="0"/>
                <w:szCs w:val="21"/>
              </w:rPr>
            </w:pPr>
            <w:r>
              <w:rPr>
                <w:rFonts w:hint="eastAsia" w:cs="宋体" w:asciiTheme="minorEastAsia" w:hAnsiTheme="minorEastAsia"/>
                <w:kern w:val="0"/>
                <w:szCs w:val="21"/>
              </w:rPr>
              <w:t>《煤矿地质工作规定》第七十三条。</w:t>
            </w:r>
          </w:p>
        </w:tc>
        <w:tc>
          <w:tcPr>
            <w:tcW w:w="13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keepLines/>
              <w:spacing w:before="260" w:after="260"/>
              <w:rPr>
                <w:rFonts w:cs="宋体" w:asciiTheme="minorEastAsia" w:hAnsiTheme="minorEastAsia"/>
                <w:kern w:val="0"/>
                <w:szCs w:val="21"/>
              </w:rPr>
            </w:pPr>
          </w:p>
        </w:tc>
        <w:tc>
          <w:tcPr>
            <w:tcW w:w="1427" w:type="dxa"/>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rPr>
                <w:rFonts w:cs="宋体" w:asciiTheme="minorEastAsia" w:hAnsiTheme="minorEastAsia"/>
                <w:kern w:val="0"/>
                <w:szCs w:val="21"/>
              </w:rPr>
            </w:pPr>
          </w:p>
        </w:tc>
        <w:tc>
          <w:tcPr>
            <w:tcW w:w="1191" w:type="dxa"/>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rPr>
                <w:rFonts w:cs="宋体" w:asciiTheme="minorEastAsia" w:hAnsiTheme="minorEastAsia"/>
                <w:kern w:val="0"/>
                <w:szCs w:val="21"/>
              </w:rPr>
            </w:pPr>
          </w:p>
        </w:tc>
      </w:tr>
      <w:tr>
        <w:tblPrEx>
          <w:tblLayout w:type="fixed"/>
          <w:tblCellMar>
            <w:top w:w="0" w:type="dxa"/>
            <w:left w:w="0" w:type="dxa"/>
            <w:bottom w:w="0" w:type="dxa"/>
            <w:right w:w="0" w:type="dxa"/>
          </w:tblCellMar>
        </w:tblPrEx>
        <w:trPr>
          <w:jc w:val="center"/>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8</w:t>
            </w:r>
          </w:p>
        </w:tc>
        <w:tc>
          <w:tcPr>
            <w:tcW w:w="6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cs="宋体" w:asciiTheme="minorEastAsia" w:hAnsiTheme="minorEastAsia"/>
                <w:kern w:val="0"/>
                <w:szCs w:val="21"/>
              </w:rPr>
            </w:pPr>
            <w:r>
              <w:rPr>
                <w:rFonts w:hint="eastAsia" w:cs="宋体" w:asciiTheme="minorEastAsia" w:hAnsiTheme="minorEastAsia"/>
                <w:kern w:val="0"/>
                <w:szCs w:val="21"/>
              </w:rPr>
              <w:t>是否安排专业人员对采坑防渗水和塌陷区治理情况进行观测或巡查，是否建立异常情况报告、处置制度，是否制定汛期异常情况紧急停产撤人措施。</w:t>
            </w:r>
          </w:p>
        </w:tc>
        <w:tc>
          <w:tcPr>
            <w:tcW w:w="2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cs="宋体" w:asciiTheme="minorEastAsia" w:hAnsiTheme="minorEastAsia"/>
                <w:kern w:val="0"/>
                <w:szCs w:val="21"/>
              </w:rPr>
            </w:pPr>
            <w:r>
              <w:rPr>
                <w:rFonts w:hint="eastAsia" w:cs="宋体" w:asciiTheme="minorEastAsia" w:hAnsiTheme="minorEastAsia"/>
                <w:kern w:val="0"/>
                <w:szCs w:val="21"/>
              </w:rPr>
              <w:t>《煤矿安全规程》第二百九十三条。</w:t>
            </w:r>
          </w:p>
        </w:tc>
        <w:tc>
          <w:tcPr>
            <w:tcW w:w="13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keepLines/>
              <w:spacing w:before="260" w:after="260"/>
              <w:rPr>
                <w:rFonts w:cs="宋体" w:asciiTheme="minorEastAsia" w:hAnsiTheme="minorEastAsia"/>
                <w:kern w:val="0"/>
                <w:szCs w:val="21"/>
              </w:rPr>
            </w:pPr>
          </w:p>
        </w:tc>
        <w:tc>
          <w:tcPr>
            <w:tcW w:w="1427" w:type="dxa"/>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rPr>
                <w:rFonts w:cs="宋体" w:asciiTheme="minorEastAsia" w:hAnsiTheme="minorEastAsia"/>
                <w:kern w:val="0"/>
                <w:szCs w:val="21"/>
              </w:rPr>
            </w:pPr>
          </w:p>
        </w:tc>
        <w:tc>
          <w:tcPr>
            <w:tcW w:w="1191" w:type="dxa"/>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rPr>
                <w:rFonts w:cs="宋体" w:asciiTheme="minorEastAsia" w:hAnsiTheme="minorEastAsia"/>
                <w:kern w:val="0"/>
                <w:szCs w:val="21"/>
              </w:rPr>
            </w:pPr>
          </w:p>
        </w:tc>
      </w:tr>
      <w:tr>
        <w:tblPrEx>
          <w:tblLayout w:type="fixed"/>
          <w:tblCellMar>
            <w:top w:w="0" w:type="dxa"/>
            <w:left w:w="0" w:type="dxa"/>
            <w:bottom w:w="0" w:type="dxa"/>
            <w:right w:w="0" w:type="dxa"/>
          </w:tblCellMar>
        </w:tblPrEx>
        <w:trPr>
          <w:trHeight w:val="551" w:hRule="atLeast"/>
          <w:jc w:val="center"/>
        </w:trPr>
        <w:tc>
          <w:tcPr>
            <w:tcW w:w="97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jc w:val="center"/>
              <w:rPr>
                <w:rFonts w:ascii="宋体" w:hAnsi="宋体" w:cs="宋体"/>
                <w:kern w:val="0"/>
                <w:szCs w:val="21"/>
              </w:rPr>
            </w:pPr>
            <w:r>
              <w:rPr>
                <w:rFonts w:hint="eastAsia" w:ascii="宋体" w:hAnsi="宋体" w:cs="宋体"/>
                <w:kern w:val="0"/>
                <w:szCs w:val="21"/>
              </w:rPr>
              <w:t>9</w:t>
            </w:r>
          </w:p>
        </w:tc>
        <w:tc>
          <w:tcPr>
            <w:tcW w:w="6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rPr>
                <w:rFonts w:ascii="宋体" w:hAnsi="宋体" w:cs="宋体"/>
                <w:kern w:val="0"/>
                <w:szCs w:val="21"/>
              </w:rPr>
            </w:pPr>
            <w:r>
              <w:rPr>
                <w:rFonts w:hint="eastAsia" w:ascii="宋体" w:hAnsi="宋体" w:cs="宋体"/>
                <w:kern w:val="0"/>
                <w:szCs w:val="21"/>
              </w:rPr>
              <w:t>是否掌握当地历年降水量情况，包括雨季时间、雨量等。</w:t>
            </w:r>
          </w:p>
        </w:tc>
        <w:tc>
          <w:tcPr>
            <w:tcW w:w="2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rPr>
                <w:rFonts w:ascii="宋体" w:hAnsi="宋体" w:cs="宋体"/>
                <w:kern w:val="0"/>
                <w:szCs w:val="21"/>
              </w:rPr>
            </w:pPr>
            <w:r>
              <w:rPr>
                <w:rFonts w:hint="eastAsia" w:ascii="宋体" w:hAnsi="宋体" w:cs="宋体"/>
                <w:kern w:val="0"/>
                <w:szCs w:val="21"/>
              </w:rPr>
              <w:t>《煤矿防治水细则》第十五条。</w:t>
            </w:r>
          </w:p>
        </w:tc>
        <w:tc>
          <w:tcPr>
            <w:tcW w:w="13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exact"/>
              <w:rPr>
                <w:rFonts w:ascii="宋体" w:hAnsi="宋体" w:cs="宋体"/>
                <w:kern w:val="0"/>
                <w:szCs w:val="21"/>
              </w:rPr>
            </w:pPr>
          </w:p>
        </w:tc>
        <w:tc>
          <w:tcPr>
            <w:tcW w:w="142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宋体"/>
                <w:kern w:val="0"/>
                <w:szCs w:val="21"/>
              </w:rPr>
            </w:pP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rFonts w:ascii="宋体" w:hAnsi="宋体" w:cs="宋体"/>
                <w:kern w:val="0"/>
                <w:szCs w:val="21"/>
              </w:rPr>
            </w:pPr>
          </w:p>
        </w:tc>
      </w:tr>
    </w:tbl>
    <w:p>
      <w:pPr>
        <w:ind w:firstLine="525" w:firstLineChars="250"/>
      </w:pPr>
    </w:p>
    <w:sectPr>
      <w:footerReference r:id="rId3" w:type="default"/>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方正楷体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仿宋_GBK">
    <w:altName w:val="微软雅黑"/>
    <w:panose1 w:val="00000000000000000000"/>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073454"/>
    </w:sdtPr>
    <w:sdtContent>
      <w:p>
        <w:pPr>
          <w:pStyle w:val="14"/>
          <w:jc w:val="center"/>
        </w:pPr>
        <w:r>
          <w:fldChar w:fldCharType="begin"/>
        </w:r>
        <w:r>
          <w:instrText xml:space="preserve"> PAGE   \* MERGEFORMAT </w:instrText>
        </w:r>
        <w:r>
          <w:fldChar w:fldCharType="separate"/>
        </w:r>
        <w:r>
          <w:rPr>
            <w:lang w:val="zh-CN"/>
          </w:rPr>
          <w:t>43</w:t>
        </w:r>
        <w:r>
          <w:rPr>
            <w:lang w:val="zh-CN"/>
          </w:rPr>
          <w:fldChar w:fldCharType="end"/>
        </w:r>
      </w:p>
    </w:sdtContent>
  </w:sdt>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xMjRlZmZkMzFjNjFkZGRlMmM4NTc3NDEyYzk1NmMifQ=="/>
  </w:docVars>
  <w:rsids>
    <w:rsidRoot w:val="008B7CD4"/>
    <w:rsid w:val="00004C47"/>
    <w:rsid w:val="0000660B"/>
    <w:rsid w:val="0001128A"/>
    <w:rsid w:val="000175B5"/>
    <w:rsid w:val="000228D1"/>
    <w:rsid w:val="000249AD"/>
    <w:rsid w:val="000339D7"/>
    <w:rsid w:val="000407CA"/>
    <w:rsid w:val="0004699E"/>
    <w:rsid w:val="00064807"/>
    <w:rsid w:val="0006545D"/>
    <w:rsid w:val="00067575"/>
    <w:rsid w:val="00083612"/>
    <w:rsid w:val="000853CE"/>
    <w:rsid w:val="00091068"/>
    <w:rsid w:val="000A0C5F"/>
    <w:rsid w:val="000A5645"/>
    <w:rsid w:val="000B3713"/>
    <w:rsid w:val="000B4F8C"/>
    <w:rsid w:val="000C76E9"/>
    <w:rsid w:val="000D05CC"/>
    <w:rsid w:val="000E5050"/>
    <w:rsid w:val="000E69CB"/>
    <w:rsid w:val="000E6FDE"/>
    <w:rsid w:val="000E78F8"/>
    <w:rsid w:val="000F0539"/>
    <w:rsid w:val="000F0646"/>
    <w:rsid w:val="000F5B77"/>
    <w:rsid w:val="00115B92"/>
    <w:rsid w:val="00130B98"/>
    <w:rsid w:val="00132B21"/>
    <w:rsid w:val="00134A25"/>
    <w:rsid w:val="00142999"/>
    <w:rsid w:val="0014607A"/>
    <w:rsid w:val="001539D1"/>
    <w:rsid w:val="0015711E"/>
    <w:rsid w:val="0016434B"/>
    <w:rsid w:val="00164E93"/>
    <w:rsid w:val="00173327"/>
    <w:rsid w:val="0018246D"/>
    <w:rsid w:val="00187F2D"/>
    <w:rsid w:val="001921D6"/>
    <w:rsid w:val="00192619"/>
    <w:rsid w:val="001939C7"/>
    <w:rsid w:val="001A38F0"/>
    <w:rsid w:val="001A41C3"/>
    <w:rsid w:val="001A5B88"/>
    <w:rsid w:val="001A5C63"/>
    <w:rsid w:val="001A68F6"/>
    <w:rsid w:val="001B549E"/>
    <w:rsid w:val="001C336E"/>
    <w:rsid w:val="001C5025"/>
    <w:rsid w:val="001C5C2C"/>
    <w:rsid w:val="001C7040"/>
    <w:rsid w:val="001D21DF"/>
    <w:rsid w:val="001D30A4"/>
    <w:rsid w:val="001E140B"/>
    <w:rsid w:val="001E1B8F"/>
    <w:rsid w:val="001E240F"/>
    <w:rsid w:val="001E36D2"/>
    <w:rsid w:val="001E4BEB"/>
    <w:rsid w:val="001E5073"/>
    <w:rsid w:val="001E5525"/>
    <w:rsid w:val="001E648F"/>
    <w:rsid w:val="001E66CC"/>
    <w:rsid w:val="001E717B"/>
    <w:rsid w:val="001F1572"/>
    <w:rsid w:val="001F3FE7"/>
    <w:rsid w:val="0020195B"/>
    <w:rsid w:val="00203D65"/>
    <w:rsid w:val="00213390"/>
    <w:rsid w:val="00216168"/>
    <w:rsid w:val="0022000F"/>
    <w:rsid w:val="002243F3"/>
    <w:rsid w:val="00224FDD"/>
    <w:rsid w:val="0023380A"/>
    <w:rsid w:val="00235797"/>
    <w:rsid w:val="00235F80"/>
    <w:rsid w:val="002400FC"/>
    <w:rsid w:val="00257235"/>
    <w:rsid w:val="0026030D"/>
    <w:rsid w:val="00263C90"/>
    <w:rsid w:val="0026614F"/>
    <w:rsid w:val="00272D23"/>
    <w:rsid w:val="00275368"/>
    <w:rsid w:val="002834EB"/>
    <w:rsid w:val="00283BED"/>
    <w:rsid w:val="0028500A"/>
    <w:rsid w:val="00287D4A"/>
    <w:rsid w:val="002A1D13"/>
    <w:rsid w:val="002A3506"/>
    <w:rsid w:val="002A5D06"/>
    <w:rsid w:val="002A7BB2"/>
    <w:rsid w:val="002B1B51"/>
    <w:rsid w:val="002B36C1"/>
    <w:rsid w:val="002C6658"/>
    <w:rsid w:val="002D0712"/>
    <w:rsid w:val="002D1E78"/>
    <w:rsid w:val="002E099B"/>
    <w:rsid w:val="002E46FB"/>
    <w:rsid w:val="002F18A8"/>
    <w:rsid w:val="002F22AF"/>
    <w:rsid w:val="0030145B"/>
    <w:rsid w:val="003038BD"/>
    <w:rsid w:val="00312649"/>
    <w:rsid w:val="00314C1B"/>
    <w:rsid w:val="00322066"/>
    <w:rsid w:val="00334580"/>
    <w:rsid w:val="003427BE"/>
    <w:rsid w:val="00345717"/>
    <w:rsid w:val="003505F3"/>
    <w:rsid w:val="00355ACB"/>
    <w:rsid w:val="00362A8C"/>
    <w:rsid w:val="00366088"/>
    <w:rsid w:val="003665A7"/>
    <w:rsid w:val="0037772E"/>
    <w:rsid w:val="00381CF3"/>
    <w:rsid w:val="003906F8"/>
    <w:rsid w:val="003907A6"/>
    <w:rsid w:val="00391472"/>
    <w:rsid w:val="00397659"/>
    <w:rsid w:val="00397C7B"/>
    <w:rsid w:val="003A4475"/>
    <w:rsid w:val="003C004C"/>
    <w:rsid w:val="003C4783"/>
    <w:rsid w:val="003D1060"/>
    <w:rsid w:val="003E78B9"/>
    <w:rsid w:val="003F16D6"/>
    <w:rsid w:val="00433F64"/>
    <w:rsid w:val="004421C1"/>
    <w:rsid w:val="004428F9"/>
    <w:rsid w:val="00444FB0"/>
    <w:rsid w:val="004560F0"/>
    <w:rsid w:val="004571D9"/>
    <w:rsid w:val="00464ECB"/>
    <w:rsid w:val="00473B89"/>
    <w:rsid w:val="004778A4"/>
    <w:rsid w:val="0048437E"/>
    <w:rsid w:val="00485C9B"/>
    <w:rsid w:val="00495905"/>
    <w:rsid w:val="004A596F"/>
    <w:rsid w:val="004A5BFE"/>
    <w:rsid w:val="004B2985"/>
    <w:rsid w:val="004B7D3B"/>
    <w:rsid w:val="004B7F71"/>
    <w:rsid w:val="004D078B"/>
    <w:rsid w:val="004D65A9"/>
    <w:rsid w:val="004D6B80"/>
    <w:rsid w:val="004E0C44"/>
    <w:rsid w:val="004E7449"/>
    <w:rsid w:val="004F5223"/>
    <w:rsid w:val="00504A38"/>
    <w:rsid w:val="00506566"/>
    <w:rsid w:val="00511381"/>
    <w:rsid w:val="00517272"/>
    <w:rsid w:val="005258D9"/>
    <w:rsid w:val="00531151"/>
    <w:rsid w:val="00533877"/>
    <w:rsid w:val="005406E4"/>
    <w:rsid w:val="00543DDD"/>
    <w:rsid w:val="00545712"/>
    <w:rsid w:val="005469D6"/>
    <w:rsid w:val="005565E0"/>
    <w:rsid w:val="00561767"/>
    <w:rsid w:val="005625CA"/>
    <w:rsid w:val="00563197"/>
    <w:rsid w:val="00565C23"/>
    <w:rsid w:val="00570596"/>
    <w:rsid w:val="00574FC2"/>
    <w:rsid w:val="0058361B"/>
    <w:rsid w:val="005956CB"/>
    <w:rsid w:val="00595D10"/>
    <w:rsid w:val="005A02DE"/>
    <w:rsid w:val="005C25C9"/>
    <w:rsid w:val="005C53DD"/>
    <w:rsid w:val="005C75CD"/>
    <w:rsid w:val="005C7A61"/>
    <w:rsid w:val="005D3CD2"/>
    <w:rsid w:val="005D7ED1"/>
    <w:rsid w:val="005E03CC"/>
    <w:rsid w:val="005E5BC6"/>
    <w:rsid w:val="005E5F25"/>
    <w:rsid w:val="005E7660"/>
    <w:rsid w:val="005E78C9"/>
    <w:rsid w:val="00604AF4"/>
    <w:rsid w:val="00623795"/>
    <w:rsid w:val="006259EA"/>
    <w:rsid w:val="00626CB5"/>
    <w:rsid w:val="00630A49"/>
    <w:rsid w:val="006328B0"/>
    <w:rsid w:val="00636B6E"/>
    <w:rsid w:val="0064612F"/>
    <w:rsid w:val="00646662"/>
    <w:rsid w:val="0064675F"/>
    <w:rsid w:val="00651B36"/>
    <w:rsid w:val="00651DF5"/>
    <w:rsid w:val="00666163"/>
    <w:rsid w:val="00666E10"/>
    <w:rsid w:val="00671A9D"/>
    <w:rsid w:val="006744E0"/>
    <w:rsid w:val="00677024"/>
    <w:rsid w:val="00677045"/>
    <w:rsid w:val="00677236"/>
    <w:rsid w:val="00680804"/>
    <w:rsid w:val="00681B40"/>
    <w:rsid w:val="006821EB"/>
    <w:rsid w:val="00682330"/>
    <w:rsid w:val="00683B84"/>
    <w:rsid w:val="00687EB7"/>
    <w:rsid w:val="00693787"/>
    <w:rsid w:val="006A167A"/>
    <w:rsid w:val="006A69A1"/>
    <w:rsid w:val="006C7433"/>
    <w:rsid w:val="006C78FD"/>
    <w:rsid w:val="006E2810"/>
    <w:rsid w:val="006E6AE0"/>
    <w:rsid w:val="00702102"/>
    <w:rsid w:val="00704E98"/>
    <w:rsid w:val="007141C3"/>
    <w:rsid w:val="00714A58"/>
    <w:rsid w:val="0071508A"/>
    <w:rsid w:val="0072100E"/>
    <w:rsid w:val="0072177B"/>
    <w:rsid w:val="0072232A"/>
    <w:rsid w:val="00723CBA"/>
    <w:rsid w:val="00725B81"/>
    <w:rsid w:val="007266E3"/>
    <w:rsid w:val="007270B2"/>
    <w:rsid w:val="00727F87"/>
    <w:rsid w:val="00732A48"/>
    <w:rsid w:val="00732CAA"/>
    <w:rsid w:val="00741928"/>
    <w:rsid w:val="007509EA"/>
    <w:rsid w:val="007566EC"/>
    <w:rsid w:val="00757BC7"/>
    <w:rsid w:val="00767903"/>
    <w:rsid w:val="00777E35"/>
    <w:rsid w:val="00783940"/>
    <w:rsid w:val="00784BDC"/>
    <w:rsid w:val="00785FFE"/>
    <w:rsid w:val="007A1FDC"/>
    <w:rsid w:val="007A281B"/>
    <w:rsid w:val="007A6A32"/>
    <w:rsid w:val="007A7B0D"/>
    <w:rsid w:val="007B67AE"/>
    <w:rsid w:val="007C25AB"/>
    <w:rsid w:val="007C4BD7"/>
    <w:rsid w:val="007C5F4B"/>
    <w:rsid w:val="007D2A73"/>
    <w:rsid w:val="007E1738"/>
    <w:rsid w:val="007E3B44"/>
    <w:rsid w:val="007F6996"/>
    <w:rsid w:val="007F7CC6"/>
    <w:rsid w:val="00801EED"/>
    <w:rsid w:val="00803B1B"/>
    <w:rsid w:val="00811534"/>
    <w:rsid w:val="0081345D"/>
    <w:rsid w:val="00815B21"/>
    <w:rsid w:val="00816805"/>
    <w:rsid w:val="00822C77"/>
    <w:rsid w:val="008257F0"/>
    <w:rsid w:val="008353A8"/>
    <w:rsid w:val="00841912"/>
    <w:rsid w:val="00844CF2"/>
    <w:rsid w:val="008474AE"/>
    <w:rsid w:val="008532F1"/>
    <w:rsid w:val="008555FD"/>
    <w:rsid w:val="0086111B"/>
    <w:rsid w:val="00866265"/>
    <w:rsid w:val="00873AC7"/>
    <w:rsid w:val="008805A3"/>
    <w:rsid w:val="008813D5"/>
    <w:rsid w:val="0088463F"/>
    <w:rsid w:val="00886F86"/>
    <w:rsid w:val="008933E1"/>
    <w:rsid w:val="008A4B0F"/>
    <w:rsid w:val="008A5658"/>
    <w:rsid w:val="008B72E3"/>
    <w:rsid w:val="008B7CD4"/>
    <w:rsid w:val="008C03D3"/>
    <w:rsid w:val="008D244F"/>
    <w:rsid w:val="008D5EE4"/>
    <w:rsid w:val="008D66C1"/>
    <w:rsid w:val="008E4C9D"/>
    <w:rsid w:val="008F5BD0"/>
    <w:rsid w:val="009071E3"/>
    <w:rsid w:val="00913F97"/>
    <w:rsid w:val="0092570D"/>
    <w:rsid w:val="00926FB6"/>
    <w:rsid w:val="009329AA"/>
    <w:rsid w:val="009416E9"/>
    <w:rsid w:val="00947726"/>
    <w:rsid w:val="009617ED"/>
    <w:rsid w:val="00964B06"/>
    <w:rsid w:val="009963EC"/>
    <w:rsid w:val="00996963"/>
    <w:rsid w:val="009A106E"/>
    <w:rsid w:val="009A7C53"/>
    <w:rsid w:val="009C0C58"/>
    <w:rsid w:val="009C5C2C"/>
    <w:rsid w:val="009E089C"/>
    <w:rsid w:val="009E7A79"/>
    <w:rsid w:val="009F2496"/>
    <w:rsid w:val="00A0404C"/>
    <w:rsid w:val="00A04C08"/>
    <w:rsid w:val="00A05002"/>
    <w:rsid w:val="00A06054"/>
    <w:rsid w:val="00A16219"/>
    <w:rsid w:val="00A17600"/>
    <w:rsid w:val="00A178E8"/>
    <w:rsid w:val="00A25CCC"/>
    <w:rsid w:val="00A277AA"/>
    <w:rsid w:val="00A43A15"/>
    <w:rsid w:val="00A46FC3"/>
    <w:rsid w:val="00A7729A"/>
    <w:rsid w:val="00A80CD5"/>
    <w:rsid w:val="00A80E77"/>
    <w:rsid w:val="00A81FB7"/>
    <w:rsid w:val="00A926A1"/>
    <w:rsid w:val="00A96C31"/>
    <w:rsid w:val="00AA05E9"/>
    <w:rsid w:val="00AA36CC"/>
    <w:rsid w:val="00AA5B7E"/>
    <w:rsid w:val="00AB4797"/>
    <w:rsid w:val="00AB4A44"/>
    <w:rsid w:val="00AC1040"/>
    <w:rsid w:val="00AC32A3"/>
    <w:rsid w:val="00AC44E7"/>
    <w:rsid w:val="00AD13D0"/>
    <w:rsid w:val="00AD3B4E"/>
    <w:rsid w:val="00AD6A10"/>
    <w:rsid w:val="00AD6F9E"/>
    <w:rsid w:val="00AE112E"/>
    <w:rsid w:val="00AE5586"/>
    <w:rsid w:val="00AE61A8"/>
    <w:rsid w:val="00AE68BC"/>
    <w:rsid w:val="00AF1F82"/>
    <w:rsid w:val="00AF28AB"/>
    <w:rsid w:val="00AF72A8"/>
    <w:rsid w:val="00B0261C"/>
    <w:rsid w:val="00B02A94"/>
    <w:rsid w:val="00B04A77"/>
    <w:rsid w:val="00B23045"/>
    <w:rsid w:val="00B27BAE"/>
    <w:rsid w:val="00B42D59"/>
    <w:rsid w:val="00B45AC4"/>
    <w:rsid w:val="00B4781B"/>
    <w:rsid w:val="00B50016"/>
    <w:rsid w:val="00B52F07"/>
    <w:rsid w:val="00B5315C"/>
    <w:rsid w:val="00B57037"/>
    <w:rsid w:val="00B7069A"/>
    <w:rsid w:val="00B71423"/>
    <w:rsid w:val="00B8583B"/>
    <w:rsid w:val="00B936A8"/>
    <w:rsid w:val="00B94445"/>
    <w:rsid w:val="00B94F72"/>
    <w:rsid w:val="00B95B16"/>
    <w:rsid w:val="00BA56D9"/>
    <w:rsid w:val="00BC1B13"/>
    <w:rsid w:val="00BD21BE"/>
    <w:rsid w:val="00BE33F9"/>
    <w:rsid w:val="00BE4E3A"/>
    <w:rsid w:val="00BF22F6"/>
    <w:rsid w:val="00BF27E7"/>
    <w:rsid w:val="00BF6272"/>
    <w:rsid w:val="00C06AF6"/>
    <w:rsid w:val="00C10B22"/>
    <w:rsid w:val="00C1298D"/>
    <w:rsid w:val="00C15572"/>
    <w:rsid w:val="00C15D80"/>
    <w:rsid w:val="00C301FA"/>
    <w:rsid w:val="00C40E14"/>
    <w:rsid w:val="00C418C8"/>
    <w:rsid w:val="00C42B31"/>
    <w:rsid w:val="00C43690"/>
    <w:rsid w:val="00C43D57"/>
    <w:rsid w:val="00C43F7E"/>
    <w:rsid w:val="00C516C9"/>
    <w:rsid w:val="00C563E6"/>
    <w:rsid w:val="00C6642F"/>
    <w:rsid w:val="00C67358"/>
    <w:rsid w:val="00C67C75"/>
    <w:rsid w:val="00C75EBC"/>
    <w:rsid w:val="00C762FE"/>
    <w:rsid w:val="00C7686B"/>
    <w:rsid w:val="00C807E6"/>
    <w:rsid w:val="00C81774"/>
    <w:rsid w:val="00C84DA4"/>
    <w:rsid w:val="00C87016"/>
    <w:rsid w:val="00C87C31"/>
    <w:rsid w:val="00C92C31"/>
    <w:rsid w:val="00C9727F"/>
    <w:rsid w:val="00CA5722"/>
    <w:rsid w:val="00CA5E1C"/>
    <w:rsid w:val="00CB3A2F"/>
    <w:rsid w:val="00CB59AE"/>
    <w:rsid w:val="00CC0DE1"/>
    <w:rsid w:val="00CC40C7"/>
    <w:rsid w:val="00CD41F3"/>
    <w:rsid w:val="00CE1BFA"/>
    <w:rsid w:val="00CE725B"/>
    <w:rsid w:val="00CF2772"/>
    <w:rsid w:val="00D000D9"/>
    <w:rsid w:val="00D0543A"/>
    <w:rsid w:val="00D076A2"/>
    <w:rsid w:val="00D07EC9"/>
    <w:rsid w:val="00D10412"/>
    <w:rsid w:val="00D15408"/>
    <w:rsid w:val="00D32696"/>
    <w:rsid w:val="00D344C1"/>
    <w:rsid w:val="00D37595"/>
    <w:rsid w:val="00D43E00"/>
    <w:rsid w:val="00D47458"/>
    <w:rsid w:val="00D47C38"/>
    <w:rsid w:val="00D535C2"/>
    <w:rsid w:val="00D55885"/>
    <w:rsid w:val="00D604FE"/>
    <w:rsid w:val="00D62BC3"/>
    <w:rsid w:val="00D66895"/>
    <w:rsid w:val="00D677E9"/>
    <w:rsid w:val="00D81385"/>
    <w:rsid w:val="00D84F58"/>
    <w:rsid w:val="00DB1DC9"/>
    <w:rsid w:val="00DB1FF5"/>
    <w:rsid w:val="00DC4430"/>
    <w:rsid w:val="00DD01A0"/>
    <w:rsid w:val="00DD6EB0"/>
    <w:rsid w:val="00E021BC"/>
    <w:rsid w:val="00E022C0"/>
    <w:rsid w:val="00E06196"/>
    <w:rsid w:val="00E06358"/>
    <w:rsid w:val="00E0684E"/>
    <w:rsid w:val="00E112D7"/>
    <w:rsid w:val="00E1213A"/>
    <w:rsid w:val="00E14594"/>
    <w:rsid w:val="00E15032"/>
    <w:rsid w:val="00E16244"/>
    <w:rsid w:val="00E17921"/>
    <w:rsid w:val="00E243DB"/>
    <w:rsid w:val="00E25842"/>
    <w:rsid w:val="00E324AF"/>
    <w:rsid w:val="00E37E16"/>
    <w:rsid w:val="00E44136"/>
    <w:rsid w:val="00E4542C"/>
    <w:rsid w:val="00E4544B"/>
    <w:rsid w:val="00E51C40"/>
    <w:rsid w:val="00E628ED"/>
    <w:rsid w:val="00E76E88"/>
    <w:rsid w:val="00E77A96"/>
    <w:rsid w:val="00E85237"/>
    <w:rsid w:val="00E94981"/>
    <w:rsid w:val="00EA0AC6"/>
    <w:rsid w:val="00EB1BFC"/>
    <w:rsid w:val="00EB46E4"/>
    <w:rsid w:val="00EB47E2"/>
    <w:rsid w:val="00EC4608"/>
    <w:rsid w:val="00EC5AC9"/>
    <w:rsid w:val="00EC7243"/>
    <w:rsid w:val="00ED2865"/>
    <w:rsid w:val="00ED39EB"/>
    <w:rsid w:val="00ED7133"/>
    <w:rsid w:val="00ED78A8"/>
    <w:rsid w:val="00EE5FF7"/>
    <w:rsid w:val="00EE63F8"/>
    <w:rsid w:val="00EE6C65"/>
    <w:rsid w:val="00EF2CD6"/>
    <w:rsid w:val="00EF3A9E"/>
    <w:rsid w:val="00EF41ED"/>
    <w:rsid w:val="00EF75B1"/>
    <w:rsid w:val="00F004E9"/>
    <w:rsid w:val="00F202BC"/>
    <w:rsid w:val="00F2181A"/>
    <w:rsid w:val="00F4135C"/>
    <w:rsid w:val="00F446A2"/>
    <w:rsid w:val="00F53396"/>
    <w:rsid w:val="00F61048"/>
    <w:rsid w:val="00F638C6"/>
    <w:rsid w:val="00F65F3A"/>
    <w:rsid w:val="00F745B7"/>
    <w:rsid w:val="00F7488E"/>
    <w:rsid w:val="00F84121"/>
    <w:rsid w:val="00F86531"/>
    <w:rsid w:val="00F86895"/>
    <w:rsid w:val="00F9313F"/>
    <w:rsid w:val="00FA2618"/>
    <w:rsid w:val="00FB06C5"/>
    <w:rsid w:val="00FC14A9"/>
    <w:rsid w:val="00FD7E81"/>
    <w:rsid w:val="00FE7C1D"/>
    <w:rsid w:val="00FF0171"/>
    <w:rsid w:val="00FF48C7"/>
    <w:rsid w:val="057B1571"/>
    <w:rsid w:val="091B5142"/>
    <w:rsid w:val="18E06DB0"/>
    <w:rsid w:val="1B8DF0F2"/>
    <w:rsid w:val="249661B1"/>
    <w:rsid w:val="31E518E1"/>
    <w:rsid w:val="47D06ADE"/>
    <w:rsid w:val="4ACB6250"/>
    <w:rsid w:val="5CDC2625"/>
    <w:rsid w:val="5F353EF4"/>
    <w:rsid w:val="65FF54AD"/>
    <w:rsid w:val="67BA83B2"/>
    <w:rsid w:val="68D6105D"/>
    <w:rsid w:val="76DF9B5A"/>
    <w:rsid w:val="77F869F3"/>
    <w:rsid w:val="7F853FCE"/>
    <w:rsid w:val="EEF5C9FD"/>
    <w:rsid w:val="EFDE23F5"/>
    <w:rsid w:val="F647A66B"/>
    <w:rsid w:val="FADBFEC9"/>
    <w:rsid w:val="FFB2D35F"/>
    <w:rsid w:val="FFCAD6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99" w:name="index 8"/>
    <w:lsdException w:uiPriority="99" w:name="index 9"/>
    <w:lsdException w:qFormat="1" w:unhideWhenUsed="0"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qFormat="1" w:unhideWhenUsed="0"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9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34"/>
    <w:qFormat/>
    <w:uiPriority w:val="9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23">
    <w:name w:val="Default Paragraph Font"/>
    <w:unhideWhenUsed/>
    <w:uiPriority w:val="1"/>
  </w:style>
  <w:style w:type="table" w:default="1" w:styleId="29">
    <w:name w:val="Normal Table"/>
    <w:unhideWhenUsed/>
    <w:qFormat/>
    <w:uiPriority w:val="99"/>
    <w:tblPr>
      <w:tblLayout w:type="fixed"/>
      <w:tblCellMar>
        <w:top w:w="0" w:type="dxa"/>
        <w:left w:w="108" w:type="dxa"/>
        <w:bottom w:w="0" w:type="dxa"/>
        <w:right w:w="108" w:type="dxa"/>
      </w:tblCellMar>
    </w:tblPr>
  </w:style>
  <w:style w:type="paragraph" w:styleId="4">
    <w:name w:val="table of authorities"/>
    <w:basedOn w:val="1"/>
    <w:next w:val="1"/>
    <w:semiHidden/>
    <w:qFormat/>
    <w:uiPriority w:val="99"/>
    <w:pPr>
      <w:ind w:left="200" w:leftChars="200"/>
    </w:pPr>
    <w:rPr>
      <w:rFonts w:ascii="Calibri" w:hAnsi="Calibri" w:eastAsia="宋体" w:cs="Calibri"/>
      <w:szCs w:val="21"/>
    </w:rPr>
  </w:style>
  <w:style w:type="paragraph" w:styleId="5">
    <w:name w:val="index 8"/>
    <w:basedOn w:val="1"/>
    <w:next w:val="1"/>
    <w:semiHidden/>
    <w:qFormat/>
    <w:uiPriority w:val="99"/>
    <w:pPr>
      <w:ind w:left="2940"/>
    </w:pPr>
    <w:rPr>
      <w:rFonts w:ascii="Times New Roman" w:hAnsi="Times New Roman" w:eastAsia="宋体" w:cs="Times New Roman"/>
      <w:szCs w:val="21"/>
    </w:rPr>
  </w:style>
  <w:style w:type="paragraph" w:styleId="6">
    <w:name w:val="Normal Indent"/>
    <w:basedOn w:val="1"/>
    <w:qFormat/>
    <w:uiPriority w:val="99"/>
    <w:pPr>
      <w:ind w:firstLine="420" w:firstLineChars="200"/>
    </w:pPr>
    <w:rPr>
      <w:rFonts w:ascii="Calibri" w:hAnsi="Calibri" w:eastAsia="宋体" w:cs="Calibri"/>
      <w:szCs w:val="21"/>
    </w:rPr>
  </w:style>
  <w:style w:type="paragraph" w:styleId="7">
    <w:name w:val="annotation text"/>
    <w:basedOn w:val="1"/>
    <w:link w:val="43"/>
    <w:qFormat/>
    <w:uiPriority w:val="0"/>
    <w:pPr>
      <w:widowControl/>
      <w:spacing w:line="580" w:lineRule="exact"/>
      <w:ind w:firstLine="200" w:firstLineChars="200"/>
      <w:jc w:val="left"/>
    </w:pPr>
    <w:rPr>
      <w:rFonts w:ascii="Calibri" w:hAnsi="Calibri" w:eastAsia="宋体" w:cs="Calibri"/>
      <w:szCs w:val="21"/>
    </w:rPr>
  </w:style>
  <w:style w:type="paragraph" w:styleId="8">
    <w:name w:val="Salutation"/>
    <w:basedOn w:val="1"/>
    <w:next w:val="1"/>
    <w:link w:val="42"/>
    <w:qFormat/>
    <w:uiPriority w:val="99"/>
    <w:pPr>
      <w:widowControl/>
      <w:spacing w:line="580" w:lineRule="exact"/>
      <w:ind w:firstLine="200" w:firstLineChars="200"/>
    </w:pPr>
    <w:rPr>
      <w:rFonts w:ascii="Calibri" w:hAnsi="Calibri" w:eastAsia="宋体" w:cs="Calibri"/>
      <w:szCs w:val="21"/>
    </w:rPr>
  </w:style>
  <w:style w:type="paragraph" w:styleId="9">
    <w:name w:val="Body Text"/>
    <w:basedOn w:val="1"/>
    <w:link w:val="44"/>
    <w:qFormat/>
    <w:uiPriority w:val="99"/>
    <w:pPr>
      <w:jc w:val="center"/>
    </w:pPr>
    <w:rPr>
      <w:rFonts w:ascii="Times New Roman" w:hAnsi="Times New Roman" w:eastAsia="仿宋_GB2312" w:cs="Times New Roman"/>
      <w:b/>
      <w:bCs/>
      <w:sz w:val="44"/>
      <w:szCs w:val="44"/>
    </w:rPr>
  </w:style>
  <w:style w:type="paragraph" w:styleId="10">
    <w:name w:val="Body Text Indent"/>
    <w:basedOn w:val="1"/>
    <w:link w:val="35"/>
    <w:unhideWhenUsed/>
    <w:qFormat/>
    <w:uiPriority w:val="99"/>
    <w:pPr>
      <w:spacing w:after="120"/>
      <w:ind w:left="420" w:leftChars="200"/>
    </w:pPr>
    <w:rPr>
      <w:rFonts w:ascii="Times New Roman" w:hAnsi="Times New Roman" w:eastAsia="宋体" w:cs="Times New Roman"/>
      <w:szCs w:val="24"/>
    </w:rPr>
  </w:style>
  <w:style w:type="paragraph" w:styleId="11">
    <w:name w:val="Plain Text"/>
    <w:basedOn w:val="1"/>
    <w:next w:val="5"/>
    <w:link w:val="45"/>
    <w:qFormat/>
    <w:uiPriority w:val="99"/>
    <w:rPr>
      <w:rFonts w:ascii="宋体" w:hAnsi="Courier New" w:eastAsia="宋体" w:cs="宋体"/>
      <w:szCs w:val="21"/>
    </w:rPr>
  </w:style>
  <w:style w:type="paragraph" w:styleId="12">
    <w:name w:val="Date"/>
    <w:basedOn w:val="1"/>
    <w:next w:val="1"/>
    <w:link w:val="46"/>
    <w:qFormat/>
    <w:uiPriority w:val="99"/>
    <w:pPr>
      <w:widowControl/>
      <w:spacing w:line="580" w:lineRule="exact"/>
      <w:ind w:left="100" w:leftChars="2500" w:firstLine="200" w:firstLineChars="200"/>
    </w:pPr>
    <w:rPr>
      <w:rFonts w:ascii="Calibri" w:hAnsi="Calibri" w:eastAsia="宋体" w:cs="Calibri"/>
      <w:szCs w:val="21"/>
    </w:rPr>
  </w:style>
  <w:style w:type="paragraph" w:styleId="13">
    <w:name w:val="Balloon Text"/>
    <w:basedOn w:val="1"/>
    <w:link w:val="36"/>
    <w:unhideWhenUsed/>
    <w:qFormat/>
    <w:uiPriority w:val="99"/>
    <w:rPr>
      <w:rFonts w:ascii="Times New Roman" w:hAnsi="Times New Roman" w:eastAsia="宋体" w:cs="Times New Roman"/>
      <w:sz w:val="18"/>
      <w:szCs w:val="18"/>
    </w:rPr>
  </w:style>
  <w:style w:type="paragraph" w:styleId="14">
    <w:name w:val="footer"/>
    <w:basedOn w:val="1"/>
    <w:link w:val="32"/>
    <w:unhideWhenUsed/>
    <w:qFormat/>
    <w:uiPriority w:val="99"/>
    <w:pPr>
      <w:tabs>
        <w:tab w:val="center" w:pos="4153"/>
        <w:tab w:val="right" w:pos="8306"/>
      </w:tabs>
      <w:snapToGrid w:val="0"/>
      <w:jc w:val="left"/>
    </w:pPr>
    <w:rPr>
      <w:sz w:val="18"/>
      <w:szCs w:val="18"/>
    </w:rPr>
  </w:style>
  <w:style w:type="paragraph" w:styleId="15">
    <w:name w:val="Body Text First Indent 2"/>
    <w:basedOn w:val="10"/>
    <w:link w:val="50"/>
    <w:qFormat/>
    <w:uiPriority w:val="99"/>
    <w:pPr>
      <w:widowControl/>
      <w:spacing w:line="580" w:lineRule="exact"/>
      <w:ind w:firstLine="420" w:firstLineChars="200"/>
    </w:pPr>
    <w:rPr>
      <w:rFonts w:ascii="Calibri" w:hAnsi="Calibri" w:cs="Calibri"/>
      <w:szCs w:val="21"/>
    </w:rPr>
  </w:style>
  <w:style w:type="paragraph" w:styleId="16">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semiHidden/>
    <w:qFormat/>
    <w:uiPriority w:val="99"/>
    <w:pPr>
      <w:tabs>
        <w:tab w:val="left" w:pos="810"/>
        <w:tab w:val="right" w:leader="dot" w:pos="8296"/>
      </w:tabs>
      <w:spacing w:line="360" w:lineRule="auto"/>
      <w:jc w:val="left"/>
    </w:pPr>
    <w:rPr>
      <w:rFonts w:ascii="Times New Roman" w:hAnsi="Times New Roman" w:eastAsia="宋体" w:cs="Times New Roman"/>
      <w:sz w:val="24"/>
      <w:szCs w:val="24"/>
    </w:rPr>
  </w:style>
  <w:style w:type="paragraph" w:styleId="18">
    <w:name w:val="Subtitle"/>
    <w:basedOn w:val="1"/>
    <w:next w:val="1"/>
    <w:link w:val="47"/>
    <w:qFormat/>
    <w:uiPriority w:val="99"/>
    <w:pPr>
      <w:spacing w:before="240" w:after="60" w:line="312" w:lineRule="auto"/>
      <w:jc w:val="center"/>
      <w:outlineLvl w:val="1"/>
    </w:pPr>
    <w:rPr>
      <w:rFonts w:ascii="Cambria" w:hAnsi="Cambria" w:eastAsia="宋体" w:cs="Cambria"/>
      <w:b/>
      <w:bCs/>
      <w:kern w:val="28"/>
      <w:sz w:val="32"/>
      <w:szCs w:val="32"/>
    </w:rPr>
  </w:style>
  <w:style w:type="paragraph" w:styleId="19">
    <w:name w:val="Body Text 2"/>
    <w:basedOn w:val="1"/>
    <w:link w:val="37"/>
    <w:qFormat/>
    <w:uiPriority w:val="0"/>
    <w:pPr>
      <w:spacing w:after="120" w:line="480" w:lineRule="auto"/>
    </w:pPr>
    <w:rPr>
      <w:rFonts w:ascii="Times New Roman" w:hAnsi="Times New Roman" w:eastAsia="宋体" w:cs="Times New Roman"/>
      <w:kern w:val="0"/>
      <w:sz w:val="20"/>
      <w:szCs w:val="24"/>
    </w:rPr>
  </w:style>
  <w:style w:type="paragraph" w:styleId="20">
    <w:name w:val="Message Header"/>
    <w:basedOn w:val="1"/>
    <w:next w:val="1"/>
    <w:link w:val="48"/>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Arial"/>
      <w:sz w:val="24"/>
      <w:szCs w:val="24"/>
    </w:rPr>
  </w:style>
  <w:style w:type="paragraph" w:styleId="21">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22">
    <w:name w:val="Title"/>
    <w:basedOn w:val="1"/>
    <w:next w:val="1"/>
    <w:link w:val="49"/>
    <w:qFormat/>
    <w:uiPriority w:val="99"/>
    <w:pPr>
      <w:spacing w:before="240" w:after="60"/>
      <w:jc w:val="center"/>
      <w:outlineLvl w:val="0"/>
    </w:pPr>
    <w:rPr>
      <w:rFonts w:ascii="Cambria" w:hAnsi="Cambria" w:eastAsia="宋体" w:cs="Cambria"/>
      <w:b/>
      <w:bCs/>
      <w:sz w:val="32"/>
      <w:szCs w:val="32"/>
    </w:rPr>
  </w:style>
  <w:style w:type="character" w:styleId="24">
    <w:name w:val="Strong"/>
    <w:basedOn w:val="23"/>
    <w:qFormat/>
    <w:uiPriority w:val="99"/>
    <w:rPr>
      <w:rFonts w:ascii="Times New Roman" w:hAnsi="Times New Roman" w:eastAsia="宋体" w:cs="Times New Roman"/>
      <w:b/>
      <w:bCs/>
    </w:rPr>
  </w:style>
  <w:style w:type="character" w:styleId="25">
    <w:name w:val="page number"/>
    <w:basedOn w:val="23"/>
    <w:unhideWhenUsed/>
    <w:qFormat/>
    <w:uiPriority w:val="99"/>
  </w:style>
  <w:style w:type="character" w:styleId="26">
    <w:name w:val="FollowedHyperlink"/>
    <w:basedOn w:val="23"/>
    <w:unhideWhenUsed/>
    <w:qFormat/>
    <w:uiPriority w:val="99"/>
    <w:rPr>
      <w:color w:val="800080"/>
      <w:u w:val="single"/>
    </w:rPr>
  </w:style>
  <w:style w:type="character" w:styleId="27">
    <w:name w:val="Emphasis"/>
    <w:basedOn w:val="23"/>
    <w:qFormat/>
    <w:uiPriority w:val="99"/>
    <w:rPr>
      <w:rFonts w:ascii="Times New Roman" w:hAnsi="Times New Roman" w:eastAsia="宋体" w:cs="Times New Roman"/>
      <w:i/>
      <w:iCs/>
    </w:rPr>
  </w:style>
  <w:style w:type="character" w:styleId="28">
    <w:name w:val="Hyperlink"/>
    <w:basedOn w:val="23"/>
    <w:qFormat/>
    <w:uiPriority w:val="99"/>
    <w:rPr>
      <w:rFonts w:ascii="Times New Roman" w:hAnsi="Times New Roman" w:eastAsia="宋体" w:cs="Times New Roman"/>
      <w:color w:val="0000FF"/>
      <w:u w:val="single"/>
    </w:rPr>
  </w:style>
  <w:style w:type="table" w:styleId="30">
    <w:name w:val="Table Grid"/>
    <w:basedOn w:val="29"/>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1">
    <w:name w:val="页眉 Char"/>
    <w:basedOn w:val="23"/>
    <w:link w:val="16"/>
    <w:qFormat/>
    <w:uiPriority w:val="99"/>
    <w:rPr>
      <w:sz w:val="18"/>
      <w:szCs w:val="18"/>
    </w:rPr>
  </w:style>
  <w:style w:type="character" w:customStyle="1" w:styleId="32">
    <w:name w:val="页脚 Char"/>
    <w:basedOn w:val="23"/>
    <w:link w:val="14"/>
    <w:qFormat/>
    <w:uiPriority w:val="99"/>
    <w:rPr>
      <w:sz w:val="18"/>
      <w:szCs w:val="18"/>
    </w:rPr>
  </w:style>
  <w:style w:type="character" w:customStyle="1" w:styleId="33">
    <w:name w:val="标题 1 Char"/>
    <w:basedOn w:val="23"/>
    <w:link w:val="2"/>
    <w:qFormat/>
    <w:uiPriority w:val="99"/>
    <w:rPr>
      <w:rFonts w:ascii="宋体" w:hAnsi="宋体" w:eastAsia="宋体" w:cs="宋体"/>
      <w:b/>
      <w:bCs/>
      <w:kern w:val="36"/>
      <w:sz w:val="48"/>
      <w:szCs w:val="48"/>
    </w:rPr>
  </w:style>
  <w:style w:type="character" w:customStyle="1" w:styleId="34">
    <w:name w:val="标题 2 Char"/>
    <w:basedOn w:val="23"/>
    <w:link w:val="3"/>
    <w:qFormat/>
    <w:uiPriority w:val="99"/>
    <w:rPr>
      <w:rFonts w:ascii="宋体" w:hAnsi="宋体" w:eastAsia="宋体" w:cs="宋体"/>
      <w:b/>
      <w:bCs/>
      <w:kern w:val="0"/>
      <w:sz w:val="36"/>
      <w:szCs w:val="36"/>
    </w:rPr>
  </w:style>
  <w:style w:type="character" w:customStyle="1" w:styleId="35">
    <w:name w:val="正文文本缩进 Char"/>
    <w:basedOn w:val="23"/>
    <w:link w:val="10"/>
    <w:qFormat/>
    <w:uiPriority w:val="99"/>
    <w:rPr>
      <w:rFonts w:ascii="Times New Roman" w:hAnsi="Times New Roman" w:eastAsia="宋体" w:cs="Times New Roman"/>
      <w:szCs w:val="24"/>
    </w:rPr>
  </w:style>
  <w:style w:type="character" w:customStyle="1" w:styleId="36">
    <w:name w:val="批注框文本 Char"/>
    <w:basedOn w:val="23"/>
    <w:link w:val="13"/>
    <w:qFormat/>
    <w:uiPriority w:val="99"/>
    <w:rPr>
      <w:rFonts w:ascii="Times New Roman" w:hAnsi="Times New Roman" w:eastAsia="宋体" w:cs="Times New Roman"/>
      <w:sz w:val="18"/>
      <w:szCs w:val="18"/>
    </w:rPr>
  </w:style>
  <w:style w:type="character" w:customStyle="1" w:styleId="37">
    <w:name w:val="正文文本 2 Char"/>
    <w:basedOn w:val="23"/>
    <w:link w:val="19"/>
    <w:qFormat/>
    <w:uiPriority w:val="0"/>
    <w:rPr>
      <w:rFonts w:ascii="Times New Roman" w:hAnsi="Times New Roman" w:eastAsia="宋体" w:cs="Times New Roman"/>
      <w:kern w:val="0"/>
      <w:sz w:val="20"/>
      <w:szCs w:val="24"/>
    </w:rPr>
  </w:style>
  <w:style w:type="paragraph" w:customStyle="1" w:styleId="38">
    <w:name w:val="a3"/>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0" w:lineRule="atLeast"/>
      <w:jc w:val="center"/>
    </w:pPr>
    <w:rPr>
      <w:rFonts w:ascii="仿宋_GB2312" w:hAnsi="华文仿宋" w:eastAsia="仿宋_GB2312" w:cs="Arial Unicode MS"/>
      <w:color w:val="000000"/>
      <w:kern w:val="0"/>
      <w:sz w:val="32"/>
      <w:szCs w:val="32"/>
    </w:rPr>
  </w:style>
  <w:style w:type="paragraph" w:customStyle="1" w:styleId="39">
    <w:name w:val="段"/>
    <w:link w:val="40"/>
    <w:qFormat/>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character" w:customStyle="1" w:styleId="40">
    <w:name w:val="段 Char"/>
    <w:link w:val="39"/>
    <w:qFormat/>
    <w:locked/>
    <w:uiPriority w:val="0"/>
    <w:rPr>
      <w:rFonts w:ascii="宋体" w:hAnsi="Times New Roman" w:eastAsia="宋体" w:cs="Times New Roman"/>
    </w:rPr>
  </w:style>
  <w:style w:type="character" w:customStyle="1" w:styleId="41">
    <w:name w:val="font41"/>
    <w:qFormat/>
    <w:uiPriority w:val="99"/>
    <w:rPr>
      <w:rFonts w:ascii="仿宋_GB2312" w:eastAsia="仿宋_GB2312" w:cs="仿宋_GB2312"/>
      <w:color w:val="000000"/>
      <w:sz w:val="24"/>
      <w:szCs w:val="24"/>
      <w:u w:val="none"/>
    </w:rPr>
  </w:style>
  <w:style w:type="character" w:customStyle="1" w:styleId="42">
    <w:name w:val="称呼 Char"/>
    <w:basedOn w:val="23"/>
    <w:link w:val="8"/>
    <w:qFormat/>
    <w:uiPriority w:val="99"/>
    <w:rPr>
      <w:rFonts w:ascii="Calibri" w:hAnsi="Calibri" w:eastAsia="宋体" w:cs="Calibri"/>
      <w:szCs w:val="21"/>
    </w:rPr>
  </w:style>
  <w:style w:type="character" w:customStyle="1" w:styleId="43">
    <w:name w:val="批注文字 Char"/>
    <w:basedOn w:val="23"/>
    <w:link w:val="7"/>
    <w:qFormat/>
    <w:uiPriority w:val="0"/>
    <w:rPr>
      <w:rFonts w:ascii="Calibri" w:hAnsi="Calibri" w:eastAsia="宋体" w:cs="Calibri"/>
      <w:szCs w:val="21"/>
    </w:rPr>
  </w:style>
  <w:style w:type="character" w:customStyle="1" w:styleId="44">
    <w:name w:val="正文文本 Char"/>
    <w:basedOn w:val="23"/>
    <w:link w:val="9"/>
    <w:qFormat/>
    <w:uiPriority w:val="99"/>
    <w:rPr>
      <w:rFonts w:ascii="Times New Roman" w:hAnsi="Times New Roman" w:eastAsia="仿宋_GB2312" w:cs="Times New Roman"/>
      <w:b/>
      <w:bCs/>
      <w:sz w:val="44"/>
      <w:szCs w:val="44"/>
    </w:rPr>
  </w:style>
  <w:style w:type="character" w:customStyle="1" w:styleId="45">
    <w:name w:val="纯文本 Char"/>
    <w:basedOn w:val="23"/>
    <w:link w:val="11"/>
    <w:qFormat/>
    <w:uiPriority w:val="99"/>
    <w:rPr>
      <w:rFonts w:ascii="宋体" w:hAnsi="Courier New" w:eastAsia="宋体" w:cs="宋体"/>
      <w:szCs w:val="21"/>
    </w:rPr>
  </w:style>
  <w:style w:type="character" w:customStyle="1" w:styleId="46">
    <w:name w:val="日期 Char"/>
    <w:basedOn w:val="23"/>
    <w:link w:val="12"/>
    <w:qFormat/>
    <w:uiPriority w:val="99"/>
    <w:rPr>
      <w:rFonts w:ascii="Calibri" w:hAnsi="Calibri" w:eastAsia="宋体" w:cs="Calibri"/>
      <w:szCs w:val="21"/>
    </w:rPr>
  </w:style>
  <w:style w:type="character" w:customStyle="1" w:styleId="47">
    <w:name w:val="副标题 Char"/>
    <w:basedOn w:val="23"/>
    <w:link w:val="18"/>
    <w:qFormat/>
    <w:uiPriority w:val="99"/>
    <w:rPr>
      <w:rFonts w:ascii="Cambria" w:hAnsi="Cambria" w:eastAsia="宋体" w:cs="Cambria"/>
      <w:b/>
      <w:bCs/>
      <w:kern w:val="28"/>
      <w:sz w:val="32"/>
      <w:szCs w:val="32"/>
    </w:rPr>
  </w:style>
  <w:style w:type="character" w:customStyle="1" w:styleId="48">
    <w:name w:val="信息标题 Char"/>
    <w:basedOn w:val="23"/>
    <w:link w:val="20"/>
    <w:qFormat/>
    <w:uiPriority w:val="99"/>
    <w:rPr>
      <w:rFonts w:ascii="Arial" w:hAnsi="Arial" w:eastAsia="宋体" w:cs="Arial"/>
      <w:sz w:val="24"/>
      <w:szCs w:val="24"/>
      <w:shd w:val="pct20" w:color="auto" w:fill="auto"/>
    </w:rPr>
  </w:style>
  <w:style w:type="character" w:customStyle="1" w:styleId="49">
    <w:name w:val="标题 Char"/>
    <w:basedOn w:val="23"/>
    <w:link w:val="22"/>
    <w:qFormat/>
    <w:uiPriority w:val="99"/>
    <w:rPr>
      <w:rFonts w:ascii="Cambria" w:hAnsi="Cambria" w:eastAsia="宋体" w:cs="Cambria"/>
      <w:b/>
      <w:bCs/>
      <w:sz w:val="32"/>
      <w:szCs w:val="32"/>
    </w:rPr>
  </w:style>
  <w:style w:type="character" w:customStyle="1" w:styleId="50">
    <w:name w:val="正文首行缩进 2 Char"/>
    <w:basedOn w:val="35"/>
    <w:link w:val="15"/>
    <w:qFormat/>
    <w:uiPriority w:val="99"/>
    <w:rPr>
      <w:rFonts w:ascii="Calibri" w:hAnsi="Calibri" w:cs="Calibri"/>
      <w:szCs w:val="21"/>
    </w:rPr>
  </w:style>
  <w:style w:type="paragraph" w:customStyle="1" w:styleId="51">
    <w:name w:val="正文-公1"/>
    <w:basedOn w:val="1"/>
    <w:next w:val="1"/>
    <w:qFormat/>
    <w:uiPriority w:val="99"/>
    <w:pPr>
      <w:ind w:firstLine="200" w:firstLineChars="200"/>
      <w:jc w:val="left"/>
    </w:pPr>
    <w:rPr>
      <w:rFonts w:ascii="Calibri" w:hAnsi="Calibri" w:eastAsia="仿宋_GB2312" w:cs="Calibri"/>
      <w:szCs w:val="21"/>
    </w:rPr>
  </w:style>
  <w:style w:type="paragraph" w:customStyle="1" w:styleId="52">
    <w:name w:val="正文（公文）"/>
    <w:basedOn w:val="1"/>
    <w:qFormat/>
    <w:uiPriority w:val="0"/>
    <w:pPr>
      <w:spacing w:line="580" w:lineRule="exact"/>
      <w:ind w:firstLine="420"/>
    </w:pPr>
    <w:rPr>
      <w:rFonts w:ascii="Calibri" w:hAnsi="Calibri" w:eastAsia="宋体" w:cs="Calibri"/>
      <w:sz w:val="32"/>
      <w:szCs w:val="32"/>
    </w:rPr>
  </w:style>
  <w:style w:type="character" w:customStyle="1" w:styleId="53">
    <w:name w:val="15"/>
    <w:basedOn w:val="23"/>
    <w:qFormat/>
    <w:uiPriority w:val="0"/>
    <w:rPr>
      <w:rFonts w:ascii="宋体" w:hAnsi="宋体" w:eastAsia="方正楷体_GBK" w:cs="宋体"/>
      <w:color w:val="000000"/>
      <w:sz w:val="32"/>
      <w:szCs w:val="32"/>
    </w:rPr>
  </w:style>
  <w:style w:type="character" w:customStyle="1" w:styleId="54">
    <w:name w:val="font21"/>
    <w:qFormat/>
    <w:uiPriority w:val="99"/>
    <w:rPr>
      <w:rFonts w:ascii="仿宋" w:hAnsi="仿宋" w:eastAsia="仿宋" w:cs="仿宋"/>
      <w:color w:val="0000FF"/>
      <w:sz w:val="21"/>
      <w:szCs w:val="21"/>
      <w:u w:val="none"/>
    </w:rPr>
  </w:style>
  <w:style w:type="character" w:customStyle="1" w:styleId="55">
    <w:name w:val="font11"/>
    <w:qFormat/>
    <w:uiPriority w:val="99"/>
    <w:rPr>
      <w:rFonts w:ascii="仿宋" w:hAnsi="仿宋" w:eastAsia="仿宋" w:cs="仿宋"/>
      <w:color w:val="000000"/>
      <w:sz w:val="21"/>
      <w:szCs w:val="21"/>
      <w:u w:val="none"/>
      <w:vertAlign w:val="superscript"/>
    </w:rPr>
  </w:style>
  <w:style w:type="character" w:customStyle="1" w:styleId="56">
    <w:name w:val="font01"/>
    <w:basedOn w:val="23"/>
    <w:qFormat/>
    <w:uiPriority w:val="99"/>
    <w:rPr>
      <w:rFonts w:ascii="仿宋" w:hAnsi="仿宋" w:eastAsia="仿宋" w:cs="仿宋"/>
      <w:strike/>
      <w:color w:val="000000"/>
      <w:sz w:val="21"/>
      <w:szCs w:val="21"/>
    </w:rPr>
  </w:style>
  <w:style w:type="character" w:customStyle="1" w:styleId="57">
    <w:name w:val="font31"/>
    <w:basedOn w:val="23"/>
    <w:qFormat/>
    <w:uiPriority w:val="99"/>
    <w:rPr>
      <w:rFonts w:ascii="仿宋" w:hAnsi="仿宋" w:eastAsia="仿宋" w:cs="仿宋"/>
      <w:color w:val="000000"/>
      <w:sz w:val="21"/>
      <w:szCs w:val="21"/>
      <w:u w:val="none"/>
    </w:rPr>
  </w:style>
  <w:style w:type="character" w:customStyle="1" w:styleId="58">
    <w:name w:val="font201"/>
    <w:qFormat/>
    <w:uiPriority w:val="99"/>
    <w:rPr>
      <w:rFonts w:ascii="Times New Roman" w:hAnsi="Times New Roman" w:eastAsia="宋体" w:cs="Times New Roman"/>
    </w:rPr>
  </w:style>
  <w:style w:type="paragraph" w:customStyle="1" w:styleId="59">
    <w:name w:val="Body text|1"/>
    <w:basedOn w:val="1"/>
    <w:link w:val="60"/>
    <w:qFormat/>
    <w:uiPriority w:val="99"/>
    <w:pPr>
      <w:spacing w:line="442" w:lineRule="auto"/>
      <w:ind w:firstLine="400"/>
    </w:pPr>
    <w:rPr>
      <w:rFonts w:ascii="宋体" w:hAnsi="宋体" w:eastAsia="宋体" w:cs="Times New Roman"/>
      <w:color w:val="2D2E2F"/>
      <w:kern w:val="0"/>
      <w:sz w:val="28"/>
      <w:szCs w:val="28"/>
      <w:lang w:val="zh-TW" w:eastAsia="zh-TW"/>
    </w:rPr>
  </w:style>
  <w:style w:type="character" w:customStyle="1" w:styleId="60">
    <w:name w:val="Body text|1_"/>
    <w:link w:val="59"/>
    <w:qFormat/>
    <w:locked/>
    <w:uiPriority w:val="99"/>
    <w:rPr>
      <w:rFonts w:ascii="宋体" w:hAnsi="宋体" w:eastAsia="宋体" w:cs="Times New Roman"/>
      <w:color w:val="2D2E2F"/>
      <w:kern w:val="0"/>
      <w:sz w:val="28"/>
      <w:szCs w:val="28"/>
      <w:lang w:val="zh-TW" w:eastAsia="zh-TW"/>
    </w:rPr>
  </w:style>
  <w:style w:type="paragraph" w:customStyle="1" w:styleId="61">
    <w:name w:val="tlarea1"/>
    <w:basedOn w:val="1"/>
    <w:qFormat/>
    <w:uiPriority w:val="99"/>
    <w:pPr>
      <w:widowControl/>
      <w:spacing w:before="100" w:beforeAutospacing="1" w:after="100" w:afterAutospacing="1"/>
      <w:jc w:val="left"/>
    </w:pPr>
    <w:rPr>
      <w:rFonts w:ascii="宋体" w:hAnsi="宋体" w:eastAsia="宋体" w:cs="宋体"/>
      <w:spacing w:val="30"/>
      <w:kern w:val="0"/>
      <w:szCs w:val="21"/>
    </w:rPr>
  </w:style>
  <w:style w:type="paragraph" w:customStyle="1" w:styleId="62">
    <w:name w:val="pa-3"/>
    <w:basedOn w:val="1"/>
    <w:qFormat/>
    <w:uiPriority w:val="99"/>
    <w:pPr>
      <w:widowControl/>
      <w:spacing w:before="150" w:after="150"/>
      <w:jc w:val="left"/>
    </w:pPr>
    <w:rPr>
      <w:rFonts w:ascii="宋体" w:hAnsi="宋体" w:eastAsia="宋体" w:cs="宋体"/>
      <w:kern w:val="0"/>
      <w:sz w:val="24"/>
      <w:szCs w:val="24"/>
    </w:rPr>
  </w:style>
  <w:style w:type="paragraph" w:customStyle="1" w:styleId="63">
    <w:name w:val="一级条标题"/>
    <w:next w:val="1"/>
    <w:qFormat/>
    <w:uiPriority w:val="99"/>
    <w:pPr>
      <w:spacing w:beforeLines="50" w:afterLines="50"/>
      <w:ind w:left="851" w:hanging="420"/>
      <w:outlineLvl w:val="2"/>
    </w:pPr>
    <w:rPr>
      <w:rFonts w:ascii="黑体" w:hAnsi="Times New Roman" w:eastAsia="黑体" w:cs="黑体"/>
      <w:sz w:val="21"/>
      <w:szCs w:val="21"/>
      <w:lang w:val="en-US" w:eastAsia="zh-CN" w:bidi="ar-SA"/>
    </w:rPr>
  </w:style>
  <w:style w:type="paragraph" w:customStyle="1" w:styleId="64">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65">
    <w:name w:val="TOC 标题1"/>
    <w:basedOn w:val="2"/>
    <w:next w:val="1"/>
    <w:qFormat/>
    <w:uiPriority w:val="99"/>
    <w:pPr>
      <w:spacing w:before="480" w:after="0" w:line="276" w:lineRule="auto"/>
      <w:outlineLvl w:val="9"/>
    </w:pPr>
    <w:rPr>
      <w:rFonts w:ascii="Cambria" w:hAnsi="Cambria" w:cs="Cambria"/>
      <w:color w:val="365F91"/>
      <w:kern w:val="0"/>
    </w:rPr>
  </w:style>
  <w:style w:type="paragraph" w:customStyle="1" w:styleId="66">
    <w:name w:val="列出段落1"/>
    <w:basedOn w:val="1"/>
    <w:qFormat/>
    <w:uiPriority w:val="99"/>
    <w:pPr>
      <w:ind w:firstLine="420" w:firstLineChars="200"/>
    </w:pPr>
    <w:rPr>
      <w:rFonts w:ascii="宋体" w:hAnsi="宋体" w:eastAsia="仿宋" w:cs="宋体"/>
      <w:sz w:val="32"/>
      <w:szCs w:val="32"/>
    </w:rPr>
  </w:style>
  <w:style w:type="paragraph" w:customStyle="1" w:styleId="67">
    <w:name w:val="一级无"/>
    <w:basedOn w:val="63"/>
    <w:qFormat/>
    <w:uiPriority w:val="99"/>
    <w:pPr>
      <w:spacing w:beforeLines="0" w:afterLines="0"/>
    </w:pPr>
    <w:rPr>
      <w:rFonts w:ascii="宋体" w:eastAsia="宋体" w:cs="宋体"/>
    </w:rPr>
  </w:style>
  <w:style w:type="paragraph" w:customStyle="1" w:styleId="68">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9">
    <w:name w:val="单元格内"/>
    <w:basedOn w:val="14"/>
    <w:qFormat/>
    <w:uiPriority w:val="99"/>
    <w:pPr>
      <w:spacing w:line="260" w:lineRule="exact"/>
      <w:jc w:val="center"/>
    </w:pPr>
    <w:rPr>
      <w:rFonts w:ascii="Times New Roman" w:hAnsi="Times New Roman" w:eastAsia="宋体" w:cs="Times New Roman"/>
      <w:kern w:val="0"/>
    </w:rPr>
  </w:style>
  <w:style w:type="paragraph" w:customStyle="1" w:styleId="70">
    <w:name w:val="p0"/>
    <w:basedOn w:val="1"/>
    <w:qFormat/>
    <w:uiPriority w:val="99"/>
    <w:pPr>
      <w:widowControl/>
    </w:pPr>
    <w:rPr>
      <w:rFonts w:ascii="Times New Roman" w:hAnsi="Times New Roman" w:eastAsia="宋体" w:cs="Times New Roman"/>
      <w:kern w:val="0"/>
      <w:szCs w:val="21"/>
    </w:rPr>
  </w:style>
  <w:style w:type="paragraph" w:customStyle="1" w:styleId="71">
    <w:name w:val="Char"/>
    <w:basedOn w:val="1"/>
    <w:next w:val="1"/>
    <w:qFormat/>
    <w:uiPriority w:val="99"/>
    <w:rPr>
      <w:rFonts w:ascii="Times New Roman" w:hAnsi="Times New Roman" w:eastAsia="宋体" w:cs="Times New Roman"/>
      <w:szCs w:val="21"/>
      <w:lang w:eastAsia="en-US"/>
    </w:rPr>
  </w:style>
  <w:style w:type="paragraph" w:customStyle="1" w:styleId="72">
    <w:name w:val="Char Char Char Char Char Char Char"/>
    <w:basedOn w:val="1"/>
    <w:qFormat/>
    <w:uiPriority w:val="99"/>
    <w:rPr>
      <w:rFonts w:ascii="Times New Roman" w:hAnsi="Times New Roman" w:eastAsia="宋体" w:cs="Times New Roman"/>
      <w:szCs w:val="21"/>
    </w:rPr>
  </w:style>
  <w:style w:type="paragraph" w:customStyle="1" w:styleId="73">
    <w:name w:val="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4">
    <w:name w:val="Header or footer|1"/>
    <w:basedOn w:val="1"/>
    <w:qFormat/>
    <w:uiPriority w:val="99"/>
    <w:rPr>
      <w:rFonts w:ascii="Calibri" w:hAnsi="Calibri" w:eastAsia="宋体" w:cs="Calibri"/>
      <w:sz w:val="20"/>
      <w:szCs w:val="20"/>
    </w:rPr>
  </w:style>
  <w:style w:type="paragraph" w:customStyle="1" w:styleId="75">
    <w:name w:val="Body text|2"/>
    <w:basedOn w:val="1"/>
    <w:qFormat/>
    <w:uiPriority w:val="99"/>
    <w:pPr>
      <w:spacing w:line="223" w:lineRule="auto"/>
    </w:pPr>
    <w:rPr>
      <w:rFonts w:ascii="Calibri" w:hAnsi="Calibri" w:eastAsia="宋体" w:cs="Calibri"/>
      <w:sz w:val="20"/>
      <w:szCs w:val="20"/>
    </w:rPr>
  </w:style>
  <w:style w:type="paragraph" w:customStyle="1" w:styleId="76">
    <w:name w:val="Body text|4"/>
    <w:basedOn w:val="1"/>
    <w:qFormat/>
    <w:uiPriority w:val="99"/>
    <w:pPr>
      <w:spacing w:after="100"/>
    </w:pPr>
    <w:rPr>
      <w:rFonts w:ascii="Calibri" w:hAnsi="Calibri" w:eastAsia="宋体" w:cs="Calibri"/>
      <w:sz w:val="16"/>
      <w:szCs w:val="16"/>
      <w:lang w:val="zh-TW" w:eastAsia="zh-TW"/>
    </w:rPr>
  </w:style>
  <w:style w:type="table" w:customStyle="1" w:styleId="77">
    <w:name w:val="网格型1"/>
    <w:qFormat/>
    <w:uiPriority w:val="99"/>
    <w:pPr>
      <w:widowControl w:val="0"/>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8">
    <w:name w:val="列出段落11"/>
    <w:basedOn w:val="1"/>
    <w:qFormat/>
    <w:uiPriority w:val="0"/>
    <w:pPr>
      <w:ind w:firstLine="420" w:firstLineChars="200"/>
    </w:pPr>
    <w:rPr>
      <w:rFonts w:ascii="Calibri" w:hAnsi="Calibri" w:eastAsia="宋体" w:cs="Times New Roman"/>
    </w:rPr>
  </w:style>
  <w:style w:type="paragraph" w:customStyle="1" w:styleId="79">
    <w:name w:val="列出段落12"/>
    <w:basedOn w:val="1"/>
    <w:qFormat/>
    <w:uiPriority w:val="0"/>
    <w:pPr>
      <w:ind w:firstLine="420" w:firstLineChars="200"/>
    </w:pPr>
    <w:rPr>
      <w:rFonts w:ascii="Calibri" w:hAnsi="Calibri" w:eastAsia="宋体" w:cs="Times New Roman"/>
    </w:rPr>
  </w:style>
  <w:style w:type="paragraph" w:customStyle="1" w:styleId="80">
    <w:name w:val="z-窗体顶端1"/>
    <w:basedOn w:val="1"/>
    <w:next w:val="1"/>
    <w:qFormat/>
    <w:uiPriority w:val="0"/>
    <w:pPr>
      <w:pBdr>
        <w:bottom w:val="single" w:color="auto" w:sz="6" w:space="1"/>
      </w:pBdr>
      <w:jc w:val="center"/>
    </w:pPr>
    <w:rPr>
      <w:rFonts w:ascii="Arial" w:hAnsi="Calibri" w:eastAsia="宋体" w:cs="Times New Roman"/>
      <w:vanish/>
      <w:sz w:val="16"/>
    </w:rPr>
  </w:style>
  <w:style w:type="paragraph" w:customStyle="1" w:styleId="81">
    <w:name w:val="WPSOffice手动目录 1"/>
    <w:qFormat/>
    <w:uiPriority w:val="0"/>
    <w:rPr>
      <w:rFonts w:ascii="Times New Roman" w:hAnsi="Times New Roman" w:eastAsia="宋体" w:cs="Times New Roman"/>
      <w:lang w:val="en-US" w:eastAsia="zh-CN" w:bidi="ar-SA"/>
    </w:rPr>
  </w:style>
  <w:style w:type="paragraph" w:customStyle="1" w:styleId="8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83">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84">
    <w:name w:val="普通(网站)1"/>
    <w:basedOn w:val="1"/>
    <w:qFormat/>
    <w:uiPriority w:val="0"/>
    <w:pPr>
      <w:spacing w:before="100" w:beforeAutospacing="1" w:after="100" w:afterAutospacing="1"/>
      <w:jc w:val="left"/>
    </w:pPr>
    <w:rPr>
      <w:rFonts w:ascii="Calibri" w:hAnsi="Calibri" w:eastAsia="宋体" w:cs="Calibri"/>
      <w:kern w:val="0"/>
      <w:sz w:val="24"/>
      <w:szCs w:val="24"/>
    </w:rPr>
  </w:style>
  <w:style w:type="paragraph" w:customStyle="1" w:styleId="85">
    <w:name w:val="标题 21"/>
    <w:basedOn w:val="1"/>
    <w:qFormat/>
    <w:uiPriority w:val="0"/>
    <w:pPr>
      <w:widowControl/>
      <w:spacing w:line="590" w:lineRule="exact"/>
      <w:ind w:firstLine="560" w:firstLineChars="200"/>
      <w:jc w:val="left"/>
      <w:outlineLvl w:val="1"/>
    </w:pPr>
    <w:rPr>
      <w:rFonts w:hint="eastAsia" w:ascii="宋体" w:hAnsi="宋体" w:eastAsia="方正仿宋_GBK" w:cs="Calibri"/>
      <w:b/>
      <w:kern w:val="0"/>
      <w:sz w:val="32"/>
      <w:szCs w:val="36"/>
    </w:rPr>
  </w:style>
  <w:style w:type="paragraph" w:customStyle="1" w:styleId="86">
    <w:name w:val="font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7">
    <w:name w:val="font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8">
    <w:name w:val="font7"/>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89">
    <w:name w:val="xl78"/>
    <w:basedOn w:val="1"/>
    <w:qFormat/>
    <w:uiPriority w:val="0"/>
    <w:pPr>
      <w:widowControl/>
      <w:spacing w:before="100" w:beforeAutospacing="1" w:after="100" w:afterAutospacing="1"/>
      <w:jc w:val="left"/>
    </w:pPr>
    <w:rPr>
      <w:rFonts w:ascii="黑体" w:hAnsi="黑体" w:eastAsia="黑体" w:cs="宋体"/>
      <w:kern w:val="0"/>
      <w:sz w:val="28"/>
      <w:szCs w:val="28"/>
    </w:rPr>
  </w:style>
  <w:style w:type="paragraph" w:customStyle="1" w:styleId="90">
    <w:name w:val="xl79"/>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91">
    <w:name w:val="xl8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8"/>
      <w:szCs w:val="28"/>
    </w:rPr>
  </w:style>
  <w:style w:type="paragraph" w:customStyle="1" w:styleId="9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9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96">
    <w:name w:val="xl8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97">
    <w:name w:val="xl8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98">
    <w:name w:val="xl87"/>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9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00">
    <w:name w:val="xl8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01">
    <w:name w:val="xl90"/>
    <w:basedOn w:val="1"/>
    <w:qFormat/>
    <w:uiPriority w:val="0"/>
    <w:pPr>
      <w:widowControl/>
      <w:pBdr>
        <w:bottom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02">
    <w:name w:val="xl9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0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04">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05">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06">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07">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08">
    <w:name w:val="xl9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09">
    <w:name w:val="xl9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10">
    <w:name w:val="xl9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11">
    <w:name w:val="xl10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2">
    <w:name w:val="xl10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13">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14">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1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16">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17">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118">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1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20">
    <w:name w:val="xl10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121">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122">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23">
    <w:name w:val="xl11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24">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125">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26">
    <w:name w:val="xl11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27">
    <w:name w:val="xl11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28">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29">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30">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1">
    <w:name w:val="xl12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2">
    <w:name w:val="xl12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3">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4">
    <w:name w:val="xl123"/>
    <w:basedOn w:val="1"/>
    <w:qFormat/>
    <w:uiPriority w:val="0"/>
    <w:pPr>
      <w:widowControl/>
      <w:spacing w:before="100" w:beforeAutospacing="1" w:after="100" w:afterAutospacing="1"/>
      <w:jc w:val="center"/>
      <w:textAlignment w:val="center"/>
    </w:pPr>
    <w:rPr>
      <w:rFonts w:ascii="宋体" w:hAnsi="宋体" w:eastAsia="宋体" w:cs="宋体"/>
      <w:b/>
      <w:bCs/>
      <w:kern w:val="0"/>
      <w:sz w:val="36"/>
      <w:szCs w:val="36"/>
    </w:rPr>
  </w:style>
  <w:style w:type="paragraph" w:customStyle="1" w:styleId="135">
    <w:name w:val="xl124"/>
    <w:basedOn w:val="1"/>
    <w:qFormat/>
    <w:uiPriority w:val="0"/>
    <w:pPr>
      <w:widowControl/>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136">
    <w:name w:val="xl125"/>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7">
    <w:name w:val="xl12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38">
    <w:name w:val="xl127"/>
    <w:basedOn w:val="1"/>
    <w:qFormat/>
    <w:uiPriority w:val="0"/>
    <w:pPr>
      <w:widowControl/>
      <w:spacing w:before="100" w:beforeAutospacing="1" w:after="100" w:afterAutospacing="1"/>
      <w:jc w:val="center"/>
      <w:textAlignment w:val="center"/>
    </w:pPr>
    <w:rPr>
      <w:rFonts w:ascii="黑体" w:hAnsi="黑体" w:eastAsia="黑体" w:cs="宋体"/>
      <w:kern w:val="0"/>
      <w:sz w:val="40"/>
      <w:szCs w:val="40"/>
    </w:rPr>
  </w:style>
  <w:style w:type="paragraph" w:customStyle="1" w:styleId="139">
    <w:name w:val="xl128"/>
    <w:basedOn w:val="1"/>
    <w:qFormat/>
    <w:uiPriority w:val="0"/>
    <w:pPr>
      <w:widowControl/>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140">
    <w:name w:val="xl129"/>
    <w:basedOn w:val="1"/>
    <w:qFormat/>
    <w:uiPriority w:val="0"/>
    <w:pPr>
      <w:widowControl/>
      <w:spacing w:before="100" w:beforeAutospacing="1" w:after="100" w:afterAutospacing="1"/>
      <w:jc w:val="center"/>
      <w:textAlignment w:val="center"/>
    </w:pPr>
    <w:rPr>
      <w:rFonts w:ascii="宋体" w:hAnsi="宋体" w:eastAsia="宋体" w:cs="宋体"/>
      <w:b/>
      <w:bCs/>
      <w:kern w:val="0"/>
      <w:sz w:val="36"/>
      <w:szCs w:val="36"/>
    </w:rPr>
  </w:style>
  <w:style w:type="paragraph" w:customStyle="1" w:styleId="141">
    <w:name w:val="xl130"/>
    <w:basedOn w:val="1"/>
    <w:qFormat/>
    <w:uiPriority w:val="0"/>
    <w:pPr>
      <w:widowControl/>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142">
    <w:name w:val="xl131"/>
    <w:basedOn w:val="1"/>
    <w:qFormat/>
    <w:uiPriority w:val="0"/>
    <w:pPr>
      <w:widowControl/>
      <w:spacing w:before="100" w:beforeAutospacing="1" w:after="100" w:afterAutospacing="1"/>
      <w:jc w:val="center"/>
      <w:textAlignment w:val="center"/>
    </w:pPr>
    <w:rPr>
      <w:rFonts w:ascii="宋体" w:hAnsi="宋体" w:eastAsia="宋体" w:cs="宋体"/>
      <w:b/>
      <w:bCs/>
      <w:kern w:val="0"/>
      <w:sz w:val="36"/>
      <w:szCs w:val="36"/>
    </w:rPr>
  </w:style>
  <w:style w:type="paragraph" w:customStyle="1" w:styleId="143">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44">
    <w:name w:val="xl13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45">
    <w:name w:val="xl13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46">
    <w:name w:val="xl1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47">
    <w:name w:val="xl13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48">
    <w:name w:val="xl13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49">
    <w:name w:val="xl13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50">
    <w:name w:val="xl13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51">
    <w:name w:val="xl14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52">
    <w:name w:val="xl141"/>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53">
    <w:name w:val="xl14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54">
    <w:name w:val="xl14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55">
    <w:name w:val="xl14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56">
    <w:name w:val="xl14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57">
    <w:name w:val="xl14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58">
    <w:name w:val="xl14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59">
    <w:name w:val="xl14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60">
    <w:name w:val="xl149"/>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61">
    <w:name w:val="xl15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24522</Words>
  <Characters>25525</Characters>
  <Lines>231</Lines>
  <Paragraphs>65</Paragraphs>
  <TotalTime>44</TotalTime>
  <ScaleCrop>false</ScaleCrop>
  <LinksUpToDate>false</LinksUpToDate>
  <CharactersWithSpaces>25550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2023-03-06T07:28:00Z</dcterms:created>
  <dc:creator>yikex</dc:creator>
  <cp:lastModifiedBy>黄杰贞</cp:lastModifiedBy>
  <dcterms:modified xsi:type="dcterms:W3CDTF">2023-03-21T02:31:18Z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4DD1CBB913234B92AA023D4CE58F9A2C</vt:lpwstr>
  </property>
</Properties>
</file>