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W w:w="1421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162"/>
        <w:gridCol w:w="1731"/>
        <w:gridCol w:w="1156"/>
        <w:gridCol w:w="1302"/>
        <w:gridCol w:w="1592"/>
        <w:gridCol w:w="2314"/>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216" w:type="dxa"/>
            <w:gridSpan w:val="8"/>
            <w:tcBorders>
              <w:top w:val="nil"/>
              <w:left w:val="nil"/>
              <w:right w:val="nil"/>
            </w:tcBorders>
            <w:vAlign w:val="center"/>
          </w:tcPr>
          <w:p>
            <w:pPr>
              <w:jc w:val="left"/>
              <w:rPr>
                <w:rFonts w:ascii="黑体" w:hAnsi="黑体" w:eastAsia="黑体"/>
                <w:b/>
                <w:bCs/>
                <w:sz w:val="32"/>
                <w:szCs w:val="32"/>
              </w:rPr>
            </w:pPr>
            <w:r>
              <w:rPr>
                <w:rFonts w:hint="eastAsia" w:ascii="黑体" w:hAnsi="黑体" w:eastAsia="黑体"/>
                <w:b/>
                <w:sz w:val="32"/>
                <w:szCs w:val="32"/>
              </w:rPr>
              <w:t>附件1</w:t>
            </w:r>
          </w:p>
          <w:p>
            <w:pPr>
              <w:jc w:val="center"/>
              <w:rPr>
                <w:rFonts w:ascii="仿宋_GB2312" w:hAnsi="宋体" w:eastAsia="仿宋_GB2312"/>
                <w:b/>
                <w:bCs/>
                <w:sz w:val="44"/>
                <w:szCs w:val="44"/>
              </w:rPr>
            </w:pPr>
            <w:r>
              <w:rPr>
                <w:rFonts w:hint="eastAsia" w:ascii="华文中宋" w:hAnsi="华文中宋" w:eastAsia="华文中宋"/>
                <w:b/>
                <w:bCs/>
                <w:sz w:val="44"/>
                <w:szCs w:val="44"/>
              </w:rPr>
              <w:t>矿山（井工煤矿）安全生产综合整治检查表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187" w:type="dxa"/>
            <w:gridSpan w:val="2"/>
            <w:vAlign w:val="center"/>
          </w:tcPr>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企业名称</w:t>
            </w:r>
          </w:p>
        </w:tc>
        <w:tc>
          <w:tcPr>
            <w:tcW w:w="5781" w:type="dxa"/>
            <w:gridSpan w:val="4"/>
            <w:vAlign w:val="center"/>
          </w:tcPr>
          <w:p>
            <w:pPr>
              <w:jc w:val="center"/>
              <w:rPr>
                <w:rFonts w:asciiTheme="majorEastAsia" w:hAnsiTheme="majorEastAsia" w:eastAsiaTheme="majorEastAsia"/>
                <w:b/>
                <w:bCs/>
                <w:sz w:val="32"/>
                <w:szCs w:val="32"/>
              </w:rPr>
            </w:pPr>
          </w:p>
        </w:tc>
        <w:tc>
          <w:tcPr>
            <w:tcW w:w="2314" w:type="dxa"/>
            <w:vAlign w:val="center"/>
          </w:tcPr>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企业类别</w:t>
            </w:r>
          </w:p>
        </w:tc>
        <w:tc>
          <w:tcPr>
            <w:tcW w:w="2934" w:type="dxa"/>
            <w:vAlign w:val="center"/>
          </w:tcPr>
          <w:p>
            <w:pPr>
              <w:jc w:val="center"/>
              <w:rPr>
                <w:rFonts w:asciiTheme="majorEastAsia" w:hAnsiTheme="majorEastAsia" w:eastAsiaTheme="majorEastAsia"/>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187" w:type="dxa"/>
            <w:gridSpan w:val="2"/>
            <w:vAlign w:val="center"/>
          </w:tcPr>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经营性质</w:t>
            </w:r>
          </w:p>
        </w:tc>
        <w:tc>
          <w:tcPr>
            <w:tcW w:w="1731" w:type="dxa"/>
            <w:vAlign w:val="center"/>
          </w:tcPr>
          <w:p>
            <w:pPr>
              <w:jc w:val="center"/>
              <w:rPr>
                <w:rFonts w:asciiTheme="majorEastAsia" w:hAnsiTheme="majorEastAsia" w:eastAsiaTheme="majorEastAsia"/>
                <w:b/>
                <w:bCs/>
                <w:sz w:val="32"/>
                <w:szCs w:val="32"/>
              </w:rPr>
            </w:pPr>
          </w:p>
        </w:tc>
        <w:tc>
          <w:tcPr>
            <w:tcW w:w="2458" w:type="dxa"/>
            <w:gridSpan w:val="2"/>
            <w:vAlign w:val="center"/>
          </w:tcPr>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设计能力</w:t>
            </w:r>
          </w:p>
        </w:tc>
        <w:tc>
          <w:tcPr>
            <w:tcW w:w="1592" w:type="dxa"/>
            <w:vAlign w:val="center"/>
          </w:tcPr>
          <w:p>
            <w:pPr>
              <w:jc w:val="center"/>
              <w:rPr>
                <w:rFonts w:asciiTheme="majorEastAsia" w:hAnsiTheme="majorEastAsia" w:eastAsiaTheme="majorEastAsia"/>
                <w:b/>
                <w:bCs/>
                <w:sz w:val="32"/>
                <w:szCs w:val="32"/>
              </w:rPr>
            </w:pPr>
          </w:p>
        </w:tc>
        <w:tc>
          <w:tcPr>
            <w:tcW w:w="2314" w:type="dxa"/>
            <w:vAlign w:val="center"/>
          </w:tcPr>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检查时间</w:t>
            </w:r>
          </w:p>
        </w:tc>
        <w:tc>
          <w:tcPr>
            <w:tcW w:w="2934" w:type="dxa"/>
            <w:vAlign w:val="center"/>
          </w:tcPr>
          <w:p>
            <w:pPr>
              <w:jc w:val="center"/>
              <w:rPr>
                <w:rFonts w:asciiTheme="majorEastAsia" w:hAnsiTheme="majorEastAsia" w:eastAsiaTheme="majorEastAsia"/>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216" w:type="dxa"/>
            <w:gridSpan w:val="8"/>
            <w:vAlign w:val="center"/>
          </w:tcPr>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参与安全检查人员名单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25" w:type="dxa"/>
            <w:vAlign w:val="center"/>
          </w:tcPr>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姓名</w:t>
            </w:r>
          </w:p>
        </w:tc>
        <w:tc>
          <w:tcPr>
            <w:tcW w:w="4049" w:type="dxa"/>
            <w:gridSpan w:val="3"/>
            <w:vAlign w:val="center"/>
          </w:tcPr>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单位</w:t>
            </w:r>
          </w:p>
        </w:tc>
        <w:tc>
          <w:tcPr>
            <w:tcW w:w="2894" w:type="dxa"/>
            <w:gridSpan w:val="2"/>
            <w:vAlign w:val="center"/>
          </w:tcPr>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职称/职务</w:t>
            </w:r>
          </w:p>
        </w:tc>
        <w:tc>
          <w:tcPr>
            <w:tcW w:w="2314" w:type="dxa"/>
            <w:vAlign w:val="center"/>
          </w:tcPr>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专业</w:t>
            </w:r>
          </w:p>
        </w:tc>
        <w:tc>
          <w:tcPr>
            <w:tcW w:w="2934" w:type="dxa"/>
            <w:vAlign w:val="center"/>
          </w:tcPr>
          <w:p>
            <w:pPr>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25" w:type="dxa"/>
            <w:vAlign w:val="center"/>
          </w:tcPr>
          <w:p>
            <w:pPr>
              <w:jc w:val="center"/>
              <w:rPr>
                <w:rFonts w:ascii="仿宋_GB2312" w:hAnsi="宋体" w:eastAsia="仿宋_GB2312"/>
                <w:b/>
                <w:bCs/>
                <w:sz w:val="32"/>
                <w:szCs w:val="32"/>
              </w:rPr>
            </w:pPr>
          </w:p>
        </w:tc>
        <w:tc>
          <w:tcPr>
            <w:tcW w:w="4049" w:type="dxa"/>
            <w:gridSpan w:val="3"/>
            <w:vAlign w:val="center"/>
          </w:tcPr>
          <w:p>
            <w:pPr>
              <w:jc w:val="center"/>
              <w:rPr>
                <w:rFonts w:ascii="仿宋_GB2312" w:hAnsi="宋体" w:eastAsia="仿宋_GB2312"/>
                <w:b/>
                <w:bCs/>
                <w:sz w:val="32"/>
                <w:szCs w:val="32"/>
              </w:rPr>
            </w:pPr>
          </w:p>
        </w:tc>
        <w:tc>
          <w:tcPr>
            <w:tcW w:w="2894" w:type="dxa"/>
            <w:gridSpan w:val="2"/>
            <w:vAlign w:val="center"/>
          </w:tcPr>
          <w:p>
            <w:pPr>
              <w:jc w:val="center"/>
              <w:rPr>
                <w:rFonts w:ascii="仿宋_GB2312" w:hAnsi="宋体" w:eastAsia="仿宋_GB2312"/>
                <w:b/>
                <w:bCs/>
                <w:sz w:val="32"/>
                <w:szCs w:val="32"/>
              </w:rPr>
            </w:pPr>
          </w:p>
        </w:tc>
        <w:tc>
          <w:tcPr>
            <w:tcW w:w="2314" w:type="dxa"/>
            <w:vAlign w:val="center"/>
          </w:tcPr>
          <w:p>
            <w:pPr>
              <w:jc w:val="center"/>
              <w:rPr>
                <w:rFonts w:ascii="仿宋_GB2312" w:hAnsi="宋体" w:eastAsia="仿宋_GB2312"/>
                <w:b/>
                <w:bCs/>
                <w:sz w:val="32"/>
                <w:szCs w:val="32"/>
              </w:rPr>
            </w:pPr>
          </w:p>
        </w:tc>
        <w:tc>
          <w:tcPr>
            <w:tcW w:w="2934" w:type="dxa"/>
            <w:vAlign w:val="center"/>
          </w:tcPr>
          <w:p>
            <w:pPr>
              <w:jc w:val="center"/>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25" w:type="dxa"/>
            <w:vAlign w:val="center"/>
          </w:tcPr>
          <w:p>
            <w:pPr>
              <w:jc w:val="center"/>
              <w:rPr>
                <w:rFonts w:ascii="仿宋_GB2312" w:hAnsi="宋体" w:eastAsia="仿宋_GB2312"/>
                <w:b/>
                <w:bCs/>
                <w:sz w:val="32"/>
                <w:szCs w:val="32"/>
              </w:rPr>
            </w:pPr>
          </w:p>
        </w:tc>
        <w:tc>
          <w:tcPr>
            <w:tcW w:w="4049" w:type="dxa"/>
            <w:gridSpan w:val="3"/>
            <w:vAlign w:val="center"/>
          </w:tcPr>
          <w:p>
            <w:pPr>
              <w:jc w:val="center"/>
              <w:rPr>
                <w:rFonts w:ascii="仿宋_GB2312" w:hAnsi="宋体" w:eastAsia="仿宋_GB2312"/>
                <w:b/>
                <w:bCs/>
                <w:sz w:val="32"/>
                <w:szCs w:val="32"/>
              </w:rPr>
            </w:pPr>
          </w:p>
        </w:tc>
        <w:tc>
          <w:tcPr>
            <w:tcW w:w="2894" w:type="dxa"/>
            <w:gridSpan w:val="2"/>
            <w:vAlign w:val="center"/>
          </w:tcPr>
          <w:p>
            <w:pPr>
              <w:jc w:val="center"/>
              <w:rPr>
                <w:rFonts w:ascii="仿宋_GB2312" w:hAnsi="宋体" w:eastAsia="仿宋_GB2312"/>
                <w:b/>
                <w:bCs/>
                <w:sz w:val="32"/>
                <w:szCs w:val="32"/>
              </w:rPr>
            </w:pPr>
          </w:p>
        </w:tc>
        <w:tc>
          <w:tcPr>
            <w:tcW w:w="2314" w:type="dxa"/>
            <w:vAlign w:val="center"/>
          </w:tcPr>
          <w:p>
            <w:pPr>
              <w:jc w:val="center"/>
              <w:rPr>
                <w:rFonts w:ascii="仿宋_GB2312" w:hAnsi="宋体" w:eastAsia="仿宋_GB2312"/>
                <w:b/>
                <w:bCs/>
                <w:sz w:val="32"/>
                <w:szCs w:val="32"/>
              </w:rPr>
            </w:pPr>
          </w:p>
        </w:tc>
        <w:tc>
          <w:tcPr>
            <w:tcW w:w="2934" w:type="dxa"/>
            <w:vAlign w:val="center"/>
          </w:tcPr>
          <w:p>
            <w:pPr>
              <w:jc w:val="center"/>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25" w:type="dxa"/>
            <w:vAlign w:val="center"/>
          </w:tcPr>
          <w:p>
            <w:pPr>
              <w:jc w:val="center"/>
              <w:rPr>
                <w:rFonts w:ascii="仿宋_GB2312" w:hAnsi="宋体" w:eastAsia="仿宋_GB2312"/>
                <w:b/>
                <w:bCs/>
                <w:sz w:val="32"/>
                <w:szCs w:val="32"/>
              </w:rPr>
            </w:pPr>
          </w:p>
        </w:tc>
        <w:tc>
          <w:tcPr>
            <w:tcW w:w="4049" w:type="dxa"/>
            <w:gridSpan w:val="3"/>
            <w:vAlign w:val="center"/>
          </w:tcPr>
          <w:p>
            <w:pPr>
              <w:jc w:val="center"/>
              <w:rPr>
                <w:rFonts w:ascii="仿宋_GB2312" w:hAnsi="宋体" w:eastAsia="仿宋_GB2312"/>
                <w:b/>
                <w:bCs/>
                <w:sz w:val="32"/>
                <w:szCs w:val="32"/>
              </w:rPr>
            </w:pPr>
          </w:p>
        </w:tc>
        <w:tc>
          <w:tcPr>
            <w:tcW w:w="2894" w:type="dxa"/>
            <w:gridSpan w:val="2"/>
            <w:vAlign w:val="center"/>
          </w:tcPr>
          <w:p>
            <w:pPr>
              <w:jc w:val="center"/>
              <w:rPr>
                <w:rFonts w:ascii="仿宋_GB2312" w:hAnsi="宋体" w:eastAsia="仿宋_GB2312"/>
                <w:b/>
                <w:bCs/>
                <w:sz w:val="32"/>
                <w:szCs w:val="32"/>
              </w:rPr>
            </w:pPr>
          </w:p>
        </w:tc>
        <w:tc>
          <w:tcPr>
            <w:tcW w:w="2314" w:type="dxa"/>
            <w:vAlign w:val="center"/>
          </w:tcPr>
          <w:p>
            <w:pPr>
              <w:jc w:val="center"/>
              <w:rPr>
                <w:rFonts w:ascii="仿宋_GB2312" w:hAnsi="宋体" w:eastAsia="仿宋_GB2312"/>
                <w:b/>
                <w:bCs/>
                <w:sz w:val="32"/>
                <w:szCs w:val="32"/>
              </w:rPr>
            </w:pPr>
          </w:p>
        </w:tc>
        <w:tc>
          <w:tcPr>
            <w:tcW w:w="2934" w:type="dxa"/>
            <w:vAlign w:val="center"/>
          </w:tcPr>
          <w:p>
            <w:pPr>
              <w:jc w:val="center"/>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25" w:type="dxa"/>
            <w:vAlign w:val="center"/>
          </w:tcPr>
          <w:p>
            <w:pPr>
              <w:jc w:val="center"/>
              <w:rPr>
                <w:rFonts w:ascii="仿宋_GB2312" w:hAnsi="宋体" w:eastAsia="仿宋_GB2312"/>
                <w:b/>
                <w:bCs/>
                <w:sz w:val="32"/>
                <w:szCs w:val="32"/>
              </w:rPr>
            </w:pPr>
          </w:p>
        </w:tc>
        <w:tc>
          <w:tcPr>
            <w:tcW w:w="4049" w:type="dxa"/>
            <w:gridSpan w:val="3"/>
            <w:vAlign w:val="center"/>
          </w:tcPr>
          <w:p>
            <w:pPr>
              <w:jc w:val="center"/>
              <w:rPr>
                <w:rFonts w:ascii="仿宋_GB2312" w:hAnsi="宋体" w:eastAsia="仿宋_GB2312"/>
                <w:b/>
                <w:bCs/>
                <w:sz w:val="32"/>
                <w:szCs w:val="32"/>
              </w:rPr>
            </w:pPr>
          </w:p>
        </w:tc>
        <w:tc>
          <w:tcPr>
            <w:tcW w:w="2894" w:type="dxa"/>
            <w:gridSpan w:val="2"/>
            <w:vAlign w:val="center"/>
          </w:tcPr>
          <w:p>
            <w:pPr>
              <w:jc w:val="center"/>
              <w:rPr>
                <w:rFonts w:ascii="仿宋_GB2312" w:hAnsi="宋体" w:eastAsia="仿宋_GB2312"/>
                <w:b/>
                <w:bCs/>
                <w:sz w:val="32"/>
                <w:szCs w:val="32"/>
              </w:rPr>
            </w:pPr>
          </w:p>
        </w:tc>
        <w:tc>
          <w:tcPr>
            <w:tcW w:w="2314" w:type="dxa"/>
            <w:vAlign w:val="center"/>
          </w:tcPr>
          <w:p>
            <w:pPr>
              <w:jc w:val="center"/>
              <w:rPr>
                <w:rFonts w:ascii="仿宋_GB2312" w:hAnsi="宋体" w:eastAsia="仿宋_GB2312"/>
                <w:b/>
                <w:bCs/>
                <w:sz w:val="32"/>
                <w:szCs w:val="32"/>
              </w:rPr>
            </w:pPr>
          </w:p>
        </w:tc>
        <w:tc>
          <w:tcPr>
            <w:tcW w:w="2934" w:type="dxa"/>
            <w:vAlign w:val="center"/>
          </w:tcPr>
          <w:p>
            <w:pPr>
              <w:jc w:val="center"/>
              <w:rPr>
                <w:rFonts w:ascii="仿宋_GB2312" w:hAnsi="宋体" w:eastAsia="仿宋_GB2312"/>
                <w:b/>
                <w:bCs/>
                <w:sz w:val="32"/>
                <w:szCs w:val="32"/>
              </w:rPr>
            </w:pPr>
          </w:p>
        </w:tc>
      </w:tr>
    </w:tbl>
    <w:p>
      <w:pPr>
        <w:ind w:firstLine="484" w:firstLineChars="201"/>
        <w:rPr>
          <w:rFonts w:ascii="黑体" w:hAnsi="黑体" w:eastAsia="黑体"/>
          <w:b/>
          <w:sz w:val="32"/>
          <w:szCs w:val="32"/>
        </w:rPr>
      </w:pPr>
      <w:r>
        <w:rPr>
          <w:rFonts w:hint="eastAsia" w:ascii="仿宋_GB2312" w:hAnsi="宋体" w:eastAsia="仿宋_GB2312"/>
          <w:b/>
          <w:bCs/>
          <w:sz w:val="24"/>
        </w:rPr>
        <w:t>备注：“现状描述”监察监管部门不需要填写。</w:t>
      </w:r>
    </w:p>
    <w:p>
      <w:pPr>
        <w:rPr>
          <w:rFonts w:ascii="黑体" w:hAnsi="黑体" w:eastAsia="黑体"/>
          <w:b/>
          <w:sz w:val="32"/>
          <w:szCs w:val="32"/>
        </w:rPr>
      </w:pPr>
    </w:p>
    <w:p>
      <w:pPr>
        <w:rPr>
          <w:rFonts w:ascii="黑体" w:hAnsi="黑体" w:eastAsia="黑体"/>
          <w:b/>
          <w:sz w:val="32"/>
          <w:szCs w:val="32"/>
        </w:rPr>
      </w:pPr>
    </w:p>
    <w:p>
      <w:pPr>
        <w:rPr>
          <w:rFonts w:ascii="黑体" w:hAnsi="黑体" w:eastAsia="黑体"/>
          <w:sz w:val="28"/>
          <w:szCs w:val="28"/>
        </w:rPr>
      </w:pPr>
      <w:r>
        <w:rPr>
          <w:rFonts w:hint="eastAsia" w:ascii="黑体" w:hAnsi="黑体" w:eastAsia="黑体" w:cs="黑体"/>
          <w:sz w:val="28"/>
          <w:szCs w:val="28"/>
        </w:rPr>
        <w:t>一、安全管理单元（</w:t>
      </w:r>
      <w:r>
        <w:rPr>
          <w:rFonts w:ascii="黑体" w:hAnsi="黑体" w:eastAsia="黑体" w:cs="黑体"/>
          <w:sz w:val="28"/>
          <w:szCs w:val="28"/>
        </w:rPr>
        <w:t>4</w:t>
      </w:r>
      <w:r>
        <w:rPr>
          <w:rFonts w:hint="eastAsia" w:ascii="黑体" w:hAnsi="黑体" w:eastAsia="黑体" w:cs="黑体"/>
          <w:sz w:val="28"/>
          <w:szCs w:val="28"/>
          <w:lang w:val="en-US" w:eastAsia="zh-CN"/>
        </w:rPr>
        <w:t>0</w:t>
      </w:r>
      <w:r>
        <w:rPr>
          <w:rFonts w:ascii="黑体" w:hAnsi="黑体" w:eastAsia="黑体" w:cs="黑体"/>
          <w:sz w:val="28"/>
          <w:szCs w:val="28"/>
        </w:rPr>
        <w:t>）</w:t>
      </w:r>
    </w:p>
    <w:tbl>
      <w:tblPr>
        <w:tblStyle w:val="23"/>
        <w:tblW w:w="13751" w:type="dxa"/>
        <w:jc w:val="center"/>
        <w:tblLayout w:type="fixed"/>
        <w:tblCellMar>
          <w:top w:w="0" w:type="dxa"/>
          <w:left w:w="108" w:type="dxa"/>
          <w:bottom w:w="0" w:type="dxa"/>
          <w:right w:w="108" w:type="dxa"/>
        </w:tblCellMar>
      </w:tblPr>
      <w:tblGrid>
        <w:gridCol w:w="726"/>
        <w:gridCol w:w="1148"/>
        <w:gridCol w:w="5541"/>
        <w:gridCol w:w="2331"/>
        <w:gridCol w:w="1333"/>
        <w:gridCol w:w="1333"/>
        <w:gridCol w:w="1339"/>
      </w:tblGrid>
      <w:tr>
        <w:tblPrEx>
          <w:tblCellMar>
            <w:top w:w="0" w:type="dxa"/>
            <w:left w:w="108" w:type="dxa"/>
            <w:bottom w:w="0" w:type="dxa"/>
            <w:right w:w="108" w:type="dxa"/>
          </w:tblCellMar>
        </w:tblPrEx>
        <w:trPr>
          <w:tblHeade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rPr>
            </w:pPr>
            <w:r>
              <w:rPr>
                <w:rFonts w:hint="eastAsia" w:ascii="黑体" w:hAnsi="黑体" w:eastAsia="黑体" w:cs="宋体"/>
                <w:bCs/>
                <w:kern w:val="0"/>
              </w:rPr>
              <w:t>序号</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rPr>
            </w:pPr>
            <w:r>
              <w:rPr>
                <w:rFonts w:hint="eastAsia" w:ascii="黑体" w:hAnsi="黑体" w:eastAsia="黑体" w:cs="宋体"/>
                <w:bCs/>
                <w:kern w:val="0"/>
              </w:rPr>
              <w:t>检查项目</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rPr>
            </w:pPr>
            <w:r>
              <w:rPr>
                <w:rFonts w:hint="eastAsia" w:ascii="黑体" w:hAnsi="黑体" w:eastAsia="黑体" w:cs="宋体"/>
                <w:bCs/>
                <w:kern w:val="0"/>
              </w:rPr>
              <w:t>检查内容</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rPr>
            </w:pPr>
            <w:r>
              <w:rPr>
                <w:rFonts w:hint="eastAsia" w:ascii="黑体" w:hAnsi="黑体" w:eastAsia="黑体" w:cs="宋体"/>
                <w:bCs/>
                <w:kern w:val="0"/>
              </w:rPr>
              <w:t>检查依据</w:t>
            </w:r>
          </w:p>
        </w:tc>
        <w:tc>
          <w:tcPr>
            <w:tcW w:w="133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kern w:val="0"/>
              </w:rPr>
            </w:pPr>
            <w:r>
              <w:rPr>
                <w:rFonts w:hint="eastAsia" w:ascii="黑体" w:hAnsi="黑体" w:eastAsia="黑体" w:cs="宋体"/>
                <w:bCs/>
                <w:kern w:val="0"/>
              </w:rPr>
              <w:t>现状描述</w:t>
            </w:r>
          </w:p>
        </w:tc>
        <w:tc>
          <w:tcPr>
            <w:tcW w:w="133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kern w:val="0"/>
              </w:rPr>
            </w:pPr>
            <w:r>
              <w:rPr>
                <w:rFonts w:hint="eastAsia" w:ascii="黑体" w:hAnsi="黑体" w:eastAsia="黑体" w:cs="宋体"/>
                <w:bCs/>
                <w:kern w:val="0"/>
              </w:rPr>
              <w:t>存在问题</w:t>
            </w:r>
          </w:p>
        </w:tc>
        <w:tc>
          <w:tcPr>
            <w:tcW w:w="1339" w:type="dxa"/>
            <w:tcBorders>
              <w:top w:val="single" w:color="000000" w:sz="4" w:space="0"/>
              <w:left w:val="single" w:color="000000" w:sz="4" w:space="0"/>
              <w:bottom w:val="single" w:color="000000" w:sz="4" w:space="0"/>
              <w:right w:val="single" w:color="auto" w:sz="4" w:space="0"/>
            </w:tcBorders>
          </w:tcPr>
          <w:p>
            <w:pPr>
              <w:jc w:val="center"/>
              <w:textAlignment w:val="center"/>
              <w:rPr>
                <w:rFonts w:ascii="黑体" w:hAnsi="黑体" w:eastAsia="黑体" w:cs="宋体"/>
                <w:bCs/>
                <w:kern w:val="0"/>
              </w:rPr>
            </w:pPr>
            <w:r>
              <w:rPr>
                <w:rFonts w:hint="eastAsia" w:ascii="黑体" w:hAnsi="黑体" w:eastAsia="黑体" w:cs="宋体"/>
                <w:bCs/>
                <w:kern w:val="0"/>
              </w:rPr>
              <w:t>处置措施</w:t>
            </w:r>
          </w:p>
        </w:tc>
      </w:tr>
      <w:tr>
        <w:tblPrEx>
          <w:tblCellMar>
            <w:top w:w="0" w:type="dxa"/>
            <w:left w:w="108" w:type="dxa"/>
            <w:bottom w:w="0" w:type="dxa"/>
            <w:right w:w="108" w:type="dxa"/>
          </w:tblCellMar>
        </w:tblPrEx>
        <w:trPr>
          <w:jc w:val="center"/>
        </w:trPr>
        <w:tc>
          <w:tcPr>
            <w:tcW w:w="13751" w:type="dxa"/>
            <w:gridSpan w:val="7"/>
            <w:tcBorders>
              <w:top w:val="single" w:color="000000" w:sz="4" w:space="0"/>
              <w:left w:val="single" w:color="000000" w:sz="4" w:space="0"/>
              <w:bottom w:val="single" w:color="000000" w:sz="4" w:space="0"/>
              <w:right w:val="single" w:color="auto" w:sz="4" w:space="0"/>
            </w:tcBorders>
          </w:tcPr>
          <w:p>
            <w:pPr>
              <w:jc w:val="left"/>
              <w:textAlignment w:val="center"/>
              <w:rPr>
                <w:rFonts w:ascii="宋体" w:cs="宋体"/>
                <w:kern w:val="0"/>
              </w:rPr>
            </w:pPr>
            <w:r>
              <w:rPr>
                <w:rFonts w:hint="eastAsia" w:ascii="黑体" w:hAnsi="黑体" w:eastAsia="黑体" w:cs="黑体"/>
                <w:kern w:val="0"/>
              </w:rPr>
              <w:t>（一）组织机构安全管理责任制规章制度</w:t>
            </w: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1</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安全生产许可证</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煤矿企业必须取得安全生产许可证。</w:t>
            </w:r>
          </w:p>
          <w:p>
            <w:pPr>
              <w:jc w:val="left"/>
              <w:textAlignment w:val="center"/>
              <w:rPr>
                <w:rFonts w:ascii="宋体" w:cs="宋体"/>
                <w:kern w:val="0"/>
              </w:rPr>
            </w:pPr>
            <w:r>
              <w:rPr>
                <w:rFonts w:hint="eastAsia" w:ascii="宋体" w:hAnsi="宋体" w:cs="宋体"/>
                <w:kern w:val="0"/>
              </w:rPr>
              <w:t>安全生产许可证的有效期满前</w:t>
            </w:r>
            <w:r>
              <w:rPr>
                <w:rFonts w:ascii="宋体" w:hAnsi="宋体" w:cs="宋体"/>
                <w:kern w:val="0"/>
              </w:rPr>
              <w:t>3</w:t>
            </w:r>
            <w:r>
              <w:rPr>
                <w:rFonts w:hint="eastAsia" w:ascii="宋体" w:hAnsi="宋体" w:cs="宋体"/>
                <w:kern w:val="0"/>
              </w:rPr>
              <w:t>个月依法提出延期申请。</w:t>
            </w:r>
          </w:p>
          <w:p>
            <w:pPr>
              <w:jc w:val="left"/>
              <w:textAlignment w:val="center"/>
              <w:rPr>
                <w:rFonts w:ascii="宋体" w:cs="宋体"/>
              </w:rPr>
            </w:pPr>
            <w:r>
              <w:rPr>
                <w:rFonts w:hint="eastAsia" w:ascii="宋体" w:hAnsi="宋体" w:cs="宋体"/>
                <w:kern w:val="0"/>
              </w:rPr>
              <w:t>主要负责人、隶属关系、经济类型的、企业名称变更后，自工商营业执照变更之日起</w:t>
            </w:r>
            <w:r>
              <w:rPr>
                <w:rFonts w:ascii="宋体" w:hAnsi="宋体" w:cs="宋体"/>
                <w:kern w:val="0"/>
              </w:rPr>
              <w:t>10</w:t>
            </w:r>
            <w:r>
              <w:rPr>
                <w:rFonts w:hint="eastAsia" w:ascii="宋体" w:hAnsi="宋体" w:cs="宋体"/>
                <w:kern w:val="0"/>
              </w:rPr>
              <w:t>个工作日内提出变更安全生产许可证申请；改（扩）建工程验收合格后，应当在改建、扩建工程验收合格后</w:t>
            </w:r>
            <w:r>
              <w:rPr>
                <w:rFonts w:ascii="宋体" w:hAnsi="宋体" w:cs="宋体"/>
                <w:kern w:val="0"/>
              </w:rPr>
              <w:t>10</w:t>
            </w:r>
            <w:r>
              <w:rPr>
                <w:rFonts w:hint="eastAsia" w:ascii="宋体" w:hAnsi="宋体" w:cs="宋体"/>
                <w:kern w:val="0"/>
              </w:rPr>
              <w:t>个工作日内提出变更安全生产许可证申请。</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《煤矿企业安全生产许可证实施办法》第二条，第十七条，第二十条。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auto"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2</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安全生产管理机构</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设置安全生产管理机构，配备专职安全生产管理人员。专职安全生产管理人员配备数量是否符合劳动定员标准。</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《煤矿企业安全生产许可证实施办法》第六条，《中华人民共和国安全生产法》第二十四条。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3</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防突机构</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煤与瓦斯突出矿井应当设置防突机构及专业防突队伍。防突机构人员配备是否符合《国家矿山安全监察局关于加强煤与瓦斯突出防治工作的通知》（矿安</w:t>
            </w:r>
            <w:r>
              <w:rPr>
                <w:rFonts w:hint="eastAsia" w:asciiTheme="majorEastAsia" w:hAnsiTheme="majorEastAsia" w:eastAsiaTheme="majorEastAsia"/>
                <w:szCs w:val="21"/>
              </w:rPr>
              <w:t>〔</w:t>
            </w:r>
            <w:r>
              <w:rPr>
                <w:rFonts w:asciiTheme="majorEastAsia" w:hAnsiTheme="majorEastAsia" w:eastAsiaTheme="majorEastAsia"/>
                <w:szCs w:val="21"/>
              </w:rPr>
              <w:t>20</w:t>
            </w:r>
            <w:r>
              <w:rPr>
                <w:rFonts w:hint="eastAsia" w:asciiTheme="majorEastAsia" w:hAnsiTheme="majorEastAsia" w:eastAsiaTheme="majorEastAsia"/>
                <w:szCs w:val="21"/>
              </w:rPr>
              <w:t>22</w:t>
            </w:r>
            <w:r>
              <w:rPr>
                <w:rFonts w:asciiTheme="majorEastAsia" w:hAnsiTheme="majorEastAsia" w:eastAsiaTheme="majorEastAsia"/>
                <w:szCs w:val="21"/>
              </w:rPr>
              <w:t>〕</w:t>
            </w:r>
            <w:r>
              <w:rPr>
                <w:rFonts w:hint="eastAsia" w:ascii="宋体" w:hAnsi="宋体" w:cs="宋体"/>
                <w:kern w:val="0"/>
              </w:rPr>
              <w:t>68号）要求。</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《防治煤与瓦斯突出细则》第四条，三十六条，四十二条。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4</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防治水机构和队伍</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水文地质条件复杂、极复杂的，应当设立专门的防治水机构。配备满足工作需要的防治水专业技术人员，建立专门的探放水作业队伍。人员配备数量是否符合劳动定员标准。</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《煤矿安全规程》第二百八十三条，《煤矿防治水细则》第五条。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5</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主要负责人安全生产责任制建立</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是否建立健全主要负责人安全生产责任制。</w:t>
            </w:r>
          </w:p>
          <w:p>
            <w:pPr>
              <w:jc w:val="left"/>
              <w:textAlignment w:val="center"/>
              <w:rPr>
                <w:rFonts w:ascii="宋体" w:hAnsi="宋体" w:cs="宋体"/>
                <w:kern w:val="0"/>
              </w:rPr>
            </w:pPr>
            <w:r>
              <w:rPr>
                <w:rFonts w:hint="eastAsia" w:ascii="宋体" w:hAnsi="宋体" w:cs="宋体"/>
                <w:kern w:val="0"/>
              </w:rPr>
              <w:t>主要负责人责任制是否符合《中华人民共和国安全生产法》规定。</w:t>
            </w:r>
          </w:p>
          <w:p>
            <w:pPr>
              <w:jc w:val="left"/>
              <w:textAlignment w:val="center"/>
              <w:rPr>
                <w:rFonts w:ascii="宋体" w:hAnsi="宋体" w:cs="宋体"/>
                <w:kern w:val="0"/>
              </w:rPr>
            </w:pPr>
            <w:r>
              <w:rPr>
                <w:rFonts w:hint="eastAsia" w:ascii="宋体" w:hAnsi="宋体" w:cs="宋体"/>
                <w:kern w:val="0"/>
              </w:rPr>
              <w:t>主要负责人安全生产责任是否符合上级规范性文件。</w:t>
            </w:r>
          </w:p>
          <w:p>
            <w:pPr>
              <w:jc w:val="left"/>
              <w:textAlignment w:val="center"/>
              <w:rPr>
                <w:rFonts w:ascii="宋体" w:cs="宋体"/>
              </w:rPr>
            </w:pPr>
            <w:r>
              <w:rPr>
                <w:rFonts w:hint="eastAsia" w:ascii="宋体" w:hAnsi="宋体" w:cs="宋体"/>
                <w:kern w:val="0"/>
              </w:rPr>
              <w:t>主要负责人安全生产责任是否符合本单位和本岗位工作实际。</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《中华人民共和国安全生产法》第四条，第五条，第二十一条，《煤矿安全规程》第四条，《煤矿企业安全生产许可证实施办法》第六条。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6</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安全生产管理人员安全生产责任制建立</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是否建立健全安全生产管理人员安全生产责任制。</w:t>
            </w:r>
          </w:p>
          <w:p>
            <w:pPr>
              <w:jc w:val="left"/>
              <w:textAlignment w:val="center"/>
              <w:rPr>
                <w:rFonts w:ascii="宋体" w:hAnsi="宋体" w:cs="宋体"/>
                <w:kern w:val="0"/>
              </w:rPr>
            </w:pPr>
            <w:r>
              <w:rPr>
                <w:rFonts w:hint="eastAsia" w:ascii="宋体" w:hAnsi="宋体" w:cs="宋体"/>
                <w:kern w:val="0"/>
              </w:rPr>
              <w:t>安全生产责任制是否符合《中华人民共和国安全生产法》第二十五条的规定。是否明确责任范围和考核标准等内容。</w:t>
            </w:r>
          </w:p>
          <w:p>
            <w:pPr>
              <w:jc w:val="left"/>
              <w:textAlignment w:val="center"/>
              <w:rPr>
                <w:rFonts w:ascii="宋体" w:cs="宋体"/>
              </w:rPr>
            </w:pPr>
            <w:r>
              <w:rPr>
                <w:rFonts w:hint="eastAsia" w:ascii="宋体" w:hAnsi="宋体" w:cs="宋体"/>
                <w:kern w:val="0"/>
              </w:rPr>
              <w:t>安全生产管理人员责任制是否符合本单位和本岗位工作实际。</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《中华人民共和国安全生产法》第四条，第二十二条，第二十五条，《煤矿安全规程》第四条，《煤矿企业安全生产许可证实施办法》第六条。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7</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职能部门安全生产责任制建立</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是否建立健全安全生产责任制。</w:t>
            </w:r>
          </w:p>
          <w:p>
            <w:pPr>
              <w:jc w:val="left"/>
              <w:textAlignment w:val="center"/>
              <w:rPr>
                <w:rFonts w:ascii="宋体" w:cs="宋体"/>
              </w:rPr>
            </w:pPr>
            <w:r>
              <w:rPr>
                <w:rFonts w:hint="eastAsia" w:ascii="宋体" w:hAnsi="宋体" w:cs="宋体"/>
                <w:kern w:val="0"/>
              </w:rPr>
              <w:t>安全生产责任制是否符合法律法规，是否符合本单位和本岗位工作实际。</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《煤矿安全规程》第四条，《煤矿企业安全生产许可证实施办法》第六条。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8</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岗位安全生产责任制建立</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是否建立健全各岗位安全生产责任制。</w:t>
            </w:r>
          </w:p>
          <w:p>
            <w:pPr>
              <w:jc w:val="left"/>
              <w:textAlignment w:val="center"/>
              <w:rPr>
                <w:rFonts w:ascii="宋体" w:cs="宋体"/>
              </w:rPr>
            </w:pPr>
            <w:r>
              <w:rPr>
                <w:rFonts w:hint="eastAsia" w:ascii="宋体" w:hAnsi="宋体" w:cs="宋体"/>
                <w:kern w:val="0"/>
              </w:rPr>
              <w:t>安全生产责任制是否符合法律法规，是否符合本单位和本岗位工作实际。</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《煤矿安全规程》第四条，《煤矿企业安全生产许可证实施办法》第六条。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9</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安全生产规章制度建立</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必须建立健全安全生产目标管理、投入、奖惩、技术措施审批、培训、办公会议制度，安全检查制度，事故隐患排查、治理、报告制度，事故报告与责任追究制度，设备、设施检查维修制度、地质灾害普查、井下劳动组织定员、矿领导带班下井、井工煤矿入井检身与出入井人员清点等安全生产规章制度和本单位的操作规程。</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《煤矿安全规程》第四条，《煤矿企业安全生产许可证实施办法》第六条。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10</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隐患排查治理责任落实</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按规定定期组织排查事故隐患。</w:t>
            </w:r>
          </w:p>
          <w:p>
            <w:pPr>
              <w:jc w:val="left"/>
              <w:textAlignment w:val="center"/>
              <w:rPr>
                <w:rFonts w:ascii="宋体" w:hAnsi="宋体" w:cs="宋体"/>
                <w:kern w:val="0"/>
              </w:rPr>
            </w:pPr>
            <w:r>
              <w:rPr>
                <w:rFonts w:hint="eastAsia" w:ascii="宋体" w:hAnsi="宋体" w:cs="宋体"/>
                <w:kern w:val="0"/>
              </w:rPr>
              <w:t>按规定对事故隐患登记建档。</w:t>
            </w:r>
          </w:p>
          <w:p>
            <w:pPr>
              <w:jc w:val="left"/>
              <w:textAlignment w:val="center"/>
              <w:rPr>
                <w:rFonts w:ascii="宋体" w:hAnsi="宋体" w:cs="宋体"/>
                <w:kern w:val="0"/>
              </w:rPr>
            </w:pPr>
            <w:r>
              <w:rPr>
                <w:rFonts w:hint="eastAsia" w:ascii="宋体" w:hAnsi="宋体" w:cs="宋体"/>
                <w:kern w:val="0"/>
              </w:rPr>
              <w:t>按规定对重大事故隐患进行报告。</w:t>
            </w:r>
          </w:p>
          <w:p>
            <w:pPr>
              <w:jc w:val="left"/>
              <w:textAlignment w:val="center"/>
              <w:rPr>
                <w:rFonts w:ascii="宋体" w:cs="宋体"/>
              </w:rPr>
            </w:pPr>
            <w:r>
              <w:rPr>
                <w:rFonts w:hint="eastAsia" w:ascii="宋体" w:hAnsi="宋体" w:cs="宋体"/>
                <w:kern w:val="0"/>
              </w:rPr>
              <w:t>按规定事故隐患进行整改。</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《中华人民共和国安全生产法》第四条，第四十一条，《安全生产事故隐患排查治理暂行规定》第二十条。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11</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领导干部带班职责落实</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每班必须有矿领导带班下井。煤矿的主要负责人每月带班下井不得少于</w:t>
            </w:r>
            <w:r>
              <w:rPr>
                <w:rFonts w:ascii="宋体" w:hAnsi="宋体" w:cs="宋体"/>
                <w:kern w:val="0"/>
              </w:rPr>
              <w:t>5</w:t>
            </w:r>
            <w:r>
              <w:rPr>
                <w:rFonts w:hint="eastAsia" w:ascii="宋体" w:hAnsi="宋体" w:cs="宋体"/>
                <w:kern w:val="0"/>
              </w:rPr>
              <w:t>个。</w:t>
            </w:r>
          </w:p>
          <w:p>
            <w:pPr>
              <w:jc w:val="left"/>
              <w:textAlignment w:val="center"/>
              <w:rPr>
                <w:rFonts w:ascii="宋体" w:cs="宋体"/>
              </w:rPr>
            </w:pPr>
            <w:r>
              <w:rPr>
                <w:rFonts w:hint="eastAsia" w:ascii="宋体" w:hAnsi="宋体" w:cs="宋体"/>
                <w:kern w:val="0"/>
              </w:rPr>
              <w:t>煤矿领导带班下井时，其领导姓名应当在井口明显位置公示。煤矿领导每月带班下井工作计划的完成情况，应当在煤矿公示栏公示，接受群众监督。煤矿领导带班下井应加强对采煤、掘进、通风等重点部位、关键环节的检查巡视，及时发现和组织消除事故隐患和险情，及时制止违章违纪行为，严禁违章指挥。煤矿领导带班下井实行井下交接班。</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《煤矿领导带班下井及安、全监督检查规定》第五条，第七条，第九条第十条。</w:t>
            </w:r>
          </w:p>
        </w:tc>
        <w:tc>
          <w:tcPr>
            <w:tcW w:w="1333" w:type="dxa"/>
            <w:tcBorders>
              <w:top w:val="single" w:color="000000" w:sz="4" w:space="0"/>
              <w:left w:val="single" w:color="000000" w:sz="4" w:space="0"/>
              <w:bottom w:val="single" w:color="000000" w:sz="4" w:space="0"/>
              <w:right w:val="single" w:color="000000" w:sz="4" w:space="0"/>
            </w:tcBorders>
          </w:tcPr>
          <w:p>
            <w:pPr>
              <w:spacing w:after="240"/>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spacing w:after="240"/>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spacing w:after="240"/>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12</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安全生产规章制度落实</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是否严格执行本单位的安全生产规章制度。</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《中华人民共和国安全生产法》第四条，《煤矿安全规程》第四条。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13</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安全生产管理机构职责落实</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是否严格落实安全生产管理机构责任制。</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《中华人民共和国安全生产法》第二十五条，《煤矿安全规程》第四条。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14</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职能部门安全生产职责落实</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是否严格落实职能部门安全生产责任制。</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《煤矿安全规程》第四条。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15</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主要负责人安全生产职责落实</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是否严格落实主要负责人安全生产责任制。</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《中华人民共和国安全生产法》第二十一条。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16</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安全生产管理人员安全生产职责落实</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是否严格落实安全生产管理人员安全生产责任制。</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《中华人民共和国安全生产法》第二十五条，《煤矿安全规程》第四条。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17</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其他从业人员安全生产职责落实</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是否严格落实岗位安全生产责任制和操作规程。</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《中华人民共和国安全生产法》第五十七条，《煤矿安全规程》第四条，第八条。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kern w:val="0"/>
              </w:rPr>
            </w:pPr>
            <w:r>
              <w:rPr>
                <w:rFonts w:hint="eastAsia" w:ascii="宋体" w:hAnsi="宋体" w:cs="宋体"/>
                <w:kern w:val="0"/>
              </w:rPr>
              <w:t>18</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Calibri" w:hAnsi="Calibri" w:eastAsia="宋体" w:cs="Times New Roman"/>
              </w:rPr>
              <w:t>举报奖励公告牌</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Calibri" w:hAnsi="Calibri" w:eastAsia="宋体" w:cs="Times New Roman"/>
              </w:rPr>
              <w:t>省级矿山安全监管部门会同省级矿山安全监察机构在辖区所有矿山露天工业广场（人员出入主要路口）、井工矿山人员入井井口等醒目位置安设举报信息标识牌，载明接报单位及联系方式、匿名举报方法、受奖励的举报内容、举报奖励等级划分、奖励标准和领奖方式</w:t>
            </w:r>
            <w:r>
              <w:rPr>
                <w:rFonts w:hint="eastAsia" w:ascii="宋体" w:hAnsi="宋体" w:eastAsia="宋体" w:cs="宋体"/>
                <w:kern w:val="0"/>
              </w:rPr>
              <w:t>。</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cs="宋体" w:asciiTheme="minorEastAsia" w:hAnsiTheme="minorEastAsia"/>
                <w:kern w:val="0"/>
              </w:rPr>
            </w:pPr>
            <w:r>
              <w:rPr>
                <w:rFonts w:hint="eastAsia" w:cs="Times New Roman" w:asciiTheme="minorEastAsia" w:hAnsiTheme="minorEastAsia"/>
              </w:rPr>
              <w:t>国家矿山安全监察局关于印发《矿山安全生产举报奖励实施细则（试行）》的通知（矿安〔2021〕47号）第11条。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1</w:t>
            </w:r>
            <w:r>
              <w:rPr>
                <w:rFonts w:hint="eastAsia" w:ascii="宋体" w:hAnsi="宋体" w:cs="宋体"/>
                <w:kern w:val="0"/>
              </w:rPr>
              <w:t>9</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安全标志管理</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煤矿使用的纳入安全标志管理的产品，必须取得煤矿矿用产品安全标志。</w:t>
            </w:r>
          </w:p>
          <w:p>
            <w:pPr>
              <w:jc w:val="left"/>
              <w:textAlignment w:val="center"/>
              <w:rPr>
                <w:rFonts w:ascii="宋体" w:cs="宋体"/>
              </w:rPr>
            </w:pPr>
            <w:r>
              <w:rPr>
                <w:rFonts w:hint="eastAsia" w:ascii="宋体" w:hAnsi="宋体" w:cs="宋体"/>
                <w:kern w:val="0"/>
              </w:rPr>
              <w:t>试验涉及安全生产的新技术、新工艺必须经过论证并制定安全措施；新设备、新材料必须经过安全性能检验，取得产品工业性试验安全标志。</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《煤矿安全规程》第十条。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hint="eastAsia" w:ascii="宋体" w:hAnsi="宋体" w:cs="宋体"/>
                <w:kern w:val="0"/>
              </w:rPr>
              <w:t>20</w:t>
            </w:r>
          </w:p>
        </w:tc>
        <w:tc>
          <w:tcPr>
            <w:tcW w:w="1148" w:type="dxa"/>
            <w:vMerge w:val="restart"/>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图纸填绘</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必须按规定填绘反映实际情况的图纸。</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《煤矿安全规程》第十四条。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rPr>
            </w:pPr>
            <w:r>
              <w:rPr>
                <w:rFonts w:ascii="宋体" w:hAnsi="宋体" w:cs="宋体"/>
              </w:rPr>
              <w:t>2</w:t>
            </w:r>
            <w:r>
              <w:rPr>
                <w:rFonts w:hint="eastAsia" w:ascii="宋体" w:hAnsi="宋体" w:cs="宋体"/>
              </w:rPr>
              <w:t>1</w:t>
            </w:r>
          </w:p>
        </w:tc>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填绘的图纸严禁作假、隐瞒采掘工作面。</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《煤矿重大生产安全事故隐患判定标准》（应急管理部4号令）第十八条。</w:t>
            </w:r>
          </w:p>
        </w:tc>
        <w:tc>
          <w:tcPr>
            <w:tcW w:w="1333" w:type="dxa"/>
            <w:tcBorders>
              <w:top w:val="single" w:color="000000" w:sz="4" w:space="0"/>
              <w:left w:val="single" w:color="000000" w:sz="4" w:space="0"/>
              <w:bottom w:val="single" w:color="000000" w:sz="4" w:space="0"/>
              <w:right w:val="single" w:color="000000" w:sz="4" w:space="0"/>
            </w:tcBorders>
          </w:tcPr>
          <w:p>
            <w:pP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2</w:t>
            </w:r>
            <w:r>
              <w:rPr>
                <w:rFonts w:hint="eastAsia" w:ascii="宋体" w:hAnsi="宋体" w:cs="宋体"/>
                <w:kern w:val="0"/>
              </w:rPr>
              <w:t>2</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煤矿承包生产经营安全管理</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spacing w:val="-6"/>
                <w:kern w:val="0"/>
              </w:rPr>
              <w:t>煤矿实行整体承包生产经营后，是否重新取得或者及时变更安全生产许可证。承包或者托管方是否有合法有效煤矿生产建设证照。煤矿实行承包（托管）是否签订安全生产管理协议，协议是否约定双方安全生产管理职责。承包方（承托方）是否按规定变更安全生产许可证。承包方（承托方）是否再次将煤矿承包（托管）给其他单位或者个人。煤矿是否将井下采掘工作面或者井巷维修作业作为独立工程承包（托管）给其他企业或者个人。</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《煤矿重大生产安全事故隐患判定标准》（应急管理部4号令）第十六条。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auto" w:sz="4" w:space="0"/>
              <w:right w:val="single" w:color="000000" w:sz="4" w:space="0"/>
            </w:tcBorders>
            <w:vAlign w:val="center"/>
          </w:tcPr>
          <w:p>
            <w:pPr>
              <w:jc w:val="center"/>
              <w:textAlignment w:val="center"/>
              <w:rPr>
                <w:rFonts w:ascii="宋体" w:cs="宋体"/>
              </w:rPr>
            </w:pPr>
            <w:r>
              <w:rPr>
                <w:rFonts w:ascii="宋体" w:hAnsi="宋体" w:cs="宋体"/>
                <w:kern w:val="0"/>
              </w:rPr>
              <w:t>2</w:t>
            </w:r>
            <w:r>
              <w:rPr>
                <w:rFonts w:hint="eastAsia" w:ascii="宋体" w:hAnsi="宋体" w:cs="宋体"/>
                <w:kern w:val="0"/>
              </w:rPr>
              <w:t>3</w:t>
            </w:r>
          </w:p>
        </w:tc>
        <w:tc>
          <w:tcPr>
            <w:tcW w:w="1148" w:type="dxa"/>
            <w:tcBorders>
              <w:top w:val="single" w:color="000000" w:sz="4" w:space="0"/>
              <w:left w:val="single" w:color="000000" w:sz="4" w:space="0"/>
              <w:bottom w:val="single" w:color="auto" w:sz="4" w:space="0"/>
              <w:right w:val="single" w:color="000000" w:sz="4" w:space="0"/>
            </w:tcBorders>
            <w:vAlign w:val="center"/>
          </w:tcPr>
          <w:p>
            <w:pPr>
              <w:jc w:val="left"/>
              <w:textAlignment w:val="center"/>
              <w:rPr>
                <w:rFonts w:ascii="宋体" w:cs="宋体"/>
              </w:rPr>
            </w:pPr>
            <w:r>
              <w:rPr>
                <w:rFonts w:hint="eastAsia" w:ascii="宋体" w:hAnsi="宋体" w:cs="宋体"/>
                <w:kern w:val="0"/>
              </w:rPr>
              <w:t>煤矿改制安全管理</w:t>
            </w:r>
          </w:p>
        </w:tc>
        <w:tc>
          <w:tcPr>
            <w:tcW w:w="5541" w:type="dxa"/>
            <w:tcBorders>
              <w:top w:val="single" w:color="000000" w:sz="4" w:space="0"/>
              <w:left w:val="single" w:color="000000" w:sz="4" w:space="0"/>
              <w:bottom w:val="single" w:color="auto"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改制期间，是否未明确安全生产责任人，是否健全安全生产管理机构和配备安全管理人员。</w:t>
            </w:r>
          </w:p>
          <w:p>
            <w:pPr>
              <w:jc w:val="left"/>
              <w:textAlignment w:val="center"/>
              <w:rPr>
                <w:rFonts w:ascii="宋体" w:cs="宋体"/>
              </w:rPr>
            </w:pPr>
            <w:r>
              <w:rPr>
                <w:rFonts w:hint="eastAsia" w:ascii="宋体" w:hAnsi="宋体" w:cs="宋体"/>
                <w:kern w:val="0"/>
              </w:rPr>
              <w:t>完成改制后，是否重新取得或者变更采矿许可证、安全生产许可证、营业执照。</w:t>
            </w:r>
          </w:p>
        </w:tc>
        <w:tc>
          <w:tcPr>
            <w:tcW w:w="2331" w:type="dxa"/>
            <w:tcBorders>
              <w:top w:val="single" w:color="000000" w:sz="4" w:space="0"/>
              <w:left w:val="single" w:color="000000" w:sz="4" w:space="0"/>
              <w:bottom w:val="single" w:color="auto" w:sz="4" w:space="0"/>
              <w:right w:val="single" w:color="000000" w:sz="4" w:space="0"/>
            </w:tcBorders>
            <w:vAlign w:val="center"/>
          </w:tcPr>
          <w:p>
            <w:pPr>
              <w:jc w:val="left"/>
              <w:textAlignment w:val="center"/>
              <w:rPr>
                <w:rFonts w:ascii="宋体" w:cs="宋体"/>
              </w:rPr>
            </w:pPr>
            <w:r>
              <w:rPr>
                <w:rFonts w:hint="eastAsia" w:ascii="宋体" w:hAnsi="宋体" w:cs="宋体"/>
                <w:spacing w:val="-6"/>
                <w:kern w:val="0"/>
              </w:rPr>
              <w:t>《煤矿重大生产安全事故隐患判定标准》（</w:t>
            </w:r>
            <w:r>
              <w:rPr>
                <w:rFonts w:hint="eastAsia" w:ascii="宋体" w:hAnsi="宋体" w:cs="宋体"/>
                <w:kern w:val="0"/>
              </w:rPr>
              <w:t>应急管理部4号令</w:t>
            </w:r>
            <w:r>
              <w:rPr>
                <w:rFonts w:hint="eastAsia" w:ascii="宋体" w:hAnsi="宋体" w:cs="宋体"/>
                <w:spacing w:val="-6"/>
                <w:kern w:val="0"/>
              </w:rPr>
              <w:t>）第十七条。</w:t>
            </w:r>
          </w:p>
        </w:tc>
        <w:tc>
          <w:tcPr>
            <w:tcW w:w="1333" w:type="dxa"/>
            <w:tcBorders>
              <w:top w:val="single" w:color="000000" w:sz="4" w:space="0"/>
              <w:left w:val="single" w:color="000000" w:sz="4" w:space="0"/>
              <w:bottom w:val="single" w:color="auto"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auto"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auto"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cs="宋体"/>
              </w:rPr>
            </w:pPr>
            <w:r>
              <w:rPr>
                <w:rFonts w:ascii="宋体" w:hAnsi="宋体" w:cs="宋体"/>
                <w:kern w:val="0"/>
              </w:rPr>
              <w:t>2</w:t>
            </w:r>
            <w:r>
              <w:rPr>
                <w:rFonts w:hint="eastAsia" w:ascii="宋体" w:hAnsi="宋体" w:cs="宋体"/>
                <w:kern w:val="0"/>
              </w:rPr>
              <w:t>4</w:t>
            </w:r>
          </w:p>
        </w:tc>
        <w:tc>
          <w:tcPr>
            <w:tcW w:w="1148"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cs="宋体"/>
              </w:rPr>
            </w:pPr>
            <w:r>
              <w:rPr>
                <w:rFonts w:hint="eastAsia" w:ascii="宋体" w:hAnsi="宋体" w:cs="宋体"/>
                <w:kern w:val="0"/>
              </w:rPr>
              <w:t>矿长、副矿长及专业技术人员配备</w:t>
            </w:r>
          </w:p>
        </w:tc>
        <w:tc>
          <w:tcPr>
            <w:tcW w:w="5541"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cs="宋体"/>
              </w:rPr>
            </w:pPr>
            <w:r>
              <w:rPr>
                <w:rFonts w:hint="eastAsia" w:ascii="宋体" w:hAnsi="宋体" w:cs="宋体"/>
                <w:kern w:val="0"/>
              </w:rPr>
              <w:t>煤矿是否分别配备矿长、总工程师和分管安全、生产、机电的副矿长，以及负责采煤、掘进、机电运输、通风、地质测量工作的专业技术人员。</w:t>
            </w:r>
          </w:p>
        </w:tc>
        <w:tc>
          <w:tcPr>
            <w:tcW w:w="2331"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cs="宋体"/>
              </w:rPr>
            </w:pPr>
            <w:r>
              <w:rPr>
                <w:rFonts w:hint="eastAsia" w:ascii="宋体" w:hAnsi="宋体" w:cs="宋体"/>
                <w:spacing w:val="-6"/>
                <w:kern w:val="0"/>
              </w:rPr>
              <w:t>《煤矿重大生产安全事故隐患判定标准》（</w:t>
            </w:r>
            <w:r>
              <w:rPr>
                <w:rFonts w:hint="eastAsia" w:ascii="宋体" w:hAnsi="宋体" w:cs="宋体"/>
                <w:kern w:val="0"/>
              </w:rPr>
              <w:t>应急管理部4号令</w:t>
            </w:r>
            <w:r>
              <w:rPr>
                <w:rFonts w:hint="eastAsia" w:ascii="宋体" w:hAnsi="宋体" w:cs="宋体"/>
                <w:spacing w:val="-6"/>
                <w:kern w:val="0"/>
              </w:rPr>
              <w:t>）第十八条。</w:t>
            </w:r>
          </w:p>
        </w:tc>
        <w:tc>
          <w:tcPr>
            <w:tcW w:w="1333"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c>
          <w:tcPr>
            <w:tcW w:w="1333"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c>
          <w:tcPr>
            <w:tcW w:w="1339"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auto"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2</w:t>
            </w:r>
            <w:r>
              <w:rPr>
                <w:rFonts w:hint="eastAsia" w:ascii="宋体" w:hAnsi="宋体" w:cs="宋体"/>
                <w:kern w:val="0"/>
              </w:rPr>
              <w:t>5</w:t>
            </w:r>
          </w:p>
        </w:tc>
        <w:tc>
          <w:tcPr>
            <w:tcW w:w="1148" w:type="dxa"/>
            <w:tcBorders>
              <w:top w:val="single" w:color="auto"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特种作业人的配备</w:t>
            </w:r>
          </w:p>
        </w:tc>
        <w:tc>
          <w:tcPr>
            <w:tcW w:w="5541" w:type="dxa"/>
            <w:tcBorders>
              <w:top w:val="single" w:color="auto"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对煤矿特种作业目录中所列的十大类十一个工种的特种作业：一是从事这些特种作业的人员要根据现场工作需要配备，人员数量符合需求；二是特种作业人员应当符合《特种作业人员安全技术培训考核管理规定》第四条的条件；三是所有特种作业人员必须经过专门的安全技术培训并考核合格，取得《中华人民共和国特种作业操作证》。</w:t>
            </w:r>
          </w:p>
        </w:tc>
        <w:tc>
          <w:tcPr>
            <w:tcW w:w="2331" w:type="dxa"/>
            <w:tcBorders>
              <w:top w:val="single" w:color="auto"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《特种作业人员安全技术培训考核管理规定》</w:t>
            </w:r>
            <w:r>
              <w:rPr>
                <w:rFonts w:ascii="宋体" w:hAnsi="宋体" w:cs="宋体"/>
                <w:kern w:val="0"/>
              </w:rPr>
              <w:t>(</w:t>
            </w:r>
            <w:r>
              <w:rPr>
                <w:rFonts w:hint="eastAsia" w:ascii="宋体" w:hAnsi="宋体" w:cs="宋体"/>
                <w:kern w:val="0"/>
              </w:rPr>
              <w:t>原国家安全监管总局令第</w:t>
            </w:r>
            <w:r>
              <w:rPr>
                <w:rFonts w:ascii="宋体" w:hAnsi="宋体" w:cs="宋体"/>
                <w:kern w:val="0"/>
              </w:rPr>
              <w:t>30</w:t>
            </w:r>
            <w:r>
              <w:rPr>
                <w:rFonts w:hint="eastAsia" w:ascii="宋体" w:hAnsi="宋体" w:cs="宋体"/>
                <w:kern w:val="0"/>
              </w:rPr>
              <w:t>号</w:t>
            </w:r>
            <w:r>
              <w:rPr>
                <w:rFonts w:ascii="宋体" w:hAnsi="宋体" w:cs="宋体"/>
                <w:kern w:val="0"/>
              </w:rPr>
              <w:t>)</w:t>
            </w:r>
            <w:r>
              <w:rPr>
                <w:rFonts w:hint="eastAsia" w:ascii="宋体" w:hAnsi="宋体" w:cs="宋体"/>
                <w:kern w:val="0"/>
              </w:rPr>
              <w:t>第四条，第五条，《煤矿安全培训规定》</w:t>
            </w:r>
            <w:r>
              <w:rPr>
                <w:rFonts w:ascii="宋体" w:hAnsi="宋体" w:cs="宋体"/>
                <w:kern w:val="0"/>
              </w:rPr>
              <w:t>(</w:t>
            </w:r>
            <w:r>
              <w:rPr>
                <w:rFonts w:hint="eastAsia" w:ascii="宋体" w:hAnsi="宋体" w:cs="宋体"/>
                <w:kern w:val="0"/>
              </w:rPr>
              <w:t>原国家安全监管总局令第</w:t>
            </w:r>
            <w:r>
              <w:rPr>
                <w:rFonts w:ascii="宋体" w:hAnsi="宋体" w:cs="宋体"/>
                <w:kern w:val="0"/>
              </w:rPr>
              <w:t>92</w:t>
            </w:r>
            <w:r>
              <w:rPr>
                <w:rFonts w:hint="eastAsia" w:ascii="宋体" w:hAnsi="宋体" w:cs="宋体"/>
                <w:kern w:val="0"/>
              </w:rPr>
              <w:t>号</w:t>
            </w:r>
            <w:r>
              <w:rPr>
                <w:rFonts w:ascii="宋体" w:hAnsi="宋体" w:cs="宋体"/>
                <w:kern w:val="0"/>
              </w:rPr>
              <w:t>)</w:t>
            </w:r>
            <w:r>
              <w:rPr>
                <w:rFonts w:hint="eastAsia" w:ascii="宋体" w:hAnsi="宋体" w:cs="宋体"/>
                <w:kern w:val="0"/>
              </w:rPr>
              <w:t>第二十一条，二十二条，二十四条。</w:t>
            </w:r>
          </w:p>
        </w:tc>
        <w:tc>
          <w:tcPr>
            <w:tcW w:w="1333" w:type="dxa"/>
            <w:tcBorders>
              <w:top w:val="single" w:color="auto"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auto"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auto" w:sz="4" w:space="0"/>
              <w:left w:val="single" w:color="000000" w:sz="4" w:space="0"/>
              <w:bottom w:val="single" w:color="000000" w:sz="4" w:space="0"/>
              <w:right w:val="single" w:color="auto"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13751" w:type="dxa"/>
            <w:gridSpan w:val="7"/>
            <w:tcBorders>
              <w:top w:val="single" w:color="000000" w:sz="4" w:space="0"/>
              <w:left w:val="single" w:color="000000" w:sz="4" w:space="0"/>
              <w:bottom w:val="single" w:color="auto" w:sz="4" w:space="0"/>
              <w:right w:val="single" w:color="auto" w:sz="4" w:space="0"/>
            </w:tcBorders>
          </w:tcPr>
          <w:p>
            <w:pPr>
              <w:jc w:val="left"/>
              <w:textAlignment w:val="center"/>
              <w:rPr>
                <w:rFonts w:ascii="宋体" w:cs="宋体"/>
                <w:kern w:val="0"/>
              </w:rPr>
            </w:pPr>
            <w:r>
              <w:rPr>
                <w:rFonts w:hint="eastAsia" w:ascii="黑体" w:hAnsi="黑体" w:eastAsia="黑体" w:cs="黑体"/>
                <w:kern w:val="0"/>
              </w:rPr>
              <w:t>（二）安全投入及保险、防护</w:t>
            </w:r>
          </w:p>
        </w:tc>
      </w:tr>
      <w:tr>
        <w:tblPrEx>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s="宋体" w:eastAsiaTheme="minorEastAsia"/>
                <w:kern w:val="0"/>
                <w:lang w:eastAsia="zh-CN"/>
              </w:rPr>
            </w:pPr>
            <w:r>
              <w:rPr>
                <w:rFonts w:hint="eastAsia" w:ascii="宋体" w:hAnsi="宋体" w:cs="宋体"/>
                <w:kern w:val="0"/>
              </w:rPr>
              <w:t>2</w:t>
            </w:r>
            <w:r>
              <w:rPr>
                <w:rFonts w:hint="eastAsia" w:ascii="宋体" w:hAnsi="宋体" w:cs="宋体"/>
                <w:kern w:val="0"/>
                <w:lang w:val="en-US" w:eastAsia="zh-CN"/>
              </w:rPr>
              <w:t>6</w:t>
            </w:r>
          </w:p>
        </w:tc>
        <w:tc>
          <w:tcPr>
            <w:tcW w:w="1148"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hAnsi="宋体" w:cs="宋体"/>
                <w:kern w:val="0"/>
              </w:rPr>
            </w:pPr>
            <w:r>
              <w:rPr>
                <w:rFonts w:hint="eastAsia" w:ascii="宋体" w:hAnsi="宋体" w:cs="宋体"/>
                <w:kern w:val="0"/>
              </w:rPr>
              <w:t>高瓦斯矿井，水文地质类型复杂、极复杂矿井，容易自燃煤层矿井</w:t>
            </w:r>
          </w:p>
        </w:tc>
        <w:tc>
          <w:tcPr>
            <w:tcW w:w="5541"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hAnsi="宋体" w:cs="宋体"/>
                <w:kern w:val="0"/>
              </w:rPr>
            </w:pPr>
            <w:r>
              <w:rPr>
                <w:rFonts w:hint="eastAsia" w:ascii="宋体" w:hAnsi="宋体" w:cs="宋体"/>
                <w:kern w:val="0"/>
              </w:rPr>
              <w:t>安全费用是否按照吨煤</w:t>
            </w:r>
            <w:r>
              <w:rPr>
                <w:rFonts w:ascii="宋体" w:hAnsi="宋体" w:cs="宋体"/>
                <w:kern w:val="0"/>
              </w:rPr>
              <w:t>30</w:t>
            </w:r>
            <w:r>
              <w:rPr>
                <w:rFonts w:hint="eastAsia" w:ascii="宋体" w:hAnsi="宋体" w:cs="宋体"/>
                <w:kern w:val="0"/>
              </w:rPr>
              <w:t>元的标准提取。</w:t>
            </w:r>
          </w:p>
        </w:tc>
        <w:tc>
          <w:tcPr>
            <w:tcW w:w="2331"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hAnsi="宋体" w:cs="宋体"/>
                <w:kern w:val="0"/>
              </w:rPr>
            </w:pPr>
            <w:r>
              <w:rPr>
                <w:rFonts w:hint="eastAsia" w:ascii="宋体" w:hAnsi="宋体" w:cs="宋体"/>
                <w:kern w:val="0"/>
              </w:rPr>
              <w:t>《中华人民共和国安全生产法》第二十三条，《煤矿安全规程》第十一条，《企业安全生产费用提取和使用管理办法》（财资</w:t>
            </w:r>
            <w:r>
              <w:rPr>
                <w:rFonts w:ascii="宋体" w:hAnsi="宋体" w:cs="宋体"/>
                <w:kern w:val="0"/>
              </w:rPr>
              <w:t>〔2022〕1</w:t>
            </w:r>
            <w:r>
              <w:rPr>
                <w:rFonts w:hint="eastAsia" w:ascii="宋体" w:hAnsi="宋体" w:cs="宋体"/>
                <w:kern w:val="0"/>
              </w:rPr>
              <w:t>3</w:t>
            </w:r>
            <w:r>
              <w:rPr>
                <w:rFonts w:ascii="宋体" w:hAnsi="宋体" w:cs="宋体"/>
                <w:kern w:val="0"/>
              </w:rPr>
              <w:t>6</w:t>
            </w:r>
            <w:r>
              <w:rPr>
                <w:rFonts w:hint="eastAsia" w:ascii="宋体" w:hAnsi="宋体" w:cs="宋体"/>
                <w:kern w:val="0"/>
              </w:rPr>
              <w:t>号）第七条，第十七条，第八条。</w:t>
            </w:r>
          </w:p>
        </w:tc>
        <w:tc>
          <w:tcPr>
            <w:tcW w:w="1333"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c>
          <w:tcPr>
            <w:tcW w:w="1333"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c>
          <w:tcPr>
            <w:tcW w:w="1339"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cs="宋体" w:eastAsiaTheme="minorEastAsia"/>
                <w:lang w:eastAsia="zh-CN"/>
              </w:rPr>
            </w:pPr>
            <w:r>
              <w:rPr>
                <w:rFonts w:ascii="宋体" w:hAnsi="宋体" w:cs="宋体"/>
                <w:kern w:val="0"/>
              </w:rPr>
              <w:t>2</w:t>
            </w:r>
            <w:r>
              <w:rPr>
                <w:rFonts w:hint="eastAsia" w:ascii="宋体" w:hAnsi="宋体" w:cs="宋体"/>
                <w:kern w:val="0"/>
                <w:lang w:val="en-US" w:eastAsia="zh-CN"/>
              </w:rPr>
              <w:t>7</w:t>
            </w:r>
          </w:p>
        </w:tc>
        <w:tc>
          <w:tcPr>
            <w:tcW w:w="1148"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cs="宋体"/>
              </w:rPr>
            </w:pPr>
            <w:r>
              <w:rPr>
                <w:rFonts w:hint="eastAsia" w:ascii="宋体" w:hAnsi="宋体" w:cs="宋体"/>
                <w:kern w:val="0"/>
              </w:rPr>
              <w:t>低瓦斯矿井安全费用提取</w:t>
            </w:r>
          </w:p>
        </w:tc>
        <w:tc>
          <w:tcPr>
            <w:tcW w:w="5541"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cs="宋体"/>
              </w:rPr>
            </w:pPr>
            <w:r>
              <w:rPr>
                <w:rFonts w:hint="eastAsia" w:ascii="宋体" w:hAnsi="宋体" w:cs="宋体"/>
                <w:kern w:val="0"/>
              </w:rPr>
              <w:t>安全费用是否按照吨煤</w:t>
            </w:r>
            <w:r>
              <w:rPr>
                <w:rFonts w:ascii="宋体" w:hAnsi="宋体" w:cs="宋体"/>
                <w:kern w:val="0"/>
              </w:rPr>
              <w:t>15</w:t>
            </w:r>
            <w:r>
              <w:rPr>
                <w:rFonts w:hint="eastAsia" w:ascii="宋体" w:hAnsi="宋体" w:cs="宋体"/>
                <w:kern w:val="0"/>
              </w:rPr>
              <w:t>元的标准提取。</w:t>
            </w:r>
          </w:p>
        </w:tc>
        <w:tc>
          <w:tcPr>
            <w:tcW w:w="2331"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cs="宋体"/>
              </w:rPr>
            </w:pPr>
            <w:r>
              <w:rPr>
                <w:rFonts w:hint="eastAsia" w:ascii="宋体" w:hAnsi="宋体" w:cs="宋体"/>
                <w:kern w:val="0"/>
              </w:rPr>
              <w:t>《中华人民共和国安全生产法》第二十三条，《煤矿安全规程》第十一条，《企业安全生产费用提取和使用管理办法》（财资</w:t>
            </w:r>
            <w:r>
              <w:rPr>
                <w:rFonts w:ascii="宋体" w:hAnsi="宋体" w:cs="宋体"/>
                <w:kern w:val="0"/>
              </w:rPr>
              <w:t>〔2022〕1</w:t>
            </w:r>
            <w:r>
              <w:rPr>
                <w:rFonts w:hint="eastAsia" w:ascii="宋体" w:hAnsi="宋体" w:cs="宋体"/>
                <w:kern w:val="0"/>
              </w:rPr>
              <w:t>3</w:t>
            </w:r>
            <w:r>
              <w:rPr>
                <w:rFonts w:ascii="宋体" w:hAnsi="宋体" w:cs="宋体"/>
                <w:kern w:val="0"/>
              </w:rPr>
              <w:t>6</w:t>
            </w:r>
            <w:r>
              <w:rPr>
                <w:rFonts w:hint="eastAsia" w:ascii="宋体" w:hAnsi="宋体" w:cs="宋体"/>
                <w:kern w:val="0"/>
              </w:rPr>
              <w:t>号）第七条，第十七条，第八条。</w:t>
            </w:r>
          </w:p>
        </w:tc>
        <w:tc>
          <w:tcPr>
            <w:tcW w:w="1333"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c>
          <w:tcPr>
            <w:tcW w:w="1333"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c>
          <w:tcPr>
            <w:tcW w:w="1339"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auto"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2</w:t>
            </w:r>
            <w:r>
              <w:rPr>
                <w:rFonts w:hint="eastAsia" w:ascii="宋体" w:hAnsi="宋体" w:cs="宋体"/>
                <w:kern w:val="0"/>
                <w:lang w:val="en-US" w:eastAsia="zh-CN"/>
              </w:rPr>
              <w:t>8</w:t>
            </w:r>
          </w:p>
        </w:tc>
        <w:tc>
          <w:tcPr>
            <w:tcW w:w="1148" w:type="dxa"/>
            <w:tcBorders>
              <w:top w:val="single" w:color="000000" w:sz="4" w:space="0"/>
              <w:left w:val="single" w:color="000000" w:sz="4" w:space="0"/>
              <w:bottom w:val="single" w:color="auto" w:sz="4" w:space="0"/>
              <w:right w:val="single" w:color="000000" w:sz="4" w:space="0"/>
            </w:tcBorders>
            <w:vAlign w:val="center"/>
          </w:tcPr>
          <w:p>
            <w:pPr>
              <w:jc w:val="left"/>
              <w:textAlignment w:val="center"/>
              <w:rPr>
                <w:rFonts w:ascii="宋体" w:cs="宋体"/>
              </w:rPr>
            </w:pPr>
            <w:r>
              <w:rPr>
                <w:rFonts w:hint="eastAsia" w:ascii="宋体" w:hAnsi="宋体" w:cs="宋体"/>
                <w:kern w:val="0"/>
              </w:rPr>
              <w:t>建设矿井安全费用提取</w:t>
            </w:r>
          </w:p>
        </w:tc>
        <w:tc>
          <w:tcPr>
            <w:tcW w:w="5541" w:type="dxa"/>
            <w:tcBorders>
              <w:top w:val="single" w:color="000000" w:sz="4" w:space="0"/>
              <w:left w:val="single" w:color="000000" w:sz="4" w:space="0"/>
              <w:bottom w:val="single" w:color="auto" w:sz="4" w:space="0"/>
              <w:right w:val="single" w:color="000000" w:sz="4" w:space="0"/>
            </w:tcBorders>
            <w:vAlign w:val="center"/>
          </w:tcPr>
          <w:p>
            <w:pPr>
              <w:jc w:val="left"/>
              <w:textAlignment w:val="center"/>
              <w:rPr>
                <w:rFonts w:ascii="宋体" w:cs="宋体"/>
              </w:rPr>
            </w:pPr>
            <w:r>
              <w:rPr>
                <w:rFonts w:hint="eastAsia" w:ascii="宋体" w:hAnsi="宋体" w:cs="宋体"/>
                <w:kern w:val="0"/>
              </w:rPr>
              <w:t>安全费用是否按工程造价</w:t>
            </w:r>
            <w:r>
              <w:rPr>
                <w:rFonts w:ascii="宋体" w:hAnsi="宋体" w:cs="宋体"/>
                <w:kern w:val="0"/>
              </w:rPr>
              <w:t>2.5%</w:t>
            </w:r>
            <w:r>
              <w:rPr>
                <w:rFonts w:hint="eastAsia" w:ascii="宋体" w:hAnsi="宋体" w:cs="宋体"/>
                <w:kern w:val="0"/>
              </w:rPr>
              <w:t>的标准提取。</w:t>
            </w:r>
          </w:p>
        </w:tc>
        <w:tc>
          <w:tcPr>
            <w:tcW w:w="2331" w:type="dxa"/>
            <w:tcBorders>
              <w:top w:val="single" w:color="000000" w:sz="4" w:space="0"/>
              <w:left w:val="single" w:color="000000" w:sz="4" w:space="0"/>
              <w:bottom w:val="single" w:color="auto" w:sz="4" w:space="0"/>
              <w:right w:val="nil"/>
            </w:tcBorders>
            <w:vAlign w:val="center"/>
          </w:tcPr>
          <w:p>
            <w:pPr>
              <w:jc w:val="left"/>
              <w:textAlignment w:val="center"/>
              <w:rPr>
                <w:rFonts w:ascii="宋体" w:cs="宋体"/>
              </w:rPr>
            </w:pPr>
            <w:r>
              <w:rPr>
                <w:rFonts w:hint="eastAsia" w:ascii="宋体" w:hAnsi="宋体" w:cs="宋体"/>
                <w:kern w:val="0"/>
              </w:rPr>
              <w:t>《中华人民共和国安全生产法》第二十三条，《煤矿安全规程》第十一条，《企业安全生产费用提取和使用管理办法》（财资</w:t>
            </w:r>
            <w:r>
              <w:rPr>
                <w:rFonts w:ascii="宋体" w:hAnsi="宋体" w:cs="宋体"/>
                <w:kern w:val="0"/>
              </w:rPr>
              <w:t>〔2022〕1</w:t>
            </w:r>
            <w:r>
              <w:rPr>
                <w:rFonts w:hint="eastAsia" w:ascii="宋体" w:hAnsi="宋体" w:cs="宋体"/>
                <w:kern w:val="0"/>
              </w:rPr>
              <w:t>3</w:t>
            </w:r>
            <w:r>
              <w:rPr>
                <w:rFonts w:ascii="宋体" w:hAnsi="宋体" w:cs="宋体"/>
                <w:kern w:val="0"/>
              </w:rPr>
              <w:t>6</w:t>
            </w:r>
            <w:r>
              <w:rPr>
                <w:rFonts w:hint="eastAsia" w:ascii="宋体" w:hAnsi="宋体" w:cs="宋体"/>
                <w:kern w:val="0"/>
              </w:rPr>
              <w:t>号）第七条，第十七条，第八条。</w:t>
            </w:r>
          </w:p>
        </w:tc>
        <w:tc>
          <w:tcPr>
            <w:tcW w:w="1333" w:type="dxa"/>
            <w:tcBorders>
              <w:top w:val="single" w:color="000000" w:sz="4" w:space="0"/>
              <w:left w:val="single" w:color="000000" w:sz="4" w:space="0"/>
              <w:bottom w:val="single" w:color="auto"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auto"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auto"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29</w:t>
            </w:r>
          </w:p>
        </w:tc>
        <w:tc>
          <w:tcPr>
            <w:tcW w:w="1148"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cs="宋体"/>
              </w:rPr>
            </w:pPr>
            <w:r>
              <w:rPr>
                <w:rFonts w:hint="eastAsia" w:ascii="宋体" w:hAnsi="宋体" w:cs="宋体"/>
                <w:kern w:val="0"/>
              </w:rPr>
              <w:t>安全费用使用</w:t>
            </w:r>
          </w:p>
        </w:tc>
        <w:tc>
          <w:tcPr>
            <w:tcW w:w="5541"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cs="宋体"/>
              </w:rPr>
            </w:pPr>
            <w:r>
              <w:rPr>
                <w:rFonts w:hint="eastAsia" w:ascii="宋体" w:hAnsi="宋体" w:cs="宋体"/>
                <w:kern w:val="0"/>
              </w:rPr>
              <w:t>安全费用不得超范围使用，符合《企业安全生产费用提取和使用管理办法》（财企</w:t>
            </w:r>
            <w:r>
              <w:rPr>
                <w:rFonts w:ascii="宋体" w:hAnsi="宋体" w:cs="宋体"/>
                <w:kern w:val="0"/>
              </w:rPr>
              <w:t>[2012]16</w:t>
            </w:r>
            <w:r>
              <w:rPr>
                <w:rFonts w:hint="eastAsia" w:ascii="宋体" w:hAnsi="宋体" w:cs="宋体"/>
                <w:kern w:val="0"/>
              </w:rPr>
              <w:t>号）第十七条标准要求。企业提取的安全费用应当专户核算，按规定范围安排使用，不得挤占、挪用。年度结余资金结转下年度使用，当年计提安全费用不足的，超出部分按正常成本费用渠道列支。</w:t>
            </w:r>
          </w:p>
        </w:tc>
        <w:tc>
          <w:tcPr>
            <w:tcW w:w="2331"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cs="宋体"/>
              </w:rPr>
            </w:pPr>
            <w:r>
              <w:rPr>
                <w:rFonts w:hint="eastAsia" w:ascii="宋体" w:hAnsi="宋体" w:cs="宋体"/>
                <w:kern w:val="0"/>
              </w:rPr>
              <w:t>《中华人民共和国安全生产法》第二十三条，《企业安全生产费用提取和使用管理办法》（财资</w:t>
            </w:r>
            <w:r>
              <w:rPr>
                <w:rFonts w:ascii="宋体" w:hAnsi="宋体" w:cs="宋体"/>
                <w:kern w:val="0"/>
              </w:rPr>
              <w:t>〔2022〕1</w:t>
            </w:r>
            <w:r>
              <w:rPr>
                <w:rFonts w:hint="eastAsia" w:ascii="宋体" w:hAnsi="宋体" w:cs="宋体"/>
                <w:kern w:val="0"/>
              </w:rPr>
              <w:t>3</w:t>
            </w:r>
            <w:r>
              <w:rPr>
                <w:rFonts w:ascii="宋体" w:hAnsi="宋体" w:cs="宋体"/>
                <w:kern w:val="0"/>
              </w:rPr>
              <w:t>6</w:t>
            </w:r>
            <w:r>
              <w:rPr>
                <w:rFonts w:hint="eastAsia" w:ascii="宋体" w:hAnsi="宋体" w:cs="宋体"/>
                <w:kern w:val="0"/>
              </w:rPr>
              <w:t>号）第十七条，第二十七条，第三十一条。</w:t>
            </w:r>
          </w:p>
        </w:tc>
        <w:tc>
          <w:tcPr>
            <w:tcW w:w="1333"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c>
          <w:tcPr>
            <w:tcW w:w="1333"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c>
          <w:tcPr>
            <w:tcW w:w="1339"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auto"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hint="eastAsia" w:ascii="宋体" w:hAnsi="宋体" w:cs="宋体"/>
                <w:kern w:val="0"/>
              </w:rPr>
              <w:t>3</w:t>
            </w:r>
            <w:r>
              <w:rPr>
                <w:rFonts w:hint="eastAsia" w:ascii="宋体" w:hAnsi="宋体" w:cs="宋体"/>
                <w:kern w:val="0"/>
                <w:lang w:val="en-US" w:eastAsia="zh-CN"/>
              </w:rPr>
              <w:t>0</w:t>
            </w:r>
          </w:p>
        </w:tc>
        <w:tc>
          <w:tcPr>
            <w:tcW w:w="1148" w:type="dxa"/>
            <w:tcBorders>
              <w:top w:val="single" w:color="auto"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工伤保险</w:t>
            </w:r>
          </w:p>
        </w:tc>
        <w:tc>
          <w:tcPr>
            <w:tcW w:w="5541" w:type="dxa"/>
            <w:tcBorders>
              <w:top w:val="single" w:color="auto"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参加工伤保险，为从业人员缴纳工伤保险费。</w:t>
            </w:r>
          </w:p>
        </w:tc>
        <w:tc>
          <w:tcPr>
            <w:tcW w:w="2331" w:type="dxa"/>
            <w:tcBorders>
              <w:top w:val="single" w:color="auto" w:sz="4" w:space="0"/>
              <w:left w:val="single" w:color="000000" w:sz="4" w:space="0"/>
              <w:bottom w:val="single" w:color="000000" w:sz="4" w:space="0"/>
              <w:right w:val="nil"/>
            </w:tcBorders>
            <w:vAlign w:val="center"/>
          </w:tcPr>
          <w:p>
            <w:pPr>
              <w:jc w:val="left"/>
              <w:textAlignment w:val="center"/>
              <w:rPr>
                <w:rFonts w:ascii="宋体" w:cs="宋体"/>
              </w:rPr>
            </w:pPr>
            <w:r>
              <w:rPr>
                <w:rFonts w:hint="eastAsia" w:ascii="宋体" w:hAnsi="宋体" w:cs="宋体"/>
                <w:kern w:val="0"/>
              </w:rPr>
              <w:t>《煤矿企业安全生产许可证实施办法》第六条第（五）项。</w:t>
            </w:r>
          </w:p>
        </w:tc>
        <w:tc>
          <w:tcPr>
            <w:tcW w:w="1333" w:type="dxa"/>
            <w:tcBorders>
              <w:top w:val="single" w:color="auto"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auto"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auto"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vMerge w:val="restart"/>
            <w:tcBorders>
              <w:top w:val="single" w:color="000000" w:sz="4" w:space="0"/>
              <w:left w:val="single" w:color="000000" w:sz="4" w:space="0"/>
              <w:bottom w:val="single" w:color="000000" w:sz="4" w:space="0"/>
              <w:right w:val="nil"/>
            </w:tcBorders>
            <w:vAlign w:val="center"/>
          </w:tcPr>
          <w:p>
            <w:pPr>
              <w:jc w:val="center"/>
              <w:textAlignment w:val="center"/>
              <w:rPr>
                <w:rFonts w:hint="eastAsia" w:ascii="宋体" w:cs="宋体" w:eastAsiaTheme="minorEastAsia"/>
                <w:lang w:eastAsia="zh-CN"/>
              </w:rPr>
            </w:pPr>
            <w:r>
              <w:rPr>
                <w:rFonts w:ascii="宋体" w:hAnsi="宋体" w:cs="宋体"/>
                <w:kern w:val="0"/>
              </w:rPr>
              <w:t>3</w:t>
            </w:r>
            <w:r>
              <w:rPr>
                <w:rFonts w:hint="eastAsia" w:ascii="宋体" w:hAnsi="宋体" w:cs="宋体"/>
                <w:kern w:val="0"/>
                <w:lang w:val="en-US" w:eastAsia="zh-CN"/>
              </w:rPr>
              <w:t>1</w:t>
            </w:r>
          </w:p>
        </w:tc>
        <w:tc>
          <w:tcPr>
            <w:tcW w:w="1148" w:type="dxa"/>
            <w:vMerge w:val="restart"/>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劳动防护用品配备使用</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作业人员必须正确使用防尘或者防毒等个体防护用品。</w:t>
            </w:r>
          </w:p>
        </w:tc>
        <w:tc>
          <w:tcPr>
            <w:tcW w:w="2331" w:type="dxa"/>
            <w:tcBorders>
              <w:top w:val="single" w:color="000000" w:sz="4" w:space="0"/>
              <w:left w:val="single" w:color="000000" w:sz="4" w:space="0"/>
              <w:bottom w:val="single" w:color="000000" w:sz="4" w:space="0"/>
              <w:right w:val="nil"/>
            </w:tcBorders>
            <w:vAlign w:val="center"/>
          </w:tcPr>
          <w:p>
            <w:pPr>
              <w:jc w:val="left"/>
              <w:textAlignment w:val="center"/>
              <w:rPr>
                <w:rFonts w:ascii="宋体" w:cs="宋体"/>
              </w:rPr>
            </w:pPr>
            <w:r>
              <w:rPr>
                <w:rFonts w:hint="eastAsia" w:ascii="宋体" w:hAnsi="宋体" w:cs="宋体"/>
                <w:kern w:val="0"/>
              </w:rPr>
              <w:t>《煤矿安全规程》第六百三十九条。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vMerge w:val="continue"/>
            <w:tcBorders>
              <w:top w:val="single" w:color="000000" w:sz="4" w:space="0"/>
              <w:left w:val="single" w:color="000000" w:sz="4" w:space="0"/>
              <w:bottom w:val="single" w:color="000000" w:sz="4" w:space="0"/>
              <w:right w:val="nil"/>
            </w:tcBorders>
            <w:vAlign w:val="center"/>
          </w:tcPr>
          <w:p>
            <w:pPr>
              <w:rPr>
                <w:rFonts w:ascii="宋体" w:cs="宋体"/>
              </w:rPr>
            </w:pPr>
          </w:p>
        </w:tc>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入井</w:t>
            </w:r>
            <w:r>
              <w:rPr>
                <w:rFonts w:ascii="宋体" w:hAnsi="宋体" w:cs="宋体"/>
                <w:kern w:val="0"/>
              </w:rPr>
              <w:t>(</w:t>
            </w:r>
            <w:r>
              <w:rPr>
                <w:rFonts w:hint="eastAsia" w:ascii="宋体" w:hAnsi="宋体" w:cs="宋体"/>
                <w:kern w:val="0"/>
              </w:rPr>
              <w:t>场</w:t>
            </w:r>
            <w:r>
              <w:rPr>
                <w:rFonts w:ascii="宋体" w:hAnsi="宋体" w:cs="宋体"/>
                <w:kern w:val="0"/>
              </w:rPr>
              <w:t>)</w:t>
            </w:r>
            <w:r>
              <w:rPr>
                <w:rFonts w:hint="eastAsia" w:ascii="宋体" w:hAnsi="宋体" w:cs="宋体"/>
                <w:kern w:val="0"/>
              </w:rPr>
              <w:t>人员必须戴安全帽等个体防护用品，穿带有反光标识的工作服。</w:t>
            </w:r>
          </w:p>
        </w:tc>
        <w:tc>
          <w:tcPr>
            <w:tcW w:w="2331" w:type="dxa"/>
            <w:tcBorders>
              <w:top w:val="single" w:color="000000" w:sz="4" w:space="0"/>
              <w:left w:val="single" w:color="000000" w:sz="4" w:space="0"/>
              <w:bottom w:val="single" w:color="000000" w:sz="4" w:space="0"/>
              <w:right w:val="nil"/>
            </w:tcBorders>
            <w:vAlign w:val="center"/>
          </w:tcPr>
          <w:p>
            <w:pPr>
              <w:jc w:val="left"/>
              <w:textAlignment w:val="center"/>
              <w:rPr>
                <w:rFonts w:ascii="宋体" w:cs="宋体"/>
              </w:rPr>
            </w:pPr>
            <w:r>
              <w:rPr>
                <w:rFonts w:hint="eastAsia" w:ascii="宋体" w:hAnsi="宋体" w:cs="宋体"/>
                <w:kern w:val="0"/>
              </w:rPr>
              <w:t>《煤矿安全规程》第十三条。</w:t>
            </w:r>
          </w:p>
        </w:tc>
        <w:tc>
          <w:tcPr>
            <w:tcW w:w="1333" w:type="dxa"/>
            <w:tcBorders>
              <w:top w:val="single" w:color="000000" w:sz="4" w:space="0"/>
              <w:left w:val="single" w:color="000000" w:sz="4" w:space="0"/>
              <w:bottom w:val="single" w:color="000000" w:sz="4" w:space="0"/>
              <w:right w:val="single" w:color="000000" w:sz="4" w:space="0"/>
            </w:tcBorders>
          </w:tcPr>
          <w:p>
            <w:pP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rPr>
                <w:rFonts w:ascii="宋体" w:cs="宋体"/>
              </w:rPr>
            </w:pPr>
          </w:p>
        </w:tc>
        <w:tc>
          <w:tcPr>
            <w:tcW w:w="1339" w:type="dxa"/>
            <w:tcBorders>
              <w:top w:val="single" w:color="000000" w:sz="4" w:space="0"/>
              <w:left w:val="single" w:color="000000" w:sz="4" w:space="0"/>
              <w:bottom w:val="single" w:color="000000" w:sz="4" w:space="0"/>
              <w:right w:val="single" w:color="auto" w:sz="4" w:space="0"/>
            </w:tcBorders>
          </w:tcPr>
          <w:p>
            <w:pPr>
              <w:rPr>
                <w:rFonts w:ascii="宋体" w:cs="宋体"/>
              </w:rPr>
            </w:pPr>
          </w:p>
        </w:tc>
      </w:tr>
      <w:tr>
        <w:tblPrEx>
          <w:tblCellMar>
            <w:top w:w="0" w:type="dxa"/>
            <w:left w:w="108" w:type="dxa"/>
            <w:bottom w:w="0" w:type="dxa"/>
            <w:right w:w="108" w:type="dxa"/>
          </w:tblCellMar>
        </w:tblPrEx>
        <w:trPr>
          <w:jc w:val="center"/>
        </w:trPr>
        <w:tc>
          <w:tcPr>
            <w:tcW w:w="13751" w:type="dxa"/>
            <w:gridSpan w:val="7"/>
            <w:tcBorders>
              <w:top w:val="single" w:color="000000" w:sz="4" w:space="0"/>
              <w:left w:val="single" w:color="000000" w:sz="4" w:space="0"/>
              <w:bottom w:val="single" w:color="000000" w:sz="4" w:space="0"/>
              <w:right w:val="single" w:color="auto" w:sz="4" w:space="0"/>
            </w:tcBorders>
          </w:tcPr>
          <w:p>
            <w:pPr>
              <w:jc w:val="left"/>
              <w:textAlignment w:val="center"/>
              <w:rPr>
                <w:rFonts w:ascii="宋体" w:cs="宋体"/>
                <w:kern w:val="0"/>
              </w:rPr>
            </w:pPr>
            <w:r>
              <w:rPr>
                <w:rFonts w:hint="eastAsia" w:ascii="黑体" w:hAnsi="黑体" w:eastAsia="黑体" w:cs="黑体"/>
                <w:kern w:val="0"/>
              </w:rPr>
              <w:t>（三）安全培训</w:t>
            </w: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3</w:t>
            </w:r>
            <w:r>
              <w:rPr>
                <w:rFonts w:hint="eastAsia" w:ascii="宋体" w:hAnsi="宋体" w:cs="宋体"/>
                <w:kern w:val="0"/>
                <w:lang w:val="en-US" w:eastAsia="zh-CN"/>
              </w:rPr>
              <w:t>2</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安全培训机构及制度</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明确负责安全培训工作的机构，配备专职或者兼职安全培训管理人员，专兼职教师持证情况。煤矿企业应当建立完善安全培训管理制度，制定年度安全培训计划。</w:t>
            </w:r>
          </w:p>
        </w:tc>
        <w:tc>
          <w:tcPr>
            <w:tcW w:w="2331" w:type="dxa"/>
            <w:tcBorders>
              <w:top w:val="single" w:color="000000" w:sz="4" w:space="0"/>
              <w:left w:val="single" w:color="000000" w:sz="4" w:space="0"/>
              <w:bottom w:val="single" w:color="000000" w:sz="4" w:space="0"/>
              <w:right w:val="single" w:color="auto" w:sz="4" w:space="0"/>
            </w:tcBorders>
            <w:vAlign w:val="center"/>
          </w:tcPr>
          <w:p>
            <w:pPr>
              <w:jc w:val="left"/>
              <w:textAlignment w:val="center"/>
              <w:rPr>
                <w:rFonts w:ascii="宋体" w:cs="宋体"/>
              </w:rPr>
            </w:pPr>
            <w:r>
              <w:rPr>
                <w:rFonts w:hint="eastAsia" w:ascii="宋体" w:hAnsi="宋体" w:cs="宋体"/>
                <w:kern w:val="0"/>
              </w:rPr>
              <w:t>《煤矿安全培训规定》</w:t>
            </w:r>
            <w:r>
              <w:rPr>
                <w:rFonts w:ascii="宋体" w:hAnsi="宋体" w:cs="宋体"/>
                <w:kern w:val="0"/>
              </w:rPr>
              <w:t>(</w:t>
            </w:r>
            <w:r>
              <w:rPr>
                <w:rFonts w:hint="eastAsia" w:ascii="宋体" w:hAnsi="宋体" w:cs="宋体"/>
                <w:kern w:val="0"/>
              </w:rPr>
              <w:t>国家安全生产监督管理总局令第</w:t>
            </w:r>
            <w:r>
              <w:rPr>
                <w:rFonts w:ascii="宋体" w:hAnsi="宋体" w:cs="宋体"/>
                <w:kern w:val="0"/>
              </w:rPr>
              <w:t>92</w:t>
            </w:r>
            <w:r>
              <w:rPr>
                <w:rFonts w:hint="eastAsia" w:ascii="宋体" w:hAnsi="宋体" w:cs="宋体"/>
                <w:kern w:val="0"/>
              </w:rPr>
              <w:t>号</w:t>
            </w:r>
            <w:r>
              <w:rPr>
                <w:rFonts w:ascii="宋体" w:hAnsi="宋体" w:cs="宋体"/>
                <w:kern w:val="0"/>
              </w:rPr>
              <w:t>)</w:t>
            </w:r>
            <w:r>
              <w:rPr>
                <w:rFonts w:hint="eastAsia" w:ascii="宋体" w:hAnsi="宋体" w:cs="宋体"/>
                <w:kern w:val="0"/>
              </w:rPr>
              <w:t>第六条。</w:t>
            </w:r>
          </w:p>
        </w:tc>
        <w:tc>
          <w:tcPr>
            <w:tcW w:w="1333"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c>
          <w:tcPr>
            <w:tcW w:w="1333"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c>
          <w:tcPr>
            <w:tcW w:w="1339" w:type="dxa"/>
            <w:tcBorders>
              <w:top w:val="single" w:color="auto" w:sz="4" w:space="0"/>
              <w:left w:val="single" w:color="auto" w:sz="4" w:space="0"/>
              <w:bottom w:val="single" w:color="auto" w:sz="4" w:space="0"/>
              <w:right w:val="single" w:color="auto"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3</w:t>
            </w:r>
            <w:r>
              <w:rPr>
                <w:rFonts w:hint="eastAsia" w:ascii="宋体" w:hAnsi="宋体" w:cs="宋体"/>
                <w:kern w:val="0"/>
                <w:lang w:val="en-US" w:eastAsia="zh-CN"/>
              </w:rPr>
              <w:t>3</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安全培训档案管理</w:t>
            </w:r>
          </w:p>
        </w:tc>
        <w:tc>
          <w:tcPr>
            <w:tcW w:w="5541" w:type="dxa"/>
            <w:tcBorders>
              <w:top w:val="single" w:color="000000" w:sz="4" w:space="0"/>
              <w:left w:val="single" w:color="000000" w:sz="4" w:space="0"/>
              <w:bottom w:val="single" w:color="000000" w:sz="4" w:space="0"/>
              <w:right w:val="single" w:color="000000" w:sz="4" w:space="0"/>
            </w:tcBorders>
            <w:vAlign w:val="center"/>
          </w:tcPr>
          <w:p>
            <w:pPr>
              <w:spacing w:after="240"/>
              <w:jc w:val="left"/>
              <w:textAlignment w:val="center"/>
              <w:rPr>
                <w:rFonts w:ascii="宋体" w:hAnsi="宋体" w:cs="宋体"/>
                <w:spacing w:val="-6"/>
                <w:kern w:val="0"/>
              </w:rPr>
            </w:pPr>
            <w:r>
              <w:rPr>
                <w:rFonts w:hint="eastAsia" w:ascii="宋体" w:hAnsi="宋体" w:cs="宋体"/>
                <w:spacing w:val="-6"/>
                <w:kern w:val="0"/>
              </w:rPr>
              <w:t>建立规范的安全生产教育和培训档案。建立健全从业人员安全培训档案，实行一人一档。煤矿企业从业人员安全培训档案的内容包括：学员登记表，包括学员的文化程度、职务、职称、工作经历、技能等级晋升等情况；身份证复印件、学历证书复印件；</w:t>
            </w:r>
          </w:p>
          <w:p>
            <w:pPr>
              <w:spacing w:after="240"/>
              <w:jc w:val="left"/>
              <w:textAlignment w:val="center"/>
              <w:rPr>
                <w:rFonts w:ascii="宋体" w:cs="宋体"/>
              </w:rPr>
            </w:pPr>
            <w:r>
              <w:rPr>
                <w:rFonts w:hint="eastAsia" w:ascii="宋体" w:hAnsi="宋体" w:cs="宋体"/>
                <w:kern w:val="0"/>
              </w:rPr>
              <w:t>历次接受安全培训、考核的情况；安全生产违规违章行为记录，以及被追究责任，受到处分、处理的情况。建立企业安全培训档案，实行一期一档。煤矿企业安全培训档案的内容包括：培训计划；培训时间、地点；培训课时及授课教师；课程讲义；学员名册、考勤、考核情况；综合考评报告等。</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《煤矿安全培训规定》</w:t>
            </w:r>
            <w:r>
              <w:rPr>
                <w:rFonts w:ascii="宋体" w:hAnsi="宋体" w:cs="宋体"/>
                <w:kern w:val="0"/>
              </w:rPr>
              <w:t>(</w:t>
            </w:r>
            <w:r>
              <w:rPr>
                <w:rFonts w:hint="eastAsia" w:ascii="宋体" w:hAnsi="宋体" w:cs="宋体"/>
                <w:kern w:val="0"/>
              </w:rPr>
              <w:t>国家安全生产监督管理总局令第</w:t>
            </w:r>
            <w:r>
              <w:rPr>
                <w:rFonts w:ascii="宋体" w:hAnsi="宋体" w:cs="宋体"/>
                <w:kern w:val="0"/>
              </w:rPr>
              <w:t>92</w:t>
            </w:r>
            <w:r>
              <w:rPr>
                <w:rFonts w:hint="eastAsia" w:ascii="宋体" w:hAnsi="宋体" w:cs="宋体"/>
                <w:kern w:val="0"/>
              </w:rPr>
              <w:t>号</w:t>
            </w:r>
            <w:r>
              <w:rPr>
                <w:rFonts w:ascii="宋体" w:hAnsi="宋体" w:cs="宋体"/>
                <w:kern w:val="0"/>
              </w:rPr>
              <w:t>)</w:t>
            </w:r>
            <w:r>
              <w:rPr>
                <w:rFonts w:hint="eastAsia" w:ascii="宋体" w:hAnsi="宋体" w:cs="宋体"/>
                <w:kern w:val="0"/>
              </w:rPr>
              <w:t>第八条，第九条。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3</w:t>
            </w:r>
            <w:r>
              <w:rPr>
                <w:rFonts w:hint="eastAsia" w:ascii="宋体" w:hAnsi="宋体" w:cs="宋体"/>
                <w:kern w:val="0"/>
                <w:lang w:val="en-US" w:eastAsia="zh-CN"/>
              </w:rPr>
              <w:t>4</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安全培训投入</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按照国家规定的比例提取教育培训经费。其中，用于安全培训的资金不得低于教育培训经费总额的百分之四十。</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pacing w:val="-6"/>
              </w:rPr>
            </w:pPr>
            <w:r>
              <w:rPr>
                <w:rFonts w:hint="eastAsia" w:ascii="宋体" w:hAnsi="宋体" w:cs="宋体"/>
                <w:spacing w:val="-6"/>
                <w:kern w:val="0"/>
              </w:rPr>
              <w:t>《煤矿安全培训规定》</w:t>
            </w:r>
            <w:r>
              <w:rPr>
                <w:rFonts w:ascii="宋体" w:hAnsi="宋体" w:cs="宋体"/>
                <w:spacing w:val="-6"/>
                <w:kern w:val="0"/>
              </w:rPr>
              <w:t>(</w:t>
            </w:r>
            <w:r>
              <w:rPr>
                <w:rFonts w:hint="eastAsia" w:ascii="宋体" w:hAnsi="宋体" w:cs="宋体"/>
                <w:spacing w:val="-6"/>
                <w:kern w:val="0"/>
              </w:rPr>
              <w:t>国家安全生产监督管理总局令第</w:t>
            </w:r>
            <w:r>
              <w:rPr>
                <w:rFonts w:ascii="宋体" w:hAnsi="宋体" w:cs="宋体"/>
                <w:spacing w:val="-6"/>
                <w:kern w:val="0"/>
              </w:rPr>
              <w:t>92</w:t>
            </w:r>
            <w:r>
              <w:rPr>
                <w:rFonts w:hint="eastAsia" w:ascii="宋体" w:hAnsi="宋体" w:cs="宋体"/>
                <w:spacing w:val="-6"/>
                <w:kern w:val="0"/>
              </w:rPr>
              <w:t>号</w:t>
            </w:r>
            <w:r>
              <w:rPr>
                <w:rFonts w:ascii="宋体" w:hAnsi="宋体" w:cs="宋体"/>
                <w:spacing w:val="-6"/>
                <w:kern w:val="0"/>
              </w:rPr>
              <w:t>)</w:t>
            </w:r>
            <w:r>
              <w:rPr>
                <w:rFonts w:hint="eastAsia" w:ascii="宋体" w:hAnsi="宋体" w:cs="宋体"/>
                <w:spacing w:val="-6"/>
                <w:kern w:val="0"/>
              </w:rPr>
              <w:t>第六条。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3</w:t>
            </w:r>
            <w:r>
              <w:rPr>
                <w:rFonts w:hint="eastAsia" w:ascii="宋体" w:hAnsi="宋体" w:cs="宋体"/>
                <w:kern w:val="0"/>
                <w:lang w:val="en-US" w:eastAsia="zh-CN"/>
              </w:rPr>
              <w:t>5</w:t>
            </w:r>
          </w:p>
        </w:tc>
        <w:tc>
          <w:tcPr>
            <w:tcW w:w="1148" w:type="dxa"/>
            <w:tcBorders>
              <w:top w:val="single" w:color="000000" w:sz="4" w:space="0"/>
              <w:left w:val="nil"/>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主要负责人及安全生产管理人员培训</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企业主要负责人和安全生产管理人员应当自任职之日起六个月内通过考核部门组织的安全生产知识和管理能力考核，并持续保持相应水平和能力。煤矿企业主要负责人和安全生产管理人员应当自任职之日起三十日内，按照规定向考核部门提出考核申请。企业应当每年组织主要负责人和安全生产管理人员进行新法律法规、新标准、新规程、新技术、新工艺、新设备和新材料等方面的安全培训。</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《中华人民共和国安全生产法》第二十一条，《煤矿安全培训规定》</w:t>
            </w:r>
            <w:r>
              <w:rPr>
                <w:rFonts w:ascii="宋体" w:hAnsi="宋体" w:cs="宋体"/>
                <w:kern w:val="0"/>
              </w:rPr>
              <w:t>(</w:t>
            </w:r>
            <w:r>
              <w:rPr>
                <w:rFonts w:hint="eastAsia" w:ascii="宋体" w:hAnsi="宋体" w:cs="宋体"/>
                <w:kern w:val="0"/>
              </w:rPr>
              <w:t>国家安全生产监督管理总局令第</w:t>
            </w:r>
            <w:r>
              <w:rPr>
                <w:rFonts w:ascii="宋体" w:hAnsi="宋体" w:cs="宋体"/>
                <w:kern w:val="0"/>
              </w:rPr>
              <w:t>92</w:t>
            </w:r>
            <w:r>
              <w:rPr>
                <w:rFonts w:hint="eastAsia" w:ascii="宋体" w:hAnsi="宋体" w:cs="宋体"/>
                <w:kern w:val="0"/>
              </w:rPr>
              <w:t>号</w:t>
            </w:r>
            <w:r>
              <w:rPr>
                <w:rFonts w:ascii="宋体" w:hAnsi="宋体" w:cs="宋体"/>
                <w:kern w:val="0"/>
              </w:rPr>
              <w:t>)</w:t>
            </w:r>
            <w:r>
              <w:rPr>
                <w:rFonts w:hint="eastAsia" w:ascii="宋体" w:hAnsi="宋体" w:cs="宋体"/>
                <w:kern w:val="0"/>
              </w:rPr>
              <w:t>第十二条，十七条。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3</w:t>
            </w:r>
            <w:r>
              <w:rPr>
                <w:rFonts w:hint="eastAsia" w:ascii="宋体" w:hAnsi="宋体" w:cs="宋体"/>
                <w:kern w:val="0"/>
                <w:lang w:val="en-US" w:eastAsia="zh-CN"/>
              </w:rPr>
              <w:t>6</w:t>
            </w:r>
          </w:p>
        </w:tc>
        <w:tc>
          <w:tcPr>
            <w:tcW w:w="1148" w:type="dxa"/>
            <w:tcBorders>
              <w:top w:val="single" w:color="000000" w:sz="4" w:space="0"/>
              <w:left w:val="nil"/>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特种作业人员培训</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煤矿特种作业人员必须经专门的安全技术培训和考核合格，由省级煤矿安全培训主管部门颁发特种作业操作证后，方可上岗作业。</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《煤矿安全培训规定》</w:t>
            </w:r>
            <w:r>
              <w:rPr>
                <w:rFonts w:ascii="宋体" w:hAnsi="宋体" w:cs="宋体"/>
                <w:kern w:val="0"/>
              </w:rPr>
              <w:t>(</w:t>
            </w:r>
            <w:r>
              <w:rPr>
                <w:rFonts w:hint="eastAsia" w:ascii="宋体" w:hAnsi="宋体" w:cs="宋体"/>
                <w:kern w:val="0"/>
              </w:rPr>
              <w:t>国家安全生产监督管理总局令第</w:t>
            </w:r>
            <w:r>
              <w:rPr>
                <w:rFonts w:ascii="宋体" w:hAnsi="宋体" w:cs="宋体"/>
                <w:kern w:val="0"/>
              </w:rPr>
              <w:t>92</w:t>
            </w:r>
            <w:r>
              <w:rPr>
                <w:rFonts w:hint="eastAsia" w:ascii="宋体" w:hAnsi="宋体" w:cs="宋体"/>
                <w:kern w:val="0"/>
              </w:rPr>
              <w:t>号</w:t>
            </w:r>
            <w:r>
              <w:rPr>
                <w:rFonts w:ascii="宋体" w:hAnsi="宋体" w:cs="宋体"/>
                <w:kern w:val="0"/>
              </w:rPr>
              <w:t>)</w:t>
            </w:r>
            <w:r>
              <w:rPr>
                <w:rFonts w:hint="eastAsia" w:ascii="宋体" w:hAnsi="宋体" w:cs="宋体"/>
                <w:kern w:val="0"/>
              </w:rPr>
              <w:t>第二十四条。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3</w:t>
            </w:r>
            <w:r>
              <w:rPr>
                <w:rFonts w:hint="eastAsia" w:ascii="宋体" w:hAnsi="宋体" w:cs="宋体"/>
                <w:kern w:val="0"/>
                <w:lang w:val="en-US" w:eastAsia="zh-CN"/>
              </w:rPr>
              <w:t>7</w:t>
            </w:r>
          </w:p>
        </w:tc>
        <w:tc>
          <w:tcPr>
            <w:tcW w:w="1148" w:type="dxa"/>
            <w:tcBorders>
              <w:top w:val="single" w:color="000000" w:sz="4" w:space="0"/>
              <w:left w:val="nil"/>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其他从业人员培训</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应当对其他从业人员进行安全培训，保证其具备必要的安全生产知识、技能和事故应急处理能力，知悉自身在安全生产方面的权利和义务。对从事采煤、掘进、机电、运输、通风、防治水等工作的班组长的安全培训，应当由其所在煤矿的上一级煤矿企业组织实施；没有上一级煤矿企业的，由本单位组织实施。</w:t>
            </w:r>
          </w:p>
          <w:p>
            <w:pPr>
              <w:jc w:val="left"/>
              <w:textAlignment w:val="center"/>
              <w:rPr>
                <w:rFonts w:ascii="宋体" w:cs="宋体"/>
              </w:rPr>
            </w:pPr>
            <w:r>
              <w:rPr>
                <w:rFonts w:hint="eastAsia" w:ascii="宋体" w:hAnsi="宋体" w:cs="宋体"/>
                <w:kern w:val="0"/>
              </w:rPr>
              <w:t>其他从业人员安全培训合格后，应当颁发安全培训合格证明；未经培训并取得培训合格证明的，不得上岗作业。</w:t>
            </w:r>
          </w:p>
        </w:tc>
        <w:tc>
          <w:tcPr>
            <w:tcW w:w="233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《中华人民共和国安全生产法》第二十五条，《煤矿安全培训规定》第三十三条，三十五条。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38</w:t>
            </w:r>
          </w:p>
        </w:tc>
        <w:tc>
          <w:tcPr>
            <w:tcW w:w="1148" w:type="dxa"/>
            <w:tcBorders>
              <w:top w:val="single" w:color="000000" w:sz="4" w:space="0"/>
              <w:left w:val="nil"/>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防治水知识培训</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应当对职工进行防治水知识的教训和培训，保证职工具备必要的防治水知识。</w:t>
            </w:r>
          </w:p>
        </w:tc>
        <w:tc>
          <w:tcPr>
            <w:tcW w:w="2331" w:type="dxa"/>
            <w:tcBorders>
              <w:top w:val="nil"/>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《煤矿防治水细则》第十条。</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39</w:t>
            </w:r>
          </w:p>
        </w:tc>
        <w:tc>
          <w:tcPr>
            <w:tcW w:w="1148" w:type="dxa"/>
            <w:tcBorders>
              <w:top w:val="single" w:color="000000" w:sz="4" w:space="0"/>
              <w:left w:val="nil"/>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应急预案培训</w:t>
            </w:r>
          </w:p>
        </w:tc>
        <w:tc>
          <w:tcPr>
            <w:tcW w:w="554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生产经营单位应当组织开展本单位的应急预案、应急知识、自救互救和避险逃生技能的培训活动，使有关人员了解应急预案内容，熟悉应急职责、应急处置程序和措施。</w:t>
            </w:r>
          </w:p>
        </w:tc>
        <w:tc>
          <w:tcPr>
            <w:tcW w:w="2331" w:type="dxa"/>
            <w:tcBorders>
              <w:top w:val="nil"/>
              <w:left w:val="single" w:color="000000" w:sz="4" w:space="0"/>
              <w:bottom w:val="single" w:color="auto" w:sz="4" w:space="0"/>
              <w:right w:val="single" w:color="000000" w:sz="4" w:space="0"/>
            </w:tcBorders>
            <w:vAlign w:val="center"/>
          </w:tcPr>
          <w:p>
            <w:pPr>
              <w:jc w:val="left"/>
              <w:textAlignment w:val="center"/>
              <w:rPr>
                <w:rFonts w:ascii="宋体" w:cs="宋体"/>
              </w:rPr>
            </w:pPr>
            <w:r>
              <w:rPr>
                <w:rFonts w:hint="eastAsia" w:ascii="宋体" w:hAnsi="宋体" w:cs="宋体"/>
                <w:kern w:val="0"/>
              </w:rPr>
              <w:t>《安全生产事故应急预案管理办法》第三十一条第二款。</w:t>
            </w: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3"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39"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4</w:t>
            </w:r>
            <w:r>
              <w:rPr>
                <w:rFonts w:hint="eastAsia" w:ascii="宋体" w:hAnsi="宋体" w:cs="宋体"/>
                <w:kern w:val="0"/>
                <w:lang w:val="en-US" w:eastAsia="zh-CN"/>
              </w:rPr>
              <w:t>0</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其它培训</w:t>
            </w:r>
          </w:p>
        </w:tc>
        <w:tc>
          <w:tcPr>
            <w:tcW w:w="5541" w:type="dxa"/>
            <w:tcBorders>
              <w:top w:val="single" w:color="000000" w:sz="4" w:space="0"/>
              <w:left w:val="single" w:color="000000" w:sz="4" w:space="0"/>
              <w:bottom w:val="single" w:color="000000" w:sz="4" w:space="0"/>
              <w:right w:val="single" w:color="auto" w:sz="4" w:space="0"/>
            </w:tcBorders>
            <w:vAlign w:val="center"/>
          </w:tcPr>
          <w:p>
            <w:pPr>
              <w:jc w:val="left"/>
              <w:textAlignment w:val="center"/>
              <w:rPr>
                <w:rFonts w:ascii="宋体" w:cs="宋体"/>
              </w:rPr>
            </w:pPr>
            <w:r>
              <w:rPr>
                <w:rFonts w:hint="eastAsia" w:ascii="宋体" w:hAnsi="宋体" w:cs="宋体"/>
                <w:kern w:val="0"/>
              </w:rPr>
              <w:t>企业井下作业人员调整工作岗位或者离开本岗位一年以上重新上岗前安全生产教训和培训情况；应用新工艺、新技术、新材料、新设备以及离岗、转岗时对从业人员安全培训的情况</w:t>
            </w:r>
          </w:p>
        </w:tc>
        <w:tc>
          <w:tcPr>
            <w:tcW w:w="2331"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ascii="宋体" w:cs="宋体"/>
              </w:rPr>
            </w:pPr>
            <w:r>
              <w:rPr>
                <w:rFonts w:hint="eastAsia" w:ascii="宋体" w:hAnsi="宋体" w:cs="宋体"/>
                <w:kern w:val="0"/>
              </w:rPr>
              <w:t>《中华人民共和国安全生产法》第二十八条，《煤矿安全培训规定》第三十七条。</w:t>
            </w:r>
          </w:p>
        </w:tc>
        <w:tc>
          <w:tcPr>
            <w:tcW w:w="1333" w:type="dxa"/>
            <w:tcBorders>
              <w:top w:val="single" w:color="000000" w:sz="4" w:space="0"/>
              <w:left w:val="single" w:color="auto" w:sz="4" w:space="0"/>
              <w:bottom w:val="single" w:color="000000" w:sz="4" w:space="0"/>
              <w:right w:val="single" w:color="auto" w:sz="4" w:space="0"/>
            </w:tcBorders>
          </w:tcPr>
          <w:p>
            <w:pPr>
              <w:textAlignment w:val="center"/>
              <w:rPr>
                <w:rFonts w:ascii="宋体" w:cs="宋体"/>
              </w:rPr>
            </w:pPr>
          </w:p>
        </w:tc>
        <w:tc>
          <w:tcPr>
            <w:tcW w:w="1333" w:type="dxa"/>
            <w:tcBorders>
              <w:top w:val="single" w:color="000000" w:sz="4" w:space="0"/>
              <w:left w:val="single" w:color="auto" w:sz="4" w:space="0"/>
              <w:bottom w:val="single" w:color="000000" w:sz="4" w:space="0"/>
              <w:right w:val="single" w:color="auto" w:sz="4" w:space="0"/>
            </w:tcBorders>
          </w:tcPr>
          <w:p>
            <w:pPr>
              <w:textAlignment w:val="center"/>
              <w:rPr>
                <w:rFonts w:ascii="宋体" w:cs="宋体"/>
              </w:rPr>
            </w:pPr>
          </w:p>
        </w:tc>
        <w:tc>
          <w:tcPr>
            <w:tcW w:w="1339" w:type="dxa"/>
            <w:tcBorders>
              <w:top w:val="single" w:color="000000" w:sz="4" w:space="0"/>
              <w:left w:val="single" w:color="auto" w:sz="4" w:space="0"/>
              <w:bottom w:val="single" w:color="000000" w:sz="4" w:space="0"/>
              <w:right w:val="single" w:color="auto" w:sz="4" w:space="0"/>
            </w:tcBorders>
          </w:tcPr>
          <w:p>
            <w:pPr>
              <w:textAlignment w:val="center"/>
              <w:rPr>
                <w:rFonts w:ascii="宋体" w:cs="宋体"/>
              </w:rPr>
            </w:pPr>
          </w:p>
        </w:tc>
      </w:tr>
    </w:tbl>
    <w:p>
      <w:pPr>
        <w:jc w:val="left"/>
        <w:rPr>
          <w:rFonts w:ascii="黑体" w:hAnsi="黑体" w:eastAsia="黑体" w:cs="黑体"/>
          <w:sz w:val="28"/>
          <w:szCs w:val="28"/>
        </w:rPr>
      </w:pPr>
      <w:r>
        <w:rPr>
          <w:rFonts w:hint="eastAsia" w:ascii="黑体" w:hAnsi="黑体" w:eastAsia="黑体" w:cs="黑体"/>
          <w:sz w:val="28"/>
          <w:szCs w:val="28"/>
        </w:rPr>
        <w:t>二、煤矿地质单元（20）</w:t>
      </w:r>
    </w:p>
    <w:tbl>
      <w:tblPr>
        <w:tblStyle w:val="23"/>
        <w:tblW w:w="13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214"/>
        <w:gridCol w:w="5591"/>
        <w:gridCol w:w="2302"/>
        <w:gridCol w:w="1257"/>
        <w:gridCol w:w="1257"/>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64" w:type="dxa"/>
            <w:vAlign w:val="center"/>
          </w:tcPr>
          <w:p>
            <w:pPr>
              <w:jc w:val="center"/>
              <w:rPr>
                <w:rFonts w:ascii="黑体" w:hAnsi="黑体" w:eastAsia="黑体" w:cs="宋体"/>
                <w:bCs/>
                <w:kern w:val="0"/>
              </w:rPr>
            </w:pPr>
            <w:r>
              <w:rPr>
                <w:rFonts w:hint="eastAsia" w:ascii="黑体" w:hAnsi="黑体" w:eastAsia="黑体" w:cs="宋体"/>
                <w:bCs/>
                <w:kern w:val="0"/>
              </w:rPr>
              <w:t>序号</w:t>
            </w:r>
          </w:p>
        </w:tc>
        <w:tc>
          <w:tcPr>
            <w:tcW w:w="1214" w:type="dxa"/>
            <w:vAlign w:val="center"/>
          </w:tcPr>
          <w:p>
            <w:pPr>
              <w:jc w:val="center"/>
              <w:rPr>
                <w:rFonts w:ascii="黑体" w:hAnsi="黑体" w:eastAsia="黑体" w:cs="宋体"/>
                <w:bCs/>
                <w:kern w:val="0"/>
              </w:rPr>
            </w:pPr>
            <w:r>
              <w:rPr>
                <w:rFonts w:hint="eastAsia" w:ascii="黑体" w:hAnsi="黑体" w:eastAsia="黑体" w:cs="宋体"/>
                <w:bCs/>
                <w:kern w:val="0"/>
              </w:rPr>
              <w:t>检查项目</w:t>
            </w:r>
          </w:p>
        </w:tc>
        <w:tc>
          <w:tcPr>
            <w:tcW w:w="5591" w:type="dxa"/>
            <w:vAlign w:val="center"/>
          </w:tcPr>
          <w:p>
            <w:pPr>
              <w:jc w:val="center"/>
              <w:rPr>
                <w:rFonts w:ascii="黑体" w:hAnsi="黑体" w:eastAsia="黑体" w:cs="宋体"/>
                <w:bCs/>
                <w:kern w:val="0"/>
              </w:rPr>
            </w:pPr>
            <w:r>
              <w:rPr>
                <w:rFonts w:hint="eastAsia" w:ascii="黑体" w:hAnsi="黑体" w:eastAsia="黑体" w:cs="宋体"/>
                <w:bCs/>
                <w:kern w:val="0"/>
              </w:rPr>
              <w:t>检查内容</w:t>
            </w:r>
          </w:p>
        </w:tc>
        <w:tc>
          <w:tcPr>
            <w:tcW w:w="2302" w:type="dxa"/>
            <w:vAlign w:val="center"/>
          </w:tcPr>
          <w:p>
            <w:pPr>
              <w:jc w:val="center"/>
              <w:rPr>
                <w:rFonts w:ascii="黑体" w:hAnsi="黑体" w:eastAsia="黑体" w:cs="宋体"/>
                <w:bCs/>
                <w:kern w:val="0"/>
              </w:rPr>
            </w:pPr>
            <w:r>
              <w:rPr>
                <w:rFonts w:hint="eastAsia" w:ascii="黑体" w:hAnsi="黑体" w:eastAsia="黑体" w:cs="宋体"/>
                <w:bCs/>
                <w:kern w:val="0"/>
              </w:rPr>
              <w:t>检查依据</w:t>
            </w:r>
          </w:p>
        </w:tc>
        <w:tc>
          <w:tcPr>
            <w:tcW w:w="1257" w:type="dxa"/>
            <w:vAlign w:val="center"/>
          </w:tcPr>
          <w:p>
            <w:pPr>
              <w:jc w:val="center"/>
              <w:rPr>
                <w:rFonts w:ascii="黑体" w:hAnsi="黑体" w:eastAsia="黑体" w:cs="宋体"/>
                <w:bCs/>
                <w:kern w:val="0"/>
              </w:rPr>
            </w:pPr>
            <w:r>
              <w:rPr>
                <w:rFonts w:hint="eastAsia" w:ascii="黑体" w:hAnsi="黑体" w:eastAsia="黑体" w:cs="宋体"/>
                <w:bCs/>
                <w:kern w:val="0"/>
              </w:rPr>
              <w:t>现状描述</w:t>
            </w:r>
          </w:p>
        </w:tc>
        <w:tc>
          <w:tcPr>
            <w:tcW w:w="1257" w:type="dxa"/>
            <w:vAlign w:val="center"/>
          </w:tcPr>
          <w:p>
            <w:pPr>
              <w:jc w:val="center"/>
              <w:rPr>
                <w:rFonts w:ascii="黑体" w:hAnsi="黑体" w:eastAsia="黑体" w:cs="宋体"/>
                <w:bCs/>
                <w:kern w:val="0"/>
              </w:rPr>
            </w:pPr>
            <w:r>
              <w:rPr>
                <w:rFonts w:hint="eastAsia" w:ascii="黑体" w:hAnsi="黑体" w:eastAsia="黑体" w:cs="宋体"/>
                <w:bCs/>
                <w:kern w:val="0"/>
              </w:rPr>
              <w:t>存在问题</w:t>
            </w:r>
          </w:p>
        </w:tc>
        <w:tc>
          <w:tcPr>
            <w:tcW w:w="1257" w:type="dxa"/>
            <w:vAlign w:val="center"/>
          </w:tcPr>
          <w:p>
            <w:pPr>
              <w:jc w:val="center"/>
              <w:rPr>
                <w:rFonts w:ascii="黑体" w:hAnsi="黑体" w:eastAsia="黑体" w:cs="宋体"/>
                <w:bCs/>
                <w:kern w:val="0"/>
              </w:rPr>
            </w:pPr>
            <w:r>
              <w:rPr>
                <w:rFonts w:hint="eastAsia" w:ascii="黑体" w:hAnsi="黑体" w:eastAsia="黑体" w:cs="宋体"/>
                <w:bCs/>
                <w:kern w:val="0"/>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1</w:t>
            </w:r>
          </w:p>
        </w:tc>
        <w:tc>
          <w:tcPr>
            <w:tcW w:w="1214" w:type="dxa"/>
            <w:vAlign w:val="center"/>
          </w:tcPr>
          <w:p>
            <w:pPr>
              <w:jc w:val="left"/>
              <w:rPr>
                <w:rFonts w:ascii="宋体" w:cs="宋体"/>
                <w:kern w:val="0"/>
              </w:rPr>
            </w:pPr>
            <w:r>
              <w:rPr>
                <w:rFonts w:hint="eastAsia" w:ascii="宋体" w:hAnsi="宋体" w:cs="宋体"/>
                <w:kern w:val="0"/>
              </w:rPr>
              <w:t>矿井地质报告</w:t>
            </w:r>
          </w:p>
        </w:tc>
        <w:tc>
          <w:tcPr>
            <w:tcW w:w="5591" w:type="dxa"/>
            <w:vAlign w:val="center"/>
          </w:tcPr>
          <w:p>
            <w:pPr>
              <w:jc w:val="left"/>
              <w:rPr>
                <w:rFonts w:ascii="宋体" w:cs="宋体"/>
                <w:kern w:val="0"/>
              </w:rPr>
            </w:pPr>
            <w:r>
              <w:rPr>
                <w:rFonts w:hint="eastAsia" w:ascii="宋体" w:hAnsi="宋体" w:cs="宋体"/>
                <w:kern w:val="0"/>
              </w:rPr>
              <w:t>矿井地质报告应当每</w:t>
            </w:r>
            <w:r>
              <w:rPr>
                <w:rFonts w:ascii="宋体" w:hAnsi="宋体" w:cs="宋体"/>
                <w:kern w:val="0"/>
              </w:rPr>
              <w:t>5</w:t>
            </w:r>
            <w:r>
              <w:rPr>
                <w:rFonts w:hint="eastAsia" w:ascii="宋体" w:hAnsi="宋体" w:cs="宋体"/>
                <w:kern w:val="0"/>
              </w:rPr>
              <w:t>年修编</w:t>
            </w:r>
            <w:r>
              <w:rPr>
                <w:rFonts w:ascii="宋体" w:hAnsi="宋体" w:cs="宋体"/>
                <w:kern w:val="0"/>
              </w:rPr>
              <w:t>1</w:t>
            </w:r>
            <w:r>
              <w:rPr>
                <w:rFonts w:hint="eastAsia" w:ascii="宋体" w:hAnsi="宋体" w:cs="宋体"/>
                <w:kern w:val="0"/>
              </w:rPr>
              <w:t>次。地质条件变化影响地质类型划分时，应当在１年内重新进行地质类型划分。</w:t>
            </w:r>
          </w:p>
        </w:tc>
        <w:tc>
          <w:tcPr>
            <w:tcW w:w="2302" w:type="dxa"/>
            <w:vAlign w:val="center"/>
          </w:tcPr>
          <w:p>
            <w:pPr>
              <w:jc w:val="left"/>
              <w:rPr>
                <w:rFonts w:ascii="宋体" w:cs="宋体"/>
                <w:kern w:val="0"/>
              </w:rPr>
            </w:pPr>
            <w:r>
              <w:rPr>
                <w:rFonts w:hint="eastAsia" w:ascii="宋体" w:hAnsi="宋体" w:cs="宋体"/>
                <w:kern w:val="0"/>
              </w:rPr>
              <w:t>《煤矿地质工作规定》第十五条。</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2</w:t>
            </w:r>
          </w:p>
        </w:tc>
        <w:tc>
          <w:tcPr>
            <w:tcW w:w="1214" w:type="dxa"/>
            <w:vAlign w:val="center"/>
          </w:tcPr>
          <w:p>
            <w:pPr>
              <w:jc w:val="left"/>
              <w:rPr>
                <w:rFonts w:ascii="宋体" w:cs="宋体"/>
                <w:kern w:val="0"/>
              </w:rPr>
            </w:pPr>
            <w:r>
              <w:rPr>
                <w:rFonts w:hint="eastAsia" w:ascii="宋体" w:hAnsi="宋体" w:cs="宋体"/>
                <w:kern w:val="0"/>
              </w:rPr>
              <w:t>建井地质报告</w:t>
            </w:r>
          </w:p>
        </w:tc>
        <w:tc>
          <w:tcPr>
            <w:tcW w:w="5591" w:type="dxa"/>
            <w:vAlign w:val="center"/>
          </w:tcPr>
          <w:p>
            <w:pPr>
              <w:jc w:val="left"/>
              <w:rPr>
                <w:rFonts w:ascii="宋体" w:cs="宋体"/>
                <w:kern w:val="0"/>
              </w:rPr>
            </w:pPr>
            <w:r>
              <w:rPr>
                <w:rFonts w:hint="eastAsia" w:ascii="宋体" w:hAnsi="宋体" w:cs="宋体"/>
                <w:kern w:val="0"/>
              </w:rPr>
              <w:t>基建矿井移交生产前，必须编制建井（矿）地质报告。</w:t>
            </w:r>
          </w:p>
        </w:tc>
        <w:tc>
          <w:tcPr>
            <w:tcW w:w="2302" w:type="dxa"/>
            <w:vAlign w:val="center"/>
          </w:tcPr>
          <w:p>
            <w:pPr>
              <w:jc w:val="left"/>
              <w:rPr>
                <w:rFonts w:ascii="宋体" w:cs="宋体"/>
                <w:kern w:val="0"/>
              </w:rPr>
            </w:pPr>
            <w:r>
              <w:rPr>
                <w:rFonts w:hint="eastAsia" w:ascii="宋体" w:hAnsi="宋体" w:cs="宋体"/>
                <w:kern w:val="0"/>
              </w:rPr>
              <w:t>《煤矿地质工作规定》第十条。</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3</w:t>
            </w:r>
          </w:p>
        </w:tc>
        <w:tc>
          <w:tcPr>
            <w:tcW w:w="1214" w:type="dxa"/>
            <w:vMerge w:val="restart"/>
            <w:vAlign w:val="center"/>
          </w:tcPr>
          <w:p>
            <w:pPr>
              <w:jc w:val="left"/>
              <w:rPr>
                <w:rFonts w:ascii="宋体" w:cs="宋体"/>
                <w:kern w:val="0"/>
              </w:rPr>
            </w:pPr>
            <w:r>
              <w:rPr>
                <w:rFonts w:hint="eastAsia" w:ascii="宋体" w:hAnsi="宋体" w:cs="宋体"/>
                <w:kern w:val="0"/>
              </w:rPr>
              <w:t>采区地质说明书</w:t>
            </w:r>
          </w:p>
        </w:tc>
        <w:tc>
          <w:tcPr>
            <w:tcW w:w="5591" w:type="dxa"/>
            <w:vAlign w:val="center"/>
          </w:tcPr>
          <w:p>
            <w:pPr>
              <w:jc w:val="left"/>
              <w:rPr>
                <w:rFonts w:ascii="宋体" w:cs="宋体"/>
                <w:kern w:val="0"/>
              </w:rPr>
            </w:pPr>
            <w:r>
              <w:rPr>
                <w:rFonts w:hint="eastAsia" w:ascii="宋体" w:hAnsi="宋体" w:cs="宋体"/>
                <w:kern w:val="0"/>
              </w:rPr>
              <w:t>采区设计前</w:t>
            </w:r>
            <w:r>
              <w:rPr>
                <w:rFonts w:ascii="宋体" w:hAnsi="宋体" w:cs="宋体"/>
                <w:kern w:val="0"/>
              </w:rPr>
              <w:t>3</w:t>
            </w:r>
            <w:r>
              <w:rPr>
                <w:rFonts w:hint="eastAsia" w:ascii="宋体" w:hAnsi="宋体" w:cs="宋体"/>
                <w:kern w:val="0"/>
              </w:rPr>
              <w:t>个月应提出采区地质说明书，并由煤矿企业总工程师审批。</w:t>
            </w:r>
          </w:p>
        </w:tc>
        <w:tc>
          <w:tcPr>
            <w:tcW w:w="2302" w:type="dxa"/>
            <w:vAlign w:val="center"/>
          </w:tcPr>
          <w:p>
            <w:pPr>
              <w:jc w:val="left"/>
              <w:rPr>
                <w:rFonts w:ascii="宋体" w:cs="宋体"/>
                <w:kern w:val="0"/>
              </w:rPr>
            </w:pPr>
            <w:r>
              <w:rPr>
                <w:rFonts w:hint="eastAsia" w:ascii="宋体" w:hAnsi="宋体" w:cs="宋体"/>
                <w:kern w:val="0"/>
              </w:rPr>
              <w:t>《煤矿地质规定》第七十九条。</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4</w:t>
            </w:r>
          </w:p>
        </w:tc>
        <w:tc>
          <w:tcPr>
            <w:tcW w:w="1214" w:type="dxa"/>
            <w:vMerge w:val="continue"/>
            <w:vAlign w:val="center"/>
          </w:tcPr>
          <w:p>
            <w:pPr>
              <w:jc w:val="left"/>
              <w:rPr>
                <w:rFonts w:ascii="宋体" w:cs="宋体"/>
                <w:kern w:val="0"/>
              </w:rPr>
            </w:pPr>
          </w:p>
        </w:tc>
        <w:tc>
          <w:tcPr>
            <w:tcW w:w="5591" w:type="dxa"/>
            <w:vAlign w:val="center"/>
          </w:tcPr>
          <w:p>
            <w:pPr>
              <w:jc w:val="left"/>
              <w:rPr>
                <w:rFonts w:ascii="宋体" w:cs="宋体"/>
                <w:kern w:val="0"/>
              </w:rPr>
            </w:pPr>
            <w:r>
              <w:rPr>
                <w:rFonts w:hint="eastAsia" w:ascii="宋体" w:hAnsi="宋体" w:cs="宋体"/>
                <w:spacing w:val="6"/>
                <w:kern w:val="0"/>
              </w:rPr>
              <w:t>地质勘探工作量达不到有关规定要求或影响采区设计与掘进的地质因素不确定时，应采用物探、钻探等手段开展探查工作。</w:t>
            </w:r>
          </w:p>
        </w:tc>
        <w:tc>
          <w:tcPr>
            <w:tcW w:w="2302" w:type="dxa"/>
            <w:vAlign w:val="center"/>
          </w:tcPr>
          <w:p>
            <w:pPr>
              <w:jc w:val="left"/>
              <w:rPr>
                <w:rFonts w:ascii="宋体" w:cs="宋体"/>
                <w:kern w:val="0"/>
              </w:rPr>
            </w:pPr>
            <w:r>
              <w:rPr>
                <w:rFonts w:hint="eastAsia" w:ascii="宋体" w:hAnsi="宋体" w:cs="宋体"/>
                <w:kern w:val="0"/>
              </w:rPr>
              <w:t>《煤矿地质规定》第八十条。</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5</w:t>
            </w:r>
          </w:p>
        </w:tc>
        <w:tc>
          <w:tcPr>
            <w:tcW w:w="1214" w:type="dxa"/>
            <w:vMerge w:val="restart"/>
            <w:vAlign w:val="center"/>
          </w:tcPr>
          <w:p>
            <w:pPr>
              <w:jc w:val="left"/>
              <w:rPr>
                <w:rFonts w:ascii="宋体" w:cs="宋体"/>
                <w:kern w:val="0"/>
              </w:rPr>
            </w:pPr>
            <w:r>
              <w:rPr>
                <w:rFonts w:hint="eastAsia" w:ascii="宋体" w:hAnsi="宋体" w:cs="宋体"/>
                <w:kern w:val="0"/>
              </w:rPr>
              <w:t>采煤工作面地质说明书</w:t>
            </w:r>
          </w:p>
        </w:tc>
        <w:tc>
          <w:tcPr>
            <w:tcW w:w="5591" w:type="dxa"/>
            <w:vAlign w:val="center"/>
          </w:tcPr>
          <w:p>
            <w:pPr>
              <w:jc w:val="left"/>
              <w:rPr>
                <w:rFonts w:ascii="宋体" w:cs="宋体"/>
                <w:kern w:val="0"/>
              </w:rPr>
            </w:pPr>
            <w:r>
              <w:rPr>
                <w:rFonts w:hint="eastAsia" w:ascii="宋体" w:hAnsi="宋体" w:cs="宋体"/>
                <w:kern w:val="0"/>
              </w:rPr>
              <w:t>回采前</w:t>
            </w:r>
            <w:r>
              <w:rPr>
                <w:rFonts w:ascii="宋体" w:hAnsi="宋体" w:cs="宋体"/>
                <w:kern w:val="0"/>
              </w:rPr>
              <w:t>,</w:t>
            </w:r>
            <w:r>
              <w:rPr>
                <w:rFonts w:hint="eastAsia" w:ascii="宋体" w:hAnsi="宋体" w:cs="宋体"/>
                <w:kern w:val="0"/>
              </w:rPr>
              <w:t>应当编制地质说明书，掌握地质构造、岩浆岩体、陷落柱、煤层及其顶底板岩性、煤</w:t>
            </w:r>
            <w:r>
              <w:rPr>
                <w:rFonts w:ascii="宋体" w:hAnsi="宋体" w:cs="宋体"/>
                <w:kern w:val="0"/>
              </w:rPr>
              <w:t>(</w:t>
            </w:r>
            <w:r>
              <w:rPr>
                <w:rFonts w:hint="eastAsia" w:ascii="宋体" w:hAnsi="宋体" w:cs="宋体"/>
                <w:kern w:val="0"/>
              </w:rPr>
              <w:t>岩</w:t>
            </w:r>
            <w:r>
              <w:rPr>
                <w:rFonts w:ascii="宋体" w:hAnsi="宋体" w:cs="宋体"/>
                <w:kern w:val="0"/>
              </w:rPr>
              <w:t>)</w:t>
            </w:r>
            <w:r>
              <w:rPr>
                <w:rFonts w:hint="eastAsia" w:ascii="宋体" w:hAnsi="宋体" w:cs="宋体"/>
                <w:kern w:val="0"/>
              </w:rPr>
              <w:t>与瓦斯</w:t>
            </w:r>
            <w:r>
              <w:rPr>
                <w:rFonts w:ascii="宋体" w:hAnsi="宋体" w:cs="宋体"/>
                <w:kern w:val="0"/>
              </w:rPr>
              <w:t>(</w:t>
            </w:r>
            <w:r>
              <w:rPr>
                <w:rFonts w:hint="eastAsia" w:ascii="宋体" w:hAnsi="宋体" w:cs="宋体"/>
                <w:kern w:val="0"/>
              </w:rPr>
              <w:t>二氧化碳</w:t>
            </w:r>
            <w:r>
              <w:rPr>
                <w:rFonts w:ascii="宋体" w:hAnsi="宋体" w:cs="宋体"/>
                <w:kern w:val="0"/>
              </w:rPr>
              <w:t>)</w:t>
            </w:r>
            <w:r>
              <w:rPr>
                <w:rFonts w:hint="eastAsia" w:ascii="宋体" w:hAnsi="宋体" w:cs="宋体"/>
                <w:kern w:val="0"/>
              </w:rPr>
              <w:t>突出危险区、受水威胁区、技术边界、采空区、地质钻孔等情况。</w:t>
            </w:r>
          </w:p>
        </w:tc>
        <w:tc>
          <w:tcPr>
            <w:tcW w:w="2302" w:type="dxa"/>
            <w:vAlign w:val="center"/>
          </w:tcPr>
          <w:p>
            <w:pPr>
              <w:jc w:val="left"/>
              <w:rPr>
                <w:rFonts w:ascii="宋体" w:cs="宋体"/>
                <w:kern w:val="0"/>
              </w:rPr>
            </w:pPr>
            <w:r>
              <w:rPr>
                <w:rFonts w:hint="eastAsia" w:ascii="宋体" w:hAnsi="宋体" w:cs="宋体"/>
                <w:kern w:val="0"/>
              </w:rPr>
              <w:t>《煤矿安全规程》第三十一条。</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6</w:t>
            </w:r>
          </w:p>
        </w:tc>
        <w:tc>
          <w:tcPr>
            <w:tcW w:w="1214" w:type="dxa"/>
            <w:vMerge w:val="continue"/>
            <w:vAlign w:val="center"/>
          </w:tcPr>
          <w:p>
            <w:pPr>
              <w:jc w:val="left"/>
              <w:rPr>
                <w:rFonts w:ascii="宋体" w:cs="宋体"/>
                <w:kern w:val="0"/>
              </w:rPr>
            </w:pPr>
          </w:p>
        </w:tc>
        <w:tc>
          <w:tcPr>
            <w:tcW w:w="5591" w:type="dxa"/>
            <w:vAlign w:val="center"/>
          </w:tcPr>
          <w:p>
            <w:pPr>
              <w:jc w:val="left"/>
              <w:rPr>
                <w:rFonts w:ascii="宋体" w:cs="宋体"/>
                <w:kern w:val="0"/>
              </w:rPr>
            </w:pPr>
            <w:r>
              <w:rPr>
                <w:rFonts w:hint="eastAsia" w:ascii="宋体" w:hAnsi="宋体" w:cs="宋体"/>
                <w:kern w:val="0"/>
              </w:rPr>
              <w:t>回采工作面形成后，应开展相关物探、钻探等补充地质工作，查明工作面内部地质构造情况，并在</w:t>
            </w:r>
            <w:r>
              <w:rPr>
                <w:rFonts w:ascii="宋体" w:hAnsi="宋体" w:cs="宋体"/>
                <w:kern w:val="0"/>
              </w:rPr>
              <w:t>10</w:t>
            </w:r>
            <w:r>
              <w:rPr>
                <w:rFonts w:hint="eastAsia" w:ascii="宋体" w:hAnsi="宋体" w:cs="宋体"/>
                <w:kern w:val="0"/>
              </w:rPr>
              <w:t>日内提出回采工作面地质说明书，由矿井总工程师审批。</w:t>
            </w:r>
          </w:p>
        </w:tc>
        <w:tc>
          <w:tcPr>
            <w:tcW w:w="2302" w:type="dxa"/>
            <w:vAlign w:val="center"/>
          </w:tcPr>
          <w:p>
            <w:pPr>
              <w:jc w:val="left"/>
              <w:rPr>
                <w:rFonts w:ascii="宋体" w:cs="宋体"/>
                <w:kern w:val="0"/>
              </w:rPr>
            </w:pPr>
            <w:r>
              <w:rPr>
                <w:rFonts w:hint="eastAsia" w:ascii="宋体" w:hAnsi="宋体" w:cs="宋体"/>
                <w:kern w:val="0"/>
              </w:rPr>
              <w:t>《煤矿安全规程》第三十一条。</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7</w:t>
            </w:r>
          </w:p>
        </w:tc>
        <w:tc>
          <w:tcPr>
            <w:tcW w:w="1214" w:type="dxa"/>
            <w:vAlign w:val="center"/>
          </w:tcPr>
          <w:p>
            <w:pPr>
              <w:jc w:val="left"/>
              <w:rPr>
                <w:rFonts w:ascii="宋体" w:cs="宋体"/>
              </w:rPr>
            </w:pPr>
            <w:r>
              <w:rPr>
                <w:rFonts w:hint="eastAsia" w:ascii="宋体" w:hAnsi="宋体" w:cs="宋体"/>
                <w:lang w:val="zh-CN"/>
              </w:rPr>
              <w:t>采掘工作面水文地质</w:t>
            </w:r>
          </w:p>
        </w:tc>
        <w:tc>
          <w:tcPr>
            <w:tcW w:w="5591" w:type="dxa"/>
            <w:vAlign w:val="center"/>
          </w:tcPr>
          <w:p>
            <w:pPr>
              <w:jc w:val="left"/>
              <w:rPr>
                <w:rFonts w:ascii="宋体" w:cs="宋体"/>
              </w:rPr>
            </w:pPr>
            <w:r>
              <w:rPr>
                <w:rFonts w:hint="eastAsia" w:ascii="宋体" w:hAnsi="宋体" w:cs="宋体"/>
                <w:lang w:val="zh-CN"/>
              </w:rPr>
              <w:t>工作面回采前，应当查清采煤工作面及周边老空水、含水层富水性和断层、陷落柱含（导）水性等情况。地测部门应当提出专门水文地质情况评价报告和水害隐患治理情况分析报告，经煤矿总工程师组织生产、安检、地测等有关单位审批后，方可回采。发现断层、裂隙或者陷落柱等构造充水的，应当采取注浆加固或者留设防隔水煤（岩）柱等安全措施；否则，不得回采。</w:t>
            </w:r>
          </w:p>
        </w:tc>
        <w:tc>
          <w:tcPr>
            <w:tcW w:w="2302" w:type="dxa"/>
            <w:vAlign w:val="center"/>
          </w:tcPr>
          <w:p>
            <w:pPr>
              <w:jc w:val="left"/>
              <w:rPr>
                <w:rFonts w:ascii="宋体" w:cs="宋体"/>
                <w:kern w:val="0"/>
              </w:rPr>
            </w:pPr>
            <w:r>
              <w:rPr>
                <w:rFonts w:hint="eastAsia" w:ascii="宋体" w:hAnsi="宋体" w:cs="宋体"/>
                <w:kern w:val="0"/>
              </w:rPr>
              <w:t>《煤矿防治水细则》第四十一条。</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8</w:t>
            </w:r>
          </w:p>
        </w:tc>
        <w:tc>
          <w:tcPr>
            <w:tcW w:w="1214" w:type="dxa"/>
            <w:vAlign w:val="center"/>
          </w:tcPr>
          <w:p>
            <w:pPr>
              <w:jc w:val="left"/>
              <w:rPr>
                <w:rFonts w:ascii="宋体" w:cs="宋体"/>
                <w:kern w:val="0"/>
              </w:rPr>
            </w:pPr>
            <w:r>
              <w:rPr>
                <w:rFonts w:hint="eastAsia" w:ascii="宋体" w:hAnsi="宋体" w:cs="宋体"/>
                <w:kern w:val="0"/>
              </w:rPr>
              <w:t>掘进工作面地质说明书</w:t>
            </w:r>
          </w:p>
        </w:tc>
        <w:tc>
          <w:tcPr>
            <w:tcW w:w="5591" w:type="dxa"/>
            <w:vAlign w:val="center"/>
          </w:tcPr>
          <w:p>
            <w:pPr>
              <w:jc w:val="left"/>
              <w:rPr>
                <w:rFonts w:ascii="宋体" w:cs="宋体"/>
                <w:kern w:val="0"/>
              </w:rPr>
            </w:pPr>
            <w:r>
              <w:rPr>
                <w:rFonts w:hint="eastAsia" w:ascii="宋体" w:hAnsi="宋体" w:cs="宋体"/>
                <w:kern w:val="0"/>
              </w:rPr>
              <w:t>掘进前</w:t>
            </w:r>
            <w:r>
              <w:rPr>
                <w:rFonts w:ascii="宋体" w:hAnsi="宋体" w:cs="宋体"/>
                <w:kern w:val="0"/>
              </w:rPr>
              <w:t>,</w:t>
            </w:r>
            <w:r>
              <w:rPr>
                <w:rFonts w:hint="eastAsia" w:ascii="宋体" w:hAnsi="宋体" w:cs="宋体"/>
                <w:kern w:val="0"/>
              </w:rPr>
              <w:t>应当编制地质说明书，掌握地质构造、岩浆岩体、陷落柱、煤层及其顶底板岩性、煤</w:t>
            </w:r>
            <w:r>
              <w:rPr>
                <w:rFonts w:ascii="宋体" w:hAnsi="宋体" w:cs="宋体"/>
                <w:kern w:val="0"/>
              </w:rPr>
              <w:t>(</w:t>
            </w:r>
            <w:r>
              <w:rPr>
                <w:rFonts w:hint="eastAsia" w:ascii="宋体" w:hAnsi="宋体" w:cs="宋体"/>
                <w:kern w:val="0"/>
              </w:rPr>
              <w:t>岩</w:t>
            </w:r>
            <w:r>
              <w:rPr>
                <w:rFonts w:ascii="宋体" w:hAnsi="宋体" w:cs="宋体"/>
                <w:kern w:val="0"/>
              </w:rPr>
              <w:t>)</w:t>
            </w:r>
            <w:r>
              <w:rPr>
                <w:rFonts w:hint="eastAsia" w:ascii="宋体" w:hAnsi="宋体" w:cs="宋体"/>
                <w:kern w:val="0"/>
              </w:rPr>
              <w:t>与瓦斯</w:t>
            </w:r>
            <w:r>
              <w:rPr>
                <w:rFonts w:ascii="宋体" w:hAnsi="宋体" w:cs="宋体"/>
                <w:kern w:val="0"/>
              </w:rPr>
              <w:t>(</w:t>
            </w:r>
            <w:r>
              <w:rPr>
                <w:rFonts w:hint="eastAsia" w:ascii="宋体" w:hAnsi="宋体" w:cs="宋体"/>
                <w:kern w:val="0"/>
              </w:rPr>
              <w:t>二氧化碳</w:t>
            </w:r>
            <w:r>
              <w:rPr>
                <w:rFonts w:ascii="宋体" w:hAnsi="宋体" w:cs="宋体"/>
                <w:kern w:val="0"/>
              </w:rPr>
              <w:t>)</w:t>
            </w:r>
            <w:r>
              <w:rPr>
                <w:rFonts w:hint="eastAsia" w:ascii="宋体" w:hAnsi="宋体" w:cs="宋体"/>
                <w:kern w:val="0"/>
              </w:rPr>
              <w:t>突出危险区、受水威胁区、技术边界、采空区、地质钻孔等情况。</w:t>
            </w:r>
          </w:p>
        </w:tc>
        <w:tc>
          <w:tcPr>
            <w:tcW w:w="2302" w:type="dxa"/>
            <w:vAlign w:val="center"/>
          </w:tcPr>
          <w:p>
            <w:pPr>
              <w:jc w:val="left"/>
              <w:rPr>
                <w:rFonts w:ascii="宋体" w:cs="宋体"/>
                <w:kern w:val="0"/>
              </w:rPr>
            </w:pPr>
            <w:r>
              <w:rPr>
                <w:rFonts w:hint="eastAsia" w:ascii="宋体" w:hAnsi="宋体" w:cs="宋体"/>
                <w:kern w:val="0"/>
              </w:rPr>
              <w:t>《煤矿安全规程》第三十一条。</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9</w:t>
            </w:r>
          </w:p>
        </w:tc>
        <w:tc>
          <w:tcPr>
            <w:tcW w:w="1214" w:type="dxa"/>
            <w:vAlign w:val="center"/>
          </w:tcPr>
          <w:p>
            <w:pPr>
              <w:jc w:val="left"/>
              <w:rPr>
                <w:rFonts w:ascii="宋体" w:cs="宋体"/>
                <w:kern w:val="0"/>
              </w:rPr>
            </w:pPr>
            <w:r>
              <w:rPr>
                <w:rFonts w:hint="eastAsia" w:ascii="宋体" w:hAnsi="宋体" w:cs="宋体"/>
                <w:kern w:val="0"/>
              </w:rPr>
              <w:t>掘进工作面地质说明书</w:t>
            </w:r>
          </w:p>
        </w:tc>
        <w:tc>
          <w:tcPr>
            <w:tcW w:w="5591" w:type="dxa"/>
            <w:vAlign w:val="center"/>
          </w:tcPr>
          <w:p>
            <w:pPr>
              <w:jc w:val="left"/>
              <w:rPr>
                <w:rFonts w:ascii="宋体" w:cs="宋体"/>
                <w:kern w:val="0"/>
              </w:rPr>
            </w:pPr>
            <w:r>
              <w:rPr>
                <w:rFonts w:hint="eastAsia" w:ascii="宋体" w:hAnsi="宋体" w:cs="宋体"/>
                <w:kern w:val="0"/>
              </w:rPr>
              <w:t>掘进工作面设计前</w:t>
            </w:r>
            <w:r>
              <w:rPr>
                <w:rFonts w:ascii="宋体" w:hAnsi="宋体" w:cs="宋体"/>
                <w:kern w:val="0"/>
              </w:rPr>
              <w:t>1</w:t>
            </w:r>
            <w:r>
              <w:rPr>
                <w:rFonts w:hint="eastAsia" w:ascii="宋体" w:hAnsi="宋体" w:cs="宋体"/>
                <w:kern w:val="0"/>
              </w:rPr>
              <w:t>个月，地测部门应提出掘进工作面地质说明书，并由矿井总工程师审批。</w:t>
            </w:r>
          </w:p>
        </w:tc>
        <w:tc>
          <w:tcPr>
            <w:tcW w:w="2302" w:type="dxa"/>
            <w:vAlign w:val="center"/>
          </w:tcPr>
          <w:p>
            <w:pPr>
              <w:jc w:val="left"/>
              <w:rPr>
                <w:rFonts w:ascii="宋体" w:cs="宋体"/>
                <w:kern w:val="0"/>
              </w:rPr>
            </w:pPr>
            <w:r>
              <w:rPr>
                <w:rFonts w:hint="eastAsia" w:ascii="宋体" w:hAnsi="宋体" w:cs="宋体"/>
                <w:kern w:val="0"/>
              </w:rPr>
              <w:t>《煤矿安全规程》第三十一条。</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10</w:t>
            </w:r>
          </w:p>
        </w:tc>
        <w:tc>
          <w:tcPr>
            <w:tcW w:w="1214" w:type="dxa"/>
            <w:vMerge w:val="restart"/>
            <w:vAlign w:val="center"/>
          </w:tcPr>
          <w:p>
            <w:pPr>
              <w:jc w:val="left"/>
              <w:rPr>
                <w:rFonts w:ascii="宋体" w:cs="宋体"/>
              </w:rPr>
            </w:pPr>
            <w:r>
              <w:rPr>
                <w:rFonts w:hint="eastAsia" w:ascii="宋体" w:hAnsi="宋体" w:cs="宋体"/>
                <w:lang w:val="zh-CN"/>
              </w:rPr>
              <w:t>水平延深地质</w:t>
            </w:r>
          </w:p>
        </w:tc>
        <w:tc>
          <w:tcPr>
            <w:tcW w:w="5591" w:type="dxa"/>
            <w:vAlign w:val="center"/>
          </w:tcPr>
          <w:p>
            <w:pPr>
              <w:jc w:val="left"/>
              <w:rPr>
                <w:rFonts w:ascii="宋体" w:cs="宋体"/>
              </w:rPr>
            </w:pPr>
            <w:r>
              <w:rPr>
                <w:rFonts w:hint="eastAsia" w:ascii="宋体" w:hAnsi="宋体" w:cs="宋体"/>
                <w:lang w:val="zh-CN"/>
              </w:rPr>
              <w:t>煤矿水平延深地质工作由煤矿企业组织实施。延深区地质资料可靠；预测延深水平内容齐全。</w:t>
            </w:r>
          </w:p>
        </w:tc>
        <w:tc>
          <w:tcPr>
            <w:tcW w:w="2302" w:type="dxa"/>
            <w:vAlign w:val="center"/>
          </w:tcPr>
          <w:p>
            <w:pPr>
              <w:jc w:val="left"/>
              <w:rPr>
                <w:rFonts w:ascii="宋体" w:cs="宋体"/>
                <w:kern w:val="0"/>
              </w:rPr>
            </w:pPr>
            <w:r>
              <w:rPr>
                <w:rFonts w:hint="eastAsia" w:ascii="宋体" w:hAnsi="宋体" w:cs="宋体"/>
                <w:kern w:val="0"/>
              </w:rPr>
              <w:t>《煤矿地质工作规定》第八十九条。</w:t>
            </w:r>
          </w:p>
        </w:tc>
        <w:tc>
          <w:tcPr>
            <w:tcW w:w="1257" w:type="dxa"/>
          </w:tcPr>
          <w:p>
            <w:pPr>
              <w:rPr>
                <w:rFonts w:ascii="宋体" w:cs="宋体"/>
              </w:rPr>
            </w:pPr>
          </w:p>
        </w:tc>
        <w:tc>
          <w:tcPr>
            <w:tcW w:w="1257" w:type="dxa"/>
          </w:tcPr>
          <w:p>
            <w:pPr>
              <w:rPr>
                <w:rFonts w:ascii="宋体" w:cs="宋体"/>
              </w:rPr>
            </w:pPr>
          </w:p>
        </w:tc>
        <w:tc>
          <w:tcPr>
            <w:tcW w:w="1257" w:type="dxa"/>
          </w:tcPr>
          <w:p>
            <w:pP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11</w:t>
            </w:r>
          </w:p>
        </w:tc>
        <w:tc>
          <w:tcPr>
            <w:tcW w:w="1214" w:type="dxa"/>
            <w:vMerge w:val="continue"/>
            <w:vAlign w:val="center"/>
          </w:tcPr>
          <w:p>
            <w:pPr>
              <w:jc w:val="left"/>
              <w:rPr>
                <w:rFonts w:ascii="宋体" w:cs="宋体"/>
                <w:kern w:val="0"/>
              </w:rPr>
            </w:pPr>
          </w:p>
        </w:tc>
        <w:tc>
          <w:tcPr>
            <w:tcW w:w="5591" w:type="dxa"/>
            <w:vAlign w:val="center"/>
          </w:tcPr>
          <w:p>
            <w:pPr>
              <w:jc w:val="left"/>
              <w:rPr>
                <w:rFonts w:ascii="宋体" w:cs="宋体"/>
                <w:kern w:val="0"/>
              </w:rPr>
            </w:pPr>
            <w:r>
              <w:rPr>
                <w:rFonts w:hint="eastAsia" w:ascii="宋体" w:hAnsi="宋体" w:cs="宋体"/>
                <w:lang w:val="zh-CN"/>
              </w:rPr>
              <w:t>按规定查明延深区的基本构造形态、断层、陷落柱、瓦斯地质、水文地质条件等。</w:t>
            </w:r>
          </w:p>
        </w:tc>
        <w:tc>
          <w:tcPr>
            <w:tcW w:w="2302" w:type="dxa"/>
            <w:vAlign w:val="center"/>
          </w:tcPr>
          <w:p>
            <w:pPr>
              <w:jc w:val="left"/>
              <w:rPr>
                <w:rFonts w:ascii="宋体" w:cs="宋体"/>
                <w:kern w:val="0"/>
              </w:rPr>
            </w:pPr>
            <w:r>
              <w:rPr>
                <w:rFonts w:hint="eastAsia" w:ascii="宋体" w:hAnsi="宋体" w:cs="宋体"/>
                <w:kern w:val="0"/>
              </w:rPr>
              <w:t>《煤矿地质工作规定》第八十八条。</w:t>
            </w:r>
          </w:p>
        </w:tc>
        <w:tc>
          <w:tcPr>
            <w:tcW w:w="1257" w:type="dxa"/>
          </w:tcPr>
          <w:p>
            <w:pPr>
              <w:rPr>
                <w:rFonts w:ascii="宋体" w:cs="宋体"/>
              </w:rPr>
            </w:pPr>
          </w:p>
        </w:tc>
        <w:tc>
          <w:tcPr>
            <w:tcW w:w="1257" w:type="dxa"/>
          </w:tcPr>
          <w:p>
            <w:pPr>
              <w:rPr>
                <w:rFonts w:ascii="宋体" w:cs="宋体"/>
              </w:rPr>
            </w:pPr>
          </w:p>
        </w:tc>
        <w:tc>
          <w:tcPr>
            <w:tcW w:w="1257" w:type="dxa"/>
          </w:tcPr>
          <w:p>
            <w:pP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12</w:t>
            </w:r>
          </w:p>
        </w:tc>
        <w:tc>
          <w:tcPr>
            <w:tcW w:w="1214" w:type="dxa"/>
            <w:vMerge w:val="restart"/>
            <w:vAlign w:val="center"/>
          </w:tcPr>
          <w:p>
            <w:pPr>
              <w:jc w:val="left"/>
              <w:rPr>
                <w:rFonts w:ascii="宋体" w:cs="宋体"/>
                <w:kern w:val="0"/>
              </w:rPr>
            </w:pPr>
            <w:r>
              <w:rPr>
                <w:rFonts w:hint="eastAsia" w:ascii="宋体" w:hAnsi="宋体" w:cs="宋体"/>
                <w:kern w:val="0"/>
              </w:rPr>
              <w:t>地测机构及人员配备</w:t>
            </w:r>
          </w:p>
        </w:tc>
        <w:tc>
          <w:tcPr>
            <w:tcW w:w="5591" w:type="dxa"/>
            <w:vAlign w:val="center"/>
          </w:tcPr>
          <w:p>
            <w:pPr>
              <w:jc w:val="left"/>
              <w:rPr>
                <w:rFonts w:ascii="宋体" w:cs="宋体"/>
                <w:kern w:val="0"/>
              </w:rPr>
            </w:pPr>
            <w:r>
              <w:rPr>
                <w:rFonts w:hint="eastAsia" w:ascii="宋体" w:hAnsi="宋体" w:cs="宋体"/>
                <w:kern w:val="0"/>
              </w:rPr>
              <w:t>煤矿企业及所属矿井应设立地测部门，配备所需的地质及相关专业技术人员和仪器设备。</w:t>
            </w:r>
          </w:p>
        </w:tc>
        <w:tc>
          <w:tcPr>
            <w:tcW w:w="2302" w:type="dxa"/>
            <w:vAlign w:val="center"/>
          </w:tcPr>
          <w:p>
            <w:pPr>
              <w:jc w:val="left"/>
              <w:rPr>
                <w:rFonts w:ascii="宋体" w:cs="宋体"/>
                <w:kern w:val="0"/>
              </w:rPr>
            </w:pPr>
            <w:r>
              <w:rPr>
                <w:rFonts w:hint="eastAsia" w:ascii="宋体" w:hAnsi="宋体" w:cs="宋体"/>
                <w:kern w:val="0"/>
              </w:rPr>
              <w:t>《煤矿地质工作规定》第七条第一款、《煤矿重大事故隐患判定标准》解读第十八条第</w:t>
            </w:r>
            <w:r>
              <w:rPr>
                <w:rFonts w:ascii="宋体" w:hAnsi="宋体" w:cs="宋体"/>
                <w:kern w:val="0"/>
              </w:rPr>
              <w:t>(</w:t>
            </w:r>
            <w:r>
              <w:rPr>
                <w:rFonts w:hint="eastAsia" w:ascii="宋体" w:hAnsi="宋体" w:cs="宋体"/>
                <w:kern w:val="0"/>
              </w:rPr>
              <w:t>一）项。</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13</w:t>
            </w:r>
          </w:p>
        </w:tc>
        <w:tc>
          <w:tcPr>
            <w:tcW w:w="1214" w:type="dxa"/>
            <w:vMerge w:val="continue"/>
            <w:vAlign w:val="center"/>
          </w:tcPr>
          <w:p>
            <w:pPr>
              <w:jc w:val="left"/>
              <w:rPr>
                <w:rFonts w:ascii="宋体" w:cs="宋体"/>
                <w:kern w:val="0"/>
              </w:rPr>
            </w:pPr>
          </w:p>
        </w:tc>
        <w:tc>
          <w:tcPr>
            <w:tcW w:w="5591" w:type="dxa"/>
            <w:vAlign w:val="center"/>
          </w:tcPr>
          <w:p>
            <w:pPr>
              <w:jc w:val="left"/>
              <w:rPr>
                <w:rFonts w:ascii="宋体" w:cs="宋体"/>
                <w:kern w:val="0"/>
              </w:rPr>
            </w:pPr>
            <w:r>
              <w:rPr>
                <w:rFonts w:hint="eastAsia" w:ascii="宋体" w:hAnsi="宋体" w:cs="宋体"/>
                <w:kern w:val="0"/>
              </w:rPr>
              <w:t>煤矿地质类型为复杂或极复杂，配备地测副总工程师。</w:t>
            </w:r>
          </w:p>
        </w:tc>
        <w:tc>
          <w:tcPr>
            <w:tcW w:w="2302" w:type="dxa"/>
            <w:vAlign w:val="center"/>
          </w:tcPr>
          <w:p>
            <w:pPr>
              <w:jc w:val="left"/>
              <w:rPr>
                <w:rFonts w:ascii="宋体" w:cs="宋体"/>
                <w:kern w:val="0"/>
              </w:rPr>
            </w:pPr>
            <w:r>
              <w:rPr>
                <w:rFonts w:hint="eastAsia" w:ascii="宋体" w:hAnsi="宋体" w:cs="宋体"/>
                <w:kern w:val="0"/>
              </w:rPr>
              <w:t>《煤矿地质工作规定》第七条第二款。</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14</w:t>
            </w:r>
          </w:p>
        </w:tc>
        <w:tc>
          <w:tcPr>
            <w:tcW w:w="1214" w:type="dxa"/>
            <w:vMerge w:val="restart"/>
            <w:vAlign w:val="center"/>
          </w:tcPr>
          <w:p>
            <w:pPr>
              <w:jc w:val="left"/>
              <w:rPr>
                <w:rFonts w:ascii="宋体" w:cs="宋体"/>
                <w:kern w:val="0"/>
              </w:rPr>
            </w:pPr>
            <w:r>
              <w:rPr>
                <w:rFonts w:hint="eastAsia" w:ascii="宋体" w:hAnsi="宋体" w:cs="宋体"/>
                <w:kern w:val="0"/>
              </w:rPr>
              <w:t>地质补充勘探</w:t>
            </w:r>
          </w:p>
        </w:tc>
        <w:tc>
          <w:tcPr>
            <w:tcW w:w="5591" w:type="dxa"/>
            <w:vAlign w:val="center"/>
          </w:tcPr>
          <w:p>
            <w:pPr>
              <w:jc w:val="left"/>
              <w:rPr>
                <w:rFonts w:ascii="宋体" w:cs="宋体"/>
                <w:kern w:val="0"/>
              </w:rPr>
            </w:pPr>
            <w:r>
              <w:rPr>
                <w:rFonts w:hint="eastAsia" w:ascii="宋体" w:hAnsi="宋体" w:cs="宋体"/>
                <w:kern w:val="0"/>
              </w:rPr>
              <w:t>地质资料不能满足建设及生产需要时，必须针对所存在的地质问题开展补充地质勘探工作。</w:t>
            </w:r>
          </w:p>
        </w:tc>
        <w:tc>
          <w:tcPr>
            <w:tcW w:w="2302" w:type="dxa"/>
            <w:vAlign w:val="center"/>
          </w:tcPr>
          <w:p>
            <w:pPr>
              <w:jc w:val="left"/>
              <w:rPr>
                <w:rFonts w:ascii="宋体" w:cs="宋体"/>
                <w:kern w:val="0"/>
              </w:rPr>
            </w:pPr>
            <w:r>
              <w:rPr>
                <w:rFonts w:hint="eastAsia" w:ascii="宋体" w:hAnsi="宋体" w:cs="宋体"/>
                <w:kern w:val="0"/>
              </w:rPr>
              <w:t>《煤矿地质工作规定》第二十一条。</w:t>
            </w:r>
          </w:p>
        </w:tc>
        <w:tc>
          <w:tcPr>
            <w:tcW w:w="1257" w:type="dxa"/>
          </w:tcPr>
          <w:p>
            <w:pPr>
              <w:rPr>
                <w:rFonts w:ascii="宋体" w:cs="宋体"/>
                <w:kern w:val="0"/>
              </w:rPr>
            </w:pPr>
          </w:p>
        </w:tc>
        <w:tc>
          <w:tcPr>
            <w:tcW w:w="1257" w:type="dxa"/>
          </w:tcPr>
          <w:p>
            <w:pPr>
              <w:rPr>
                <w:rFonts w:ascii="宋体" w:cs="宋体"/>
                <w:kern w:val="0"/>
              </w:rPr>
            </w:pPr>
          </w:p>
        </w:tc>
        <w:tc>
          <w:tcPr>
            <w:tcW w:w="1257"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15</w:t>
            </w:r>
          </w:p>
        </w:tc>
        <w:tc>
          <w:tcPr>
            <w:tcW w:w="1214" w:type="dxa"/>
            <w:vMerge w:val="continue"/>
            <w:vAlign w:val="center"/>
          </w:tcPr>
          <w:p>
            <w:pPr>
              <w:jc w:val="left"/>
              <w:rPr>
                <w:rFonts w:ascii="宋体" w:cs="宋体"/>
                <w:kern w:val="0"/>
              </w:rPr>
            </w:pPr>
          </w:p>
        </w:tc>
        <w:tc>
          <w:tcPr>
            <w:tcW w:w="5591" w:type="dxa"/>
            <w:vAlign w:val="center"/>
          </w:tcPr>
          <w:p>
            <w:pPr>
              <w:jc w:val="left"/>
              <w:rPr>
                <w:rFonts w:ascii="宋体" w:cs="宋体"/>
              </w:rPr>
            </w:pPr>
            <w:r>
              <w:rPr>
                <w:rFonts w:hint="eastAsia" w:ascii="宋体" w:hAnsi="宋体" w:cs="宋体"/>
                <w:lang w:val="zh-CN"/>
              </w:rPr>
              <w:t>煤矿地质补充勘探应由煤矿企业组织实施，由具有相应资质的单位承担，现场工程结束后</w:t>
            </w:r>
            <w:r>
              <w:rPr>
                <w:rFonts w:ascii="宋体" w:hAnsi="宋体" w:cs="宋体"/>
                <w:lang w:val="zh-CN"/>
              </w:rPr>
              <w:t>6</w:t>
            </w:r>
            <w:r>
              <w:rPr>
                <w:rFonts w:hint="eastAsia" w:ascii="宋体" w:hAnsi="宋体" w:cs="宋体"/>
                <w:lang w:val="zh-CN"/>
              </w:rPr>
              <w:t>个月内提交补充地质勘探报告。补充地质勘探设计和报告由煤矿企业总工程师组织审定。</w:t>
            </w:r>
          </w:p>
        </w:tc>
        <w:tc>
          <w:tcPr>
            <w:tcW w:w="2302" w:type="dxa"/>
            <w:vAlign w:val="center"/>
          </w:tcPr>
          <w:p>
            <w:pPr>
              <w:jc w:val="left"/>
              <w:rPr>
                <w:rFonts w:ascii="宋体" w:cs="宋体"/>
                <w:kern w:val="0"/>
              </w:rPr>
            </w:pPr>
            <w:r>
              <w:rPr>
                <w:rFonts w:hint="eastAsia" w:ascii="宋体" w:hAnsi="宋体" w:cs="宋体"/>
                <w:kern w:val="0"/>
              </w:rPr>
              <w:t>《煤矿地质工作规定》第二十八条。</w:t>
            </w:r>
          </w:p>
        </w:tc>
        <w:tc>
          <w:tcPr>
            <w:tcW w:w="1257" w:type="dxa"/>
          </w:tcPr>
          <w:p>
            <w:pPr>
              <w:rPr>
                <w:rFonts w:ascii="宋体" w:cs="宋体"/>
              </w:rPr>
            </w:pPr>
          </w:p>
        </w:tc>
        <w:tc>
          <w:tcPr>
            <w:tcW w:w="1257" w:type="dxa"/>
          </w:tcPr>
          <w:p>
            <w:pPr>
              <w:rPr>
                <w:rFonts w:ascii="宋体" w:cs="宋体"/>
              </w:rPr>
            </w:pPr>
          </w:p>
        </w:tc>
        <w:tc>
          <w:tcPr>
            <w:tcW w:w="1257" w:type="dxa"/>
          </w:tcPr>
          <w:p>
            <w:pP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16</w:t>
            </w:r>
          </w:p>
        </w:tc>
        <w:tc>
          <w:tcPr>
            <w:tcW w:w="1214" w:type="dxa"/>
            <w:vMerge w:val="restart"/>
            <w:vAlign w:val="center"/>
          </w:tcPr>
          <w:p>
            <w:pPr>
              <w:jc w:val="left"/>
              <w:rPr>
                <w:rFonts w:ascii="宋体" w:cs="宋体"/>
              </w:rPr>
            </w:pPr>
            <w:r>
              <w:rPr>
                <w:rFonts w:hint="eastAsia" w:ascii="宋体" w:hAnsi="宋体" w:cs="宋体"/>
                <w:lang w:val="zh-CN"/>
              </w:rPr>
              <w:t>地质预测预报</w:t>
            </w:r>
          </w:p>
        </w:tc>
        <w:tc>
          <w:tcPr>
            <w:tcW w:w="5591" w:type="dxa"/>
            <w:vAlign w:val="center"/>
          </w:tcPr>
          <w:p>
            <w:pPr>
              <w:jc w:val="left"/>
              <w:rPr>
                <w:rFonts w:ascii="宋体" w:cs="宋体"/>
              </w:rPr>
            </w:pPr>
            <w:r>
              <w:rPr>
                <w:rFonts w:hint="eastAsia" w:ascii="宋体" w:hAnsi="宋体" w:cs="宋体"/>
                <w:lang w:val="zh-CN"/>
              </w:rPr>
              <w:t>煤矿必须对揭露的煤层、断层、褶皱、岩浆岩体、陷落柱、含水岩层</w:t>
            </w:r>
            <w:r>
              <w:rPr>
                <w:rFonts w:ascii="宋体" w:hAnsi="宋体" w:cs="宋体"/>
                <w:lang w:val="zh-CN"/>
              </w:rPr>
              <w:t>,</w:t>
            </w:r>
            <w:r>
              <w:rPr>
                <w:rFonts w:hint="eastAsia" w:ascii="宋体" w:hAnsi="宋体" w:cs="宋体"/>
                <w:lang w:val="zh-CN"/>
              </w:rPr>
              <w:t>矿井涌水量及主要出水点等进行观测及描述，实施地质预测、预报。</w:t>
            </w:r>
          </w:p>
        </w:tc>
        <w:tc>
          <w:tcPr>
            <w:tcW w:w="2302" w:type="dxa"/>
            <w:vAlign w:val="center"/>
          </w:tcPr>
          <w:p>
            <w:pPr>
              <w:jc w:val="left"/>
              <w:rPr>
                <w:rFonts w:ascii="宋体" w:cs="宋体"/>
                <w:kern w:val="0"/>
              </w:rPr>
            </w:pPr>
            <w:r>
              <w:rPr>
                <w:rFonts w:hint="eastAsia" w:ascii="宋体" w:hAnsi="宋体" w:cs="宋体"/>
                <w:kern w:val="0"/>
              </w:rPr>
              <w:t>《煤矿地质工作规定》第五十九条。</w:t>
            </w:r>
          </w:p>
        </w:tc>
        <w:tc>
          <w:tcPr>
            <w:tcW w:w="1257" w:type="dxa"/>
          </w:tcPr>
          <w:p>
            <w:pPr>
              <w:rPr>
                <w:rFonts w:ascii="宋体" w:cs="宋体"/>
              </w:rPr>
            </w:pPr>
          </w:p>
        </w:tc>
        <w:tc>
          <w:tcPr>
            <w:tcW w:w="1257" w:type="dxa"/>
          </w:tcPr>
          <w:p>
            <w:pPr>
              <w:rPr>
                <w:rFonts w:ascii="宋体" w:cs="宋体"/>
              </w:rPr>
            </w:pPr>
          </w:p>
        </w:tc>
        <w:tc>
          <w:tcPr>
            <w:tcW w:w="1257" w:type="dxa"/>
          </w:tcPr>
          <w:p>
            <w:pP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17</w:t>
            </w:r>
          </w:p>
        </w:tc>
        <w:tc>
          <w:tcPr>
            <w:tcW w:w="1214" w:type="dxa"/>
            <w:vMerge w:val="continue"/>
            <w:vAlign w:val="center"/>
          </w:tcPr>
          <w:p>
            <w:pPr>
              <w:jc w:val="left"/>
              <w:rPr>
                <w:rFonts w:ascii="宋体" w:cs="宋体"/>
              </w:rPr>
            </w:pPr>
          </w:p>
        </w:tc>
        <w:tc>
          <w:tcPr>
            <w:tcW w:w="5591" w:type="dxa"/>
            <w:vAlign w:val="center"/>
          </w:tcPr>
          <w:p>
            <w:pPr>
              <w:jc w:val="left"/>
              <w:rPr>
                <w:rFonts w:ascii="宋体" w:cs="宋体"/>
              </w:rPr>
            </w:pPr>
            <w:r>
              <w:rPr>
                <w:rFonts w:hint="eastAsia" w:ascii="宋体" w:hAnsi="宋体" w:cs="宋体"/>
                <w:lang w:val="zh-CN"/>
              </w:rPr>
              <w:t>地质预报应做到期前预报、期末总结，预报与实际出入较大时，应分析原因，总结经验，提高地质预报质量。</w:t>
            </w:r>
          </w:p>
        </w:tc>
        <w:tc>
          <w:tcPr>
            <w:tcW w:w="2302" w:type="dxa"/>
            <w:vAlign w:val="center"/>
          </w:tcPr>
          <w:p>
            <w:pPr>
              <w:jc w:val="left"/>
              <w:rPr>
                <w:rFonts w:ascii="宋体" w:cs="宋体"/>
                <w:kern w:val="0"/>
              </w:rPr>
            </w:pPr>
            <w:r>
              <w:rPr>
                <w:rFonts w:hint="eastAsia" w:ascii="宋体" w:hAnsi="宋体" w:cs="宋体"/>
                <w:kern w:val="0"/>
              </w:rPr>
              <w:t>《煤矿地质工作规定》第五十八条第（三）项。</w:t>
            </w:r>
          </w:p>
        </w:tc>
        <w:tc>
          <w:tcPr>
            <w:tcW w:w="1257" w:type="dxa"/>
          </w:tcPr>
          <w:p>
            <w:pPr>
              <w:rPr>
                <w:rFonts w:ascii="宋体" w:cs="宋体"/>
              </w:rPr>
            </w:pPr>
          </w:p>
        </w:tc>
        <w:tc>
          <w:tcPr>
            <w:tcW w:w="1257" w:type="dxa"/>
          </w:tcPr>
          <w:p>
            <w:pPr>
              <w:rPr>
                <w:rFonts w:ascii="宋体" w:cs="宋体"/>
              </w:rPr>
            </w:pPr>
          </w:p>
        </w:tc>
        <w:tc>
          <w:tcPr>
            <w:tcW w:w="1257" w:type="dxa"/>
          </w:tcPr>
          <w:p>
            <w:pP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18</w:t>
            </w:r>
          </w:p>
        </w:tc>
        <w:tc>
          <w:tcPr>
            <w:tcW w:w="1214" w:type="dxa"/>
            <w:vMerge w:val="continue"/>
            <w:vAlign w:val="center"/>
          </w:tcPr>
          <w:p>
            <w:pPr>
              <w:jc w:val="left"/>
              <w:rPr>
                <w:rFonts w:ascii="宋体" w:cs="宋体"/>
              </w:rPr>
            </w:pPr>
          </w:p>
        </w:tc>
        <w:tc>
          <w:tcPr>
            <w:tcW w:w="5591" w:type="dxa"/>
            <w:vAlign w:val="center"/>
          </w:tcPr>
          <w:p>
            <w:pPr>
              <w:jc w:val="left"/>
              <w:rPr>
                <w:rFonts w:ascii="宋体" w:cs="宋体"/>
              </w:rPr>
            </w:pPr>
            <w:r>
              <w:rPr>
                <w:rFonts w:hint="eastAsia" w:ascii="宋体" w:hAnsi="宋体" w:cs="宋体"/>
                <w:lang w:val="zh-CN"/>
              </w:rPr>
              <w:t>地质预报经矿井总工程师审查签字后生效。</w:t>
            </w:r>
          </w:p>
        </w:tc>
        <w:tc>
          <w:tcPr>
            <w:tcW w:w="2302" w:type="dxa"/>
            <w:vAlign w:val="center"/>
          </w:tcPr>
          <w:p>
            <w:pPr>
              <w:jc w:val="left"/>
              <w:rPr>
                <w:rFonts w:ascii="宋体" w:cs="宋体"/>
                <w:kern w:val="0"/>
              </w:rPr>
            </w:pPr>
            <w:r>
              <w:rPr>
                <w:rFonts w:hint="eastAsia" w:ascii="宋体" w:hAnsi="宋体" w:cs="宋体"/>
                <w:kern w:val="0"/>
              </w:rPr>
              <w:t>《煤矿地质工作规定》第五十八条第（四）项。</w:t>
            </w:r>
          </w:p>
        </w:tc>
        <w:tc>
          <w:tcPr>
            <w:tcW w:w="1257" w:type="dxa"/>
          </w:tcPr>
          <w:p>
            <w:pPr>
              <w:rPr>
                <w:rFonts w:ascii="宋体" w:cs="宋体"/>
              </w:rPr>
            </w:pPr>
          </w:p>
        </w:tc>
        <w:tc>
          <w:tcPr>
            <w:tcW w:w="1257" w:type="dxa"/>
          </w:tcPr>
          <w:p>
            <w:pPr>
              <w:rPr>
                <w:rFonts w:ascii="宋体" w:cs="宋体"/>
              </w:rPr>
            </w:pPr>
          </w:p>
        </w:tc>
        <w:tc>
          <w:tcPr>
            <w:tcW w:w="1257" w:type="dxa"/>
          </w:tcPr>
          <w:p>
            <w:pP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ascii="宋体" w:hAnsi="宋体" w:cs="宋体"/>
                <w:kern w:val="0"/>
              </w:rPr>
              <w:t>19</w:t>
            </w:r>
          </w:p>
        </w:tc>
        <w:tc>
          <w:tcPr>
            <w:tcW w:w="1214" w:type="dxa"/>
            <w:vAlign w:val="center"/>
          </w:tcPr>
          <w:p>
            <w:pPr>
              <w:jc w:val="left"/>
              <w:rPr>
                <w:rFonts w:ascii="宋体" w:cs="宋体"/>
              </w:rPr>
            </w:pPr>
            <w:r>
              <w:rPr>
                <w:rFonts w:hint="eastAsia" w:ascii="宋体" w:hAnsi="宋体" w:cs="宋体"/>
                <w:lang w:val="zh-CN"/>
              </w:rPr>
              <w:t>井巷揭煤地质说明书</w:t>
            </w:r>
          </w:p>
        </w:tc>
        <w:tc>
          <w:tcPr>
            <w:tcW w:w="5591" w:type="dxa"/>
            <w:vAlign w:val="center"/>
          </w:tcPr>
          <w:p>
            <w:pPr>
              <w:jc w:val="left"/>
              <w:rPr>
                <w:rFonts w:ascii="宋体" w:cs="宋体"/>
              </w:rPr>
            </w:pPr>
            <w:r>
              <w:rPr>
                <w:rFonts w:hint="eastAsia" w:ascii="宋体" w:hAnsi="宋体" w:cs="宋体"/>
                <w:lang w:val="zh-CN"/>
              </w:rPr>
              <w:t>井巷揭煤前</w:t>
            </w:r>
            <w:r>
              <w:rPr>
                <w:rFonts w:ascii="宋体" w:hAnsi="宋体" w:cs="宋体"/>
                <w:lang w:val="zh-CN"/>
              </w:rPr>
              <w:t>,</w:t>
            </w:r>
            <w:r>
              <w:rPr>
                <w:rFonts w:hint="eastAsia" w:ascii="宋体" w:hAnsi="宋体" w:cs="宋体"/>
                <w:lang w:val="zh-CN"/>
              </w:rPr>
              <w:t>应当探明煤层厚度、地质构造、瓦斯地质、水文地质及顶底板等地质条件，编制揭煤地质说明书。</w:t>
            </w:r>
          </w:p>
        </w:tc>
        <w:tc>
          <w:tcPr>
            <w:tcW w:w="2302" w:type="dxa"/>
            <w:vAlign w:val="center"/>
          </w:tcPr>
          <w:p>
            <w:pPr>
              <w:jc w:val="left"/>
              <w:rPr>
                <w:rFonts w:ascii="宋体" w:cs="宋体"/>
                <w:kern w:val="0"/>
              </w:rPr>
            </w:pPr>
            <w:r>
              <w:rPr>
                <w:rFonts w:hint="eastAsia" w:ascii="宋体" w:hAnsi="宋体" w:cs="宋体"/>
                <w:kern w:val="0"/>
              </w:rPr>
              <w:t>《煤矿安全规程》第二十九条。</w:t>
            </w:r>
          </w:p>
        </w:tc>
        <w:tc>
          <w:tcPr>
            <w:tcW w:w="1257" w:type="dxa"/>
          </w:tcPr>
          <w:p>
            <w:pPr>
              <w:rPr>
                <w:rFonts w:ascii="宋体" w:cs="宋体"/>
              </w:rPr>
            </w:pPr>
          </w:p>
        </w:tc>
        <w:tc>
          <w:tcPr>
            <w:tcW w:w="1257" w:type="dxa"/>
          </w:tcPr>
          <w:p>
            <w:pPr>
              <w:rPr>
                <w:rFonts w:ascii="宋体" w:cs="宋体"/>
              </w:rPr>
            </w:pPr>
          </w:p>
        </w:tc>
        <w:tc>
          <w:tcPr>
            <w:tcW w:w="1257" w:type="dxa"/>
          </w:tcPr>
          <w:p>
            <w:pP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vAlign w:val="center"/>
          </w:tcPr>
          <w:p>
            <w:pPr>
              <w:jc w:val="center"/>
              <w:rPr>
                <w:rFonts w:ascii="宋体" w:hAnsi="宋体" w:cs="宋体"/>
                <w:kern w:val="0"/>
              </w:rPr>
            </w:pPr>
            <w:r>
              <w:rPr>
                <w:rFonts w:hint="eastAsia" w:ascii="宋体" w:hAnsi="宋体" w:cs="宋体"/>
                <w:kern w:val="0"/>
              </w:rPr>
              <w:t>20</w:t>
            </w:r>
          </w:p>
        </w:tc>
        <w:tc>
          <w:tcPr>
            <w:tcW w:w="1214" w:type="dxa"/>
            <w:vAlign w:val="center"/>
          </w:tcPr>
          <w:p>
            <w:pPr>
              <w:jc w:val="left"/>
              <w:rPr>
                <w:rFonts w:ascii="宋体" w:hAnsi="宋体" w:cs="宋体"/>
                <w:lang w:val="zh-CN"/>
              </w:rPr>
            </w:pPr>
            <w:r>
              <w:rPr>
                <w:rFonts w:hint="eastAsia" w:ascii="宋体" w:hAnsi="宋体" w:cs="宋体"/>
                <w:kern w:val="0"/>
              </w:rPr>
              <w:t>煤矿隐蔽致灾地质因素普查</w:t>
            </w:r>
          </w:p>
        </w:tc>
        <w:tc>
          <w:tcPr>
            <w:tcW w:w="5591" w:type="dxa"/>
            <w:vAlign w:val="center"/>
          </w:tcPr>
          <w:p>
            <w:pPr>
              <w:jc w:val="left"/>
              <w:rPr>
                <w:rFonts w:ascii="宋体" w:hAnsi="宋体" w:cs="宋体"/>
              </w:rPr>
            </w:pPr>
            <w:r>
              <w:rPr>
                <w:rFonts w:hint="eastAsia" w:ascii="宋体" w:hAnsi="宋体" w:cs="宋体"/>
              </w:rPr>
              <w:t>每个煤矿应结合实际情况开展隐蔽致灾地质因素普查，提出普查报告，由煤矿企业总工程师组织审定。</w:t>
            </w:r>
          </w:p>
          <w:p>
            <w:pPr>
              <w:jc w:val="left"/>
              <w:rPr>
                <w:rFonts w:ascii="宋体" w:hAnsi="宋体" w:cs="宋体"/>
              </w:rPr>
            </w:pPr>
            <w:r>
              <w:rPr>
                <w:rFonts w:hint="eastAsia" w:ascii="宋体" w:hAnsi="宋体" w:cs="宋体"/>
              </w:rPr>
              <w:t>小煤矿集中的矿区，由地方人民政府组织进行区域性隐蔽致灾地质因素普查，制定防范事故的措施。</w:t>
            </w:r>
          </w:p>
          <w:p>
            <w:pPr>
              <w:jc w:val="left"/>
              <w:rPr>
                <w:rFonts w:ascii="宋体" w:hAnsi="宋体" w:cs="宋体"/>
              </w:rPr>
            </w:pPr>
            <w:r>
              <w:rPr>
                <w:rFonts w:hint="eastAsia" w:ascii="宋体" w:hAnsi="宋体" w:cs="宋体"/>
              </w:rPr>
              <w:t>煤矿应当结合实际，全面查清隐蔽致灾因素。</w:t>
            </w:r>
          </w:p>
        </w:tc>
        <w:tc>
          <w:tcPr>
            <w:tcW w:w="2302" w:type="dxa"/>
            <w:vAlign w:val="center"/>
          </w:tcPr>
          <w:p>
            <w:pPr>
              <w:jc w:val="left"/>
              <w:rPr>
                <w:rFonts w:ascii="宋体" w:hAnsi="宋体" w:cs="宋体"/>
                <w:b/>
                <w:kern w:val="0"/>
              </w:rPr>
            </w:pPr>
            <w:r>
              <w:rPr>
                <w:rFonts w:hint="eastAsia" w:ascii="宋体" w:hAnsi="宋体" w:cs="宋体"/>
                <w:kern w:val="0"/>
              </w:rPr>
              <w:t>《煤矿地质工作规定》</w:t>
            </w:r>
            <w:r>
              <w:rPr>
                <w:rFonts w:hint="eastAsia" w:ascii="宋体" w:hAnsi="宋体" w:cs="宋体"/>
                <w:bCs/>
                <w:kern w:val="0"/>
              </w:rPr>
              <w:t>第二十九条</w:t>
            </w:r>
            <w:r>
              <w:rPr>
                <w:rFonts w:hint="eastAsia" w:ascii="宋体" w:hAnsi="宋体" w:cs="宋体"/>
                <w:kern w:val="0"/>
              </w:rPr>
              <w:t>，</w:t>
            </w:r>
            <w:r>
              <w:rPr>
                <w:rFonts w:hint="eastAsia" w:ascii="宋体" w:hAnsi="宋体" w:cs="宋体"/>
                <w:bCs/>
                <w:kern w:val="0"/>
              </w:rPr>
              <w:t>国家矿山安全监察局关于加强煤矿隐蔽致灾因素普查治理工作的通知（</w:t>
            </w:r>
            <w:r>
              <w:rPr>
                <w:rFonts w:hint="eastAsia" w:ascii="宋体" w:hAnsi="宋体" w:cs="宋体"/>
                <w:kern w:val="0"/>
              </w:rPr>
              <w:t>矿安〔2022〕132号）。</w:t>
            </w:r>
          </w:p>
        </w:tc>
        <w:tc>
          <w:tcPr>
            <w:tcW w:w="1257" w:type="dxa"/>
          </w:tcPr>
          <w:p>
            <w:pPr>
              <w:rPr>
                <w:rFonts w:ascii="宋体" w:cs="宋体"/>
              </w:rPr>
            </w:pPr>
          </w:p>
        </w:tc>
        <w:tc>
          <w:tcPr>
            <w:tcW w:w="1257" w:type="dxa"/>
          </w:tcPr>
          <w:p>
            <w:pPr>
              <w:rPr>
                <w:rFonts w:ascii="宋体" w:cs="宋体"/>
              </w:rPr>
            </w:pPr>
          </w:p>
        </w:tc>
        <w:tc>
          <w:tcPr>
            <w:tcW w:w="1257" w:type="dxa"/>
          </w:tcPr>
          <w:p>
            <w:pPr>
              <w:rPr>
                <w:rFonts w:ascii="宋体" w:cs="宋体"/>
              </w:rPr>
            </w:pPr>
          </w:p>
        </w:tc>
      </w:tr>
    </w:tbl>
    <w:p>
      <w:pPr>
        <w:rPr>
          <w:rFonts w:ascii="黑体" w:hAnsi="黑体" w:eastAsia="黑体"/>
          <w:b/>
          <w:sz w:val="24"/>
          <w:szCs w:val="28"/>
        </w:rPr>
      </w:pPr>
    </w:p>
    <w:p>
      <w:pPr>
        <w:rPr>
          <w:rFonts w:ascii="黑体" w:hAnsi="黑体" w:eastAsia="黑体"/>
          <w:b/>
          <w:sz w:val="24"/>
          <w:szCs w:val="28"/>
        </w:rPr>
      </w:pPr>
    </w:p>
    <w:p>
      <w:pPr>
        <w:rPr>
          <w:rFonts w:ascii="黑体" w:hAnsi="黑体" w:eastAsia="黑体"/>
          <w:b/>
          <w:sz w:val="28"/>
          <w:szCs w:val="28"/>
        </w:rPr>
      </w:pPr>
      <w:r>
        <w:rPr>
          <w:rFonts w:hint="eastAsia" w:ascii="黑体" w:hAnsi="黑体" w:eastAsia="黑体"/>
          <w:b/>
          <w:sz w:val="28"/>
          <w:szCs w:val="28"/>
        </w:rPr>
        <w:t>三、一通三防及监测监控单元（</w:t>
      </w:r>
      <w:r>
        <w:rPr>
          <w:rFonts w:hint="eastAsia" w:ascii="黑体" w:hAnsi="黑体" w:eastAsia="黑体"/>
          <w:b/>
          <w:sz w:val="28"/>
          <w:szCs w:val="28"/>
          <w:lang w:val="en-US" w:eastAsia="zh-CN"/>
        </w:rPr>
        <w:t>77</w:t>
      </w:r>
      <w:r>
        <w:rPr>
          <w:rFonts w:ascii="黑体" w:hAnsi="黑体" w:eastAsia="黑体"/>
          <w:b/>
          <w:sz w:val="28"/>
          <w:szCs w:val="28"/>
        </w:rPr>
        <w:t>）</w:t>
      </w:r>
    </w:p>
    <w:tbl>
      <w:tblPr>
        <w:tblStyle w:val="23"/>
        <w:tblW w:w="13745" w:type="dxa"/>
        <w:jc w:val="center"/>
        <w:tblLayout w:type="fixed"/>
        <w:tblCellMar>
          <w:top w:w="0" w:type="dxa"/>
          <w:left w:w="108" w:type="dxa"/>
          <w:bottom w:w="0" w:type="dxa"/>
          <w:right w:w="108" w:type="dxa"/>
        </w:tblCellMar>
      </w:tblPr>
      <w:tblGrid>
        <w:gridCol w:w="735"/>
        <w:gridCol w:w="1134"/>
        <w:gridCol w:w="5586"/>
        <w:gridCol w:w="2336"/>
        <w:gridCol w:w="1321"/>
        <w:gridCol w:w="1321"/>
        <w:gridCol w:w="1312"/>
      </w:tblGrid>
      <w:tr>
        <w:tblPrEx>
          <w:tblCellMar>
            <w:top w:w="0" w:type="dxa"/>
            <w:left w:w="108" w:type="dxa"/>
            <w:bottom w:w="0" w:type="dxa"/>
            <w:right w:w="108" w:type="dxa"/>
          </w:tblCellMar>
        </w:tblPrEx>
        <w:trPr>
          <w:tblHeade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rPr>
            </w:pPr>
            <w:r>
              <w:rPr>
                <w:rFonts w:hint="eastAsia" w:ascii="黑体" w:hAnsi="黑体" w:eastAsia="黑体" w:cs="宋体"/>
                <w:bCs/>
                <w:kern w:val="0"/>
              </w:rPr>
              <w:t>序号</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rPr>
            </w:pPr>
            <w:r>
              <w:rPr>
                <w:rFonts w:hint="eastAsia" w:ascii="黑体" w:hAnsi="黑体" w:eastAsia="黑体" w:cs="宋体"/>
                <w:bCs/>
                <w:kern w:val="0"/>
              </w:rPr>
              <w:t>检查项目</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rPr>
            </w:pPr>
            <w:r>
              <w:rPr>
                <w:rFonts w:hint="eastAsia" w:ascii="黑体" w:hAnsi="黑体" w:eastAsia="黑体" w:cs="宋体"/>
                <w:bCs/>
                <w:kern w:val="0"/>
              </w:rPr>
              <w:t>检查内容</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rPr>
            </w:pPr>
            <w:r>
              <w:rPr>
                <w:rFonts w:hint="eastAsia" w:ascii="黑体" w:hAnsi="黑体" w:eastAsia="黑体" w:cs="宋体"/>
                <w:bCs/>
                <w:kern w:val="0"/>
              </w:rPr>
              <w:t>检查依据</w:t>
            </w:r>
          </w:p>
        </w:tc>
        <w:tc>
          <w:tcPr>
            <w:tcW w:w="13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kern w:val="0"/>
              </w:rPr>
            </w:pPr>
            <w:r>
              <w:rPr>
                <w:rFonts w:hint="eastAsia" w:ascii="黑体" w:hAnsi="黑体" w:eastAsia="黑体" w:cs="宋体"/>
                <w:bCs/>
                <w:kern w:val="0"/>
              </w:rPr>
              <w:t>现状描述</w:t>
            </w:r>
          </w:p>
        </w:tc>
        <w:tc>
          <w:tcPr>
            <w:tcW w:w="132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kern w:val="0"/>
              </w:rPr>
            </w:pPr>
            <w:r>
              <w:rPr>
                <w:rFonts w:hint="eastAsia" w:ascii="黑体" w:hAnsi="黑体" w:eastAsia="黑体" w:cs="宋体"/>
                <w:bCs/>
                <w:kern w:val="0"/>
              </w:rPr>
              <w:t>存在问题</w:t>
            </w:r>
          </w:p>
        </w:tc>
        <w:tc>
          <w:tcPr>
            <w:tcW w:w="1312" w:type="dxa"/>
            <w:tcBorders>
              <w:top w:val="single" w:color="000000" w:sz="4" w:space="0"/>
              <w:left w:val="single" w:color="000000" w:sz="4" w:space="0"/>
              <w:bottom w:val="single" w:color="000000" w:sz="4" w:space="0"/>
              <w:right w:val="single" w:color="auto" w:sz="4" w:space="0"/>
            </w:tcBorders>
          </w:tcPr>
          <w:p>
            <w:pPr>
              <w:jc w:val="center"/>
              <w:textAlignment w:val="center"/>
              <w:rPr>
                <w:rFonts w:ascii="黑体" w:hAnsi="黑体" w:eastAsia="黑体" w:cs="宋体"/>
                <w:bCs/>
                <w:kern w:val="0"/>
              </w:rPr>
            </w:pPr>
            <w:r>
              <w:rPr>
                <w:rFonts w:hint="eastAsia" w:ascii="黑体" w:hAnsi="黑体" w:eastAsia="黑体" w:cs="宋体"/>
                <w:bCs/>
                <w:kern w:val="0"/>
              </w:rPr>
              <w:t>处置措施</w:t>
            </w:r>
          </w:p>
        </w:tc>
      </w:tr>
      <w:tr>
        <w:tblPrEx>
          <w:tblCellMar>
            <w:top w:w="0" w:type="dxa"/>
            <w:left w:w="108" w:type="dxa"/>
            <w:bottom w:w="0" w:type="dxa"/>
            <w:right w:w="108" w:type="dxa"/>
          </w:tblCellMar>
        </w:tblPrEx>
        <w:trPr>
          <w:jc w:val="center"/>
        </w:trPr>
        <w:tc>
          <w:tcPr>
            <w:tcW w:w="13745" w:type="dxa"/>
            <w:gridSpan w:val="7"/>
            <w:tcBorders>
              <w:top w:val="single" w:color="000000" w:sz="4" w:space="0"/>
              <w:left w:val="single" w:color="000000" w:sz="4" w:space="0"/>
              <w:bottom w:val="single" w:color="000000" w:sz="4" w:space="0"/>
              <w:right w:val="single" w:color="auto" w:sz="4" w:space="0"/>
            </w:tcBorders>
          </w:tcPr>
          <w:p>
            <w:pPr>
              <w:jc w:val="left"/>
              <w:textAlignment w:val="top"/>
              <w:rPr>
                <w:rFonts w:ascii="宋体" w:cs="宋体"/>
                <w:kern w:val="0"/>
              </w:rPr>
            </w:pPr>
            <w:r>
              <w:rPr>
                <w:rFonts w:hint="eastAsia" w:ascii="黑体" w:hAnsi="黑体" w:eastAsia="黑体" w:cs="黑体"/>
                <w:kern w:val="0"/>
              </w:rPr>
              <w:t>（一）通风</w:t>
            </w: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1</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矿井通风系统</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矿井、采区和采掘工作面的供风量满足安全生产要求、风速符合规定要求；矿井每年安排采掘作业计划时核定矿井生产和通风能力，严禁超通风能力生产。</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《煤矿安全规程》第一百三十八条，一百三十九条。</w:t>
            </w:r>
          </w:p>
        </w:tc>
        <w:tc>
          <w:tcPr>
            <w:tcW w:w="1321" w:type="dxa"/>
            <w:tcBorders>
              <w:top w:val="single" w:color="000000" w:sz="4" w:space="0"/>
              <w:left w:val="single" w:color="000000" w:sz="4" w:space="0"/>
              <w:bottom w:val="single" w:color="auto"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auto"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auto"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ascii="宋体" w:hAnsi="宋体" w:cs="宋体"/>
                <w:kern w:val="0"/>
              </w:rPr>
              <w:t>2</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矿井必须有完整、可靠的独立通风系统。生产水平和采区必须实现分区通风。</w:t>
            </w:r>
          </w:p>
        </w:tc>
        <w:tc>
          <w:tcPr>
            <w:tcW w:w="2336" w:type="dxa"/>
            <w:vMerge w:val="restart"/>
            <w:tcBorders>
              <w:top w:val="single" w:color="000000" w:sz="4" w:space="0"/>
              <w:left w:val="single" w:color="000000" w:sz="4" w:space="0"/>
              <w:bottom w:val="single" w:color="000000" w:sz="4" w:space="0"/>
              <w:right w:val="single" w:color="auto" w:sz="4" w:space="0"/>
            </w:tcBorders>
            <w:vAlign w:val="center"/>
          </w:tcPr>
          <w:p>
            <w:pPr>
              <w:jc w:val="left"/>
              <w:textAlignment w:val="top"/>
              <w:rPr>
                <w:rFonts w:ascii="宋体" w:cs="宋体"/>
              </w:rPr>
            </w:pPr>
            <w:r>
              <w:rPr>
                <w:rFonts w:hint="eastAsia" w:ascii="宋体" w:hAnsi="宋体" w:cs="宋体"/>
                <w:kern w:val="0"/>
              </w:rPr>
              <w:t>《煤矿安全规程》第一百四十二条，一百四十九条。</w:t>
            </w:r>
          </w:p>
        </w:tc>
        <w:tc>
          <w:tcPr>
            <w:tcW w:w="1321" w:type="dxa"/>
            <w:vMerge w:val="restart"/>
            <w:tcBorders>
              <w:top w:val="single" w:color="auto" w:sz="4" w:space="0"/>
              <w:left w:val="single" w:color="auto" w:sz="4" w:space="0"/>
              <w:bottom w:val="single" w:color="auto" w:sz="4" w:space="0"/>
              <w:right w:val="single" w:color="auto" w:sz="4" w:space="0"/>
            </w:tcBorders>
          </w:tcPr>
          <w:p>
            <w:pPr>
              <w:textAlignment w:val="top"/>
              <w:rPr>
                <w:rFonts w:ascii="宋体" w:cs="宋体"/>
              </w:rPr>
            </w:pPr>
          </w:p>
        </w:tc>
        <w:tc>
          <w:tcPr>
            <w:tcW w:w="1321" w:type="dxa"/>
            <w:vMerge w:val="restart"/>
            <w:tcBorders>
              <w:top w:val="single" w:color="auto" w:sz="4" w:space="0"/>
              <w:left w:val="single" w:color="auto" w:sz="4" w:space="0"/>
              <w:bottom w:val="single" w:color="auto" w:sz="4" w:space="0"/>
              <w:right w:val="single" w:color="auto" w:sz="4" w:space="0"/>
            </w:tcBorders>
          </w:tcPr>
          <w:p>
            <w:pPr>
              <w:textAlignment w:val="top"/>
              <w:rPr>
                <w:rFonts w:ascii="宋体" w:cs="宋体"/>
              </w:rPr>
            </w:pPr>
          </w:p>
        </w:tc>
        <w:tc>
          <w:tcPr>
            <w:tcW w:w="1312" w:type="dxa"/>
            <w:vMerge w:val="restart"/>
            <w:tcBorders>
              <w:top w:val="single" w:color="auto" w:sz="4" w:space="0"/>
              <w:left w:val="single" w:color="auto" w:sz="4" w:space="0"/>
              <w:bottom w:val="single" w:color="auto" w:sz="4" w:space="0"/>
              <w:right w:val="single" w:color="auto"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rPr>
            </w:pPr>
            <w:r>
              <w:rPr>
                <w:rFonts w:hint="eastAsia" w:ascii="宋体" w:cs="宋体"/>
              </w:rPr>
              <w:t>3</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kern w:val="0"/>
              </w:rPr>
            </w:pPr>
            <w:r>
              <w:rPr>
                <w:rFonts w:hint="eastAsia" w:ascii="宋体" w:hAnsi="宋体" w:cs="宋体"/>
                <w:kern w:val="0"/>
              </w:rPr>
              <w:t>采区回风应直接进入主要回风巷或总回风巷。</w:t>
            </w:r>
          </w:p>
          <w:p>
            <w:pPr>
              <w:jc w:val="left"/>
              <w:textAlignment w:val="top"/>
              <w:rPr>
                <w:rFonts w:ascii="宋体" w:cs="宋体"/>
              </w:rPr>
            </w:pPr>
            <w:r>
              <w:rPr>
                <w:rFonts w:hint="eastAsia" w:ascii="宋体" w:hAnsi="宋体" w:cs="宋体"/>
                <w:kern w:val="0"/>
              </w:rPr>
              <w:t>所有起阻断作用的风门，必须至少设置两组正反向风门，两道同向风门必须联锁。</w:t>
            </w:r>
          </w:p>
        </w:tc>
        <w:tc>
          <w:tcPr>
            <w:tcW w:w="2336" w:type="dxa"/>
            <w:vMerge w:val="continue"/>
            <w:tcBorders>
              <w:top w:val="single" w:color="000000" w:sz="4" w:space="0"/>
              <w:left w:val="single" w:color="000000" w:sz="4" w:space="0"/>
              <w:bottom w:val="single" w:color="000000" w:sz="4" w:space="0"/>
              <w:right w:val="single" w:color="auto" w:sz="4" w:space="0"/>
            </w:tcBorders>
            <w:vAlign w:val="center"/>
          </w:tcPr>
          <w:p>
            <w:pPr>
              <w:jc w:val="left"/>
              <w:rPr>
                <w:rFonts w:ascii="宋体" w:cs="宋体"/>
              </w:rPr>
            </w:pPr>
          </w:p>
        </w:tc>
        <w:tc>
          <w:tcPr>
            <w:tcW w:w="1321" w:type="dxa"/>
            <w:vMerge w:val="continue"/>
            <w:tcBorders>
              <w:top w:val="single" w:color="auto" w:sz="4" w:space="0"/>
              <w:left w:val="single" w:color="auto" w:sz="4" w:space="0"/>
              <w:bottom w:val="single" w:color="auto" w:sz="4" w:space="0"/>
              <w:right w:val="single" w:color="auto" w:sz="4" w:space="0"/>
            </w:tcBorders>
          </w:tcPr>
          <w:p>
            <w:pPr>
              <w:textAlignment w:val="top"/>
              <w:rPr>
                <w:rFonts w:ascii="宋体" w:cs="宋体"/>
              </w:rPr>
            </w:pPr>
          </w:p>
        </w:tc>
        <w:tc>
          <w:tcPr>
            <w:tcW w:w="1321" w:type="dxa"/>
            <w:vMerge w:val="continue"/>
            <w:tcBorders>
              <w:top w:val="single" w:color="auto" w:sz="4" w:space="0"/>
              <w:left w:val="single" w:color="auto" w:sz="4" w:space="0"/>
              <w:bottom w:val="single" w:color="auto" w:sz="4" w:space="0"/>
              <w:right w:val="single" w:color="auto" w:sz="4" w:space="0"/>
            </w:tcBorders>
          </w:tcPr>
          <w:p>
            <w:pPr>
              <w:textAlignment w:val="top"/>
              <w:rPr>
                <w:rFonts w:ascii="宋体" w:cs="宋体"/>
              </w:rPr>
            </w:pPr>
          </w:p>
        </w:tc>
        <w:tc>
          <w:tcPr>
            <w:tcW w:w="1312" w:type="dxa"/>
            <w:vMerge w:val="continue"/>
            <w:tcBorders>
              <w:top w:val="single" w:color="auto" w:sz="4" w:space="0"/>
              <w:left w:val="single" w:color="auto" w:sz="4" w:space="0"/>
              <w:bottom w:val="single" w:color="auto" w:sz="4" w:space="0"/>
              <w:right w:val="single" w:color="auto"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hint="eastAsia" w:ascii="宋体" w:hAnsi="宋体" w:cs="宋体"/>
                <w:kern w:val="0"/>
              </w:rPr>
              <w:t>4</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采区通风系统</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高瓦斯矿井、突出矿井的每个采（盘）区和开采容易自燃煤层的、低瓦斯矿井开采煤层群的和分层开采采用联合布置的采（盘）区，必须至少布置</w:t>
            </w:r>
            <w:r>
              <w:rPr>
                <w:rFonts w:ascii="宋体" w:hAnsi="宋体" w:cs="宋体"/>
                <w:kern w:val="0"/>
              </w:rPr>
              <w:t>1</w:t>
            </w:r>
            <w:r>
              <w:rPr>
                <w:rFonts w:hint="eastAsia" w:ascii="宋体" w:hAnsi="宋体" w:cs="宋体"/>
                <w:kern w:val="0"/>
              </w:rPr>
              <w:t>条专用回风巷。</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《煤矿安全规程》第一百四十九条。</w:t>
            </w:r>
          </w:p>
        </w:tc>
        <w:tc>
          <w:tcPr>
            <w:tcW w:w="1321" w:type="dxa"/>
            <w:tcBorders>
              <w:top w:val="single" w:color="auto" w:sz="4" w:space="0"/>
              <w:left w:val="single" w:color="000000" w:sz="4" w:space="0"/>
              <w:right w:val="single" w:color="000000" w:sz="4" w:space="0"/>
            </w:tcBorders>
          </w:tcPr>
          <w:p>
            <w:pPr>
              <w:textAlignment w:val="top"/>
              <w:rPr>
                <w:rFonts w:ascii="宋体" w:cs="宋体"/>
              </w:rPr>
            </w:pPr>
          </w:p>
        </w:tc>
        <w:tc>
          <w:tcPr>
            <w:tcW w:w="1321" w:type="dxa"/>
            <w:tcBorders>
              <w:top w:val="single" w:color="auto" w:sz="4" w:space="0"/>
              <w:left w:val="single" w:color="000000" w:sz="4" w:space="0"/>
              <w:right w:val="single" w:color="000000" w:sz="4" w:space="0"/>
            </w:tcBorders>
          </w:tcPr>
          <w:p>
            <w:pPr>
              <w:textAlignment w:val="top"/>
              <w:rPr>
                <w:rFonts w:ascii="宋体" w:cs="宋体"/>
              </w:rPr>
            </w:pPr>
          </w:p>
        </w:tc>
        <w:tc>
          <w:tcPr>
            <w:tcW w:w="1312" w:type="dxa"/>
            <w:tcBorders>
              <w:top w:val="single" w:color="auto" w:sz="4" w:space="0"/>
              <w:left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hint="eastAsia" w:ascii="宋体" w:hAnsi="宋体" w:cs="宋体"/>
                <w:kern w:val="0"/>
              </w:rPr>
              <w:t>5</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采区进风、回风巷必须贯穿整个采区，严禁利用通风设施隔断巷道，形成一段进风、一段回风的通风系统。</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《煤矿安全规程》第一百四十九条。</w:t>
            </w:r>
          </w:p>
        </w:tc>
        <w:tc>
          <w:tcPr>
            <w:tcW w:w="1321" w:type="dxa"/>
            <w:tcBorders>
              <w:top w:val="single" w:color="000000" w:sz="4" w:space="0"/>
              <w:left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hint="eastAsia" w:ascii="宋体" w:hAnsi="宋体" w:cs="宋体"/>
                <w:kern w:val="0"/>
              </w:rPr>
              <w:t>6</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准备采区，必须在采区构成通风系统后，方可开掘其他巷道。采用倾斜长壁布置的，大巷必须至少超前</w:t>
            </w:r>
            <w:r>
              <w:rPr>
                <w:rFonts w:ascii="宋体" w:hAnsi="宋体" w:cs="宋体"/>
                <w:kern w:val="0"/>
              </w:rPr>
              <w:t>2</w:t>
            </w:r>
            <w:r>
              <w:rPr>
                <w:rFonts w:hint="eastAsia" w:ascii="宋体" w:hAnsi="宋体" w:cs="宋体"/>
                <w:kern w:val="0"/>
              </w:rPr>
              <w:t>个区段，并构成通风系统后，方可开掘其他巷道。下山采区未形成完整的通风、排水等生产系统前，严禁掘进回采巷道。</w:t>
            </w:r>
          </w:p>
        </w:tc>
        <w:tc>
          <w:tcPr>
            <w:tcW w:w="2336" w:type="dxa"/>
            <w:vMerge w:val="restart"/>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《煤矿安全规程》第九十五条，第一百四十九条。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rPr>
            </w:pPr>
            <w:r>
              <w:rPr>
                <w:rFonts w:hint="eastAsia" w:ascii="宋体" w:cs="宋体"/>
              </w:rPr>
              <w:t>7</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采煤工作面必须在采区构成完整的通风、排水系统后，方可回采。</w:t>
            </w:r>
          </w:p>
        </w:tc>
        <w:tc>
          <w:tcPr>
            <w:tcW w:w="23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1321" w:type="dxa"/>
            <w:tcBorders>
              <w:left w:val="single" w:color="000000" w:sz="4" w:space="0"/>
              <w:bottom w:val="single" w:color="000000" w:sz="4" w:space="0"/>
              <w:right w:val="single" w:color="000000" w:sz="4" w:space="0"/>
            </w:tcBorders>
          </w:tcPr>
          <w:p>
            <w:pPr>
              <w:rPr>
                <w:rFonts w:ascii="宋体" w:cs="宋体"/>
              </w:rPr>
            </w:pPr>
          </w:p>
        </w:tc>
        <w:tc>
          <w:tcPr>
            <w:tcW w:w="1321" w:type="dxa"/>
            <w:tcBorders>
              <w:left w:val="single" w:color="000000" w:sz="4" w:space="0"/>
              <w:bottom w:val="single" w:color="000000" w:sz="4" w:space="0"/>
              <w:right w:val="single" w:color="000000" w:sz="4" w:space="0"/>
            </w:tcBorders>
          </w:tcPr>
          <w:p>
            <w:pPr>
              <w:rPr>
                <w:rFonts w:ascii="宋体" w:cs="宋体"/>
              </w:rPr>
            </w:pPr>
          </w:p>
        </w:tc>
        <w:tc>
          <w:tcPr>
            <w:tcW w:w="1312" w:type="dxa"/>
            <w:tcBorders>
              <w:left w:val="single" w:color="000000" w:sz="4" w:space="0"/>
              <w:bottom w:val="single" w:color="000000" w:sz="4" w:space="0"/>
              <w:right w:val="single" w:color="000000" w:sz="4" w:space="0"/>
            </w:tcBorders>
          </w:tcPr>
          <w:p>
            <w:pP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hint="eastAsia" w:ascii="宋体" w:hAnsi="宋体" w:cs="宋体"/>
                <w:kern w:val="0"/>
              </w:rPr>
              <w:t>8</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准备采区时，突出煤层掘进巷道的回风不得经过有人作业的其他采区回风巷，不得切断其它通风巷道或工作面回风。</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《防治煤与瓦斯突出细则》第三十一条第二项。</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hint="eastAsia" w:ascii="宋体" w:hAnsi="宋体" w:cs="宋体"/>
                <w:kern w:val="0"/>
              </w:rPr>
              <w:t>9</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采掘工作面通风系统</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采、掘工作面实行独立通风，其回风应直接引入采区回风巷、一翼回风巷或总回风巷。煤层倾角大于</w:t>
            </w:r>
            <w:r>
              <w:rPr>
                <w:rFonts w:ascii="宋体" w:hAnsi="宋体" w:cs="宋体"/>
                <w:kern w:val="0"/>
              </w:rPr>
              <w:t>12</w:t>
            </w:r>
            <w:r>
              <w:rPr>
                <w:rFonts w:hint="eastAsia" w:ascii="宋体" w:hAnsi="宋体" w:cs="宋体"/>
                <w:kern w:val="0"/>
              </w:rPr>
              <w:t>度的采煤工作面采用下行通风时，必须经总工程师批准，制定专门的安全技术措施。</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《煤矿安全规程》第一百四十九条，一百五十二条。</w:t>
            </w:r>
          </w:p>
        </w:tc>
        <w:tc>
          <w:tcPr>
            <w:tcW w:w="1321" w:type="dxa"/>
            <w:tcBorders>
              <w:top w:val="single" w:color="000000" w:sz="4" w:space="0"/>
              <w:left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hint="eastAsia" w:ascii="宋体" w:hAnsi="宋体" w:cs="宋体"/>
                <w:kern w:val="0"/>
              </w:rPr>
              <w:t>10</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采煤工作面隅角禁止采用局部通风机稀释瓦斯。</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《煤矿安全规程》第一百五十三条。</w:t>
            </w:r>
          </w:p>
        </w:tc>
        <w:tc>
          <w:tcPr>
            <w:tcW w:w="1321" w:type="dxa"/>
            <w:tcBorders>
              <w:top w:val="single" w:color="000000" w:sz="4" w:space="0"/>
              <w:left w:val="single" w:color="000000" w:sz="4" w:space="0"/>
              <w:bottom w:val="single" w:color="auto"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auto"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auto"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1</w:t>
            </w:r>
            <w:r>
              <w:rPr>
                <w:rFonts w:hint="eastAsia" w:ascii="宋体" w:hAnsi="宋体" w:cs="宋体"/>
                <w:kern w:val="0"/>
                <w:lang w:val="en-US" w:eastAsia="zh-CN"/>
              </w:rPr>
              <w:t>1</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采、掘工作面串联通风必须符合规定，严禁</w:t>
            </w:r>
            <w:r>
              <w:rPr>
                <w:rFonts w:ascii="宋体" w:hAnsi="宋体" w:cs="宋体"/>
                <w:kern w:val="0"/>
              </w:rPr>
              <w:t>2</w:t>
            </w:r>
            <w:r>
              <w:rPr>
                <w:rFonts w:hint="eastAsia" w:ascii="宋体" w:hAnsi="宋体" w:cs="宋体"/>
                <w:kern w:val="0"/>
              </w:rPr>
              <w:t>个采煤工作面之间串联通风。开采有瓦斯喷出、有突出危险的煤层或者在距离突出煤层垂距小于</w:t>
            </w:r>
            <w:r>
              <w:rPr>
                <w:rFonts w:ascii="宋体" w:hAnsi="宋体" w:cs="宋体"/>
                <w:kern w:val="0"/>
              </w:rPr>
              <w:t>10m</w:t>
            </w:r>
            <w:r>
              <w:rPr>
                <w:rFonts w:hint="eastAsia" w:ascii="宋体" w:hAnsi="宋体" w:cs="宋体"/>
                <w:kern w:val="0"/>
              </w:rPr>
              <w:t>的区域掘进施工时，严禁任何</w:t>
            </w:r>
            <w:r>
              <w:rPr>
                <w:rFonts w:ascii="宋体" w:hAnsi="宋体" w:cs="宋体"/>
                <w:kern w:val="0"/>
              </w:rPr>
              <w:t>2</w:t>
            </w:r>
            <w:r>
              <w:rPr>
                <w:rFonts w:hint="eastAsia" w:ascii="宋体" w:hAnsi="宋体" w:cs="宋体"/>
                <w:kern w:val="0"/>
              </w:rPr>
              <w:t>个工作面之间串联通风。</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《煤矿安全规程》第一百五十条。</w:t>
            </w:r>
          </w:p>
        </w:tc>
        <w:tc>
          <w:tcPr>
            <w:tcW w:w="1321" w:type="dxa"/>
            <w:tcBorders>
              <w:top w:val="single" w:color="auto"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auto"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auto" w:sz="4" w:space="0"/>
              <w:left w:val="single" w:color="000000" w:sz="4" w:space="0"/>
              <w:bottom w:val="single" w:color="000000" w:sz="4" w:space="0"/>
              <w:right w:val="single" w:color="auto"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13745" w:type="dxa"/>
            <w:gridSpan w:val="7"/>
            <w:tcBorders>
              <w:top w:val="single" w:color="000000" w:sz="4" w:space="0"/>
              <w:left w:val="single" w:color="000000" w:sz="4" w:space="0"/>
              <w:bottom w:val="single" w:color="000000" w:sz="4" w:space="0"/>
              <w:right w:val="single" w:color="auto" w:sz="4" w:space="0"/>
            </w:tcBorders>
          </w:tcPr>
          <w:p>
            <w:pPr>
              <w:jc w:val="left"/>
              <w:textAlignment w:val="top"/>
              <w:rPr>
                <w:rFonts w:ascii="宋体" w:cs="宋体"/>
                <w:kern w:val="0"/>
              </w:rPr>
            </w:pPr>
            <w:r>
              <w:rPr>
                <w:rFonts w:hint="eastAsia" w:ascii="黑体" w:hAnsi="黑体" w:eastAsia="黑体" w:cs="黑体"/>
                <w:kern w:val="0"/>
              </w:rPr>
              <w:t>（二）瓦斯管理</w:t>
            </w: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1</w:t>
            </w:r>
            <w:r>
              <w:rPr>
                <w:rFonts w:hint="eastAsia" w:ascii="宋体" w:hAnsi="宋体" w:cs="宋体"/>
                <w:kern w:val="0"/>
                <w:lang w:val="en-US" w:eastAsia="zh-CN"/>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瓦斯等级鉴定</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按规定开展瓦斯等级鉴定，按规定开展煤层突出危险性鉴定。</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《煤矿安全规程》第一百七十条，《防治煤与瓦斯突出细则》第十、十一条，《煤矿瓦斯等级鉴定办法》第三十四、三十七条。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auto"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1</w:t>
            </w:r>
            <w:r>
              <w:rPr>
                <w:rFonts w:hint="eastAsia" w:ascii="宋体" w:hAnsi="宋体" w:cs="宋体"/>
                <w:kern w:val="0"/>
                <w:lang w:val="en-US" w:eastAsia="zh-CN"/>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瓦斯检查</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矿井应建立并严格执行瓦斯巡回检查制度。矿井必须将总回风、一翼回风、采区回风、采掘工作面及进回风、采煤工作面上隅角、各类硐室、使用中的机电设备设置地点、有人员作业的地点等纳入检查范围，并进行检查。</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《煤矿安全规程》第一百八十条。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1</w:t>
            </w:r>
            <w:r>
              <w:rPr>
                <w:rFonts w:hint="eastAsia" w:ascii="宋体" w:hAnsi="宋体" w:cs="宋体"/>
                <w:kern w:val="0"/>
                <w:lang w:val="en-US" w:eastAsia="zh-CN"/>
              </w:rPr>
              <w:t>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瓦斯报表审查</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通风值班人员要审阅瓦斯班报，掌握瓦斯变化情况，发现问题，及时处理，并向矿调度室汇报。通风瓦斯日报要送矿长、矿总工程师审阅，一矿多井的矿必须同时送井长、井技术负责人审阅。对重大的通风、瓦斯问题，矿井要查明原因，要制定措施，进行处理。</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《煤矿安全规程》第一百八十条。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auto"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13745" w:type="dxa"/>
            <w:gridSpan w:val="7"/>
            <w:tcBorders>
              <w:top w:val="single" w:color="000000" w:sz="4" w:space="0"/>
              <w:left w:val="single" w:color="000000" w:sz="4" w:space="0"/>
              <w:bottom w:val="single" w:color="000000" w:sz="4" w:space="0"/>
              <w:right w:val="single" w:color="auto" w:sz="4" w:space="0"/>
            </w:tcBorders>
          </w:tcPr>
          <w:p>
            <w:pPr>
              <w:jc w:val="left"/>
              <w:textAlignment w:val="top"/>
              <w:rPr>
                <w:rFonts w:ascii="宋体" w:cs="宋体"/>
                <w:kern w:val="0"/>
              </w:rPr>
            </w:pPr>
            <w:r>
              <w:rPr>
                <w:rFonts w:hint="eastAsia" w:ascii="黑体" w:hAnsi="黑体" w:eastAsia="黑体" w:cs="黑体"/>
                <w:kern w:val="0"/>
              </w:rPr>
              <w:t>（三）瓦斯抽采</w:t>
            </w: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cs="宋体" w:eastAsiaTheme="minorEastAsia"/>
                <w:lang w:eastAsia="zh-CN"/>
              </w:rPr>
            </w:pPr>
            <w:r>
              <w:rPr>
                <w:rFonts w:ascii="宋体" w:hAnsi="宋体" w:cs="宋体"/>
                <w:kern w:val="0"/>
              </w:rPr>
              <w:t>1</w:t>
            </w:r>
            <w:r>
              <w:rPr>
                <w:rFonts w:hint="eastAsia" w:ascii="宋体" w:hAnsi="宋体" w:cs="宋体"/>
                <w:kern w:val="0"/>
                <w:lang w:val="en-US" w:eastAsia="zh-CN"/>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“一矿一策和一面一策”瓦斯治理方案</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煤矿是否根据矿井中长期规划及年度采掘接替计划，超前制定水平、采区、采掘工作面的瓦斯综合治理方案，统筹全年各区域瓦斯治理方案、时间、进度安排，为瓦斯治理及采掘接续提供保障。</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《防治煤与瓦斯突出细则》第六条，第二十三条。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16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地质测量</w:t>
            </w:r>
          </w:p>
        </w:tc>
        <w:tc>
          <w:tcPr>
            <w:tcW w:w="5586" w:type="dxa"/>
            <w:tcBorders>
              <w:top w:val="single" w:color="auto"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地质测量部门在采掘工作面距离未保护区边缘</w:t>
            </w:r>
            <w:r>
              <w:rPr>
                <w:rFonts w:ascii="宋体" w:hAnsi="宋体" w:cs="宋体"/>
                <w:kern w:val="0"/>
              </w:rPr>
              <w:t>50m</w:t>
            </w:r>
            <w:r>
              <w:rPr>
                <w:rFonts w:hint="eastAsia" w:ascii="宋体" w:hAnsi="宋体" w:cs="宋体"/>
                <w:kern w:val="0"/>
              </w:rPr>
              <w:t>前，编制临近未保护区通知单，并报煤矿总工程师审批后交有关采掘区（队）。</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《煤矿安全规程》第二百条，《防治煤与瓦斯突出细则》第二十五条第一款。</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17</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瓦期抽采系统</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突出矿井必须建立地面永久瓦斯抽采系统，高瓦斯矿井应当按规定建立瓦斯抽采系统，抽采能力必须满足实际需要。</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《煤矿安全规程》第一百八十一条。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18</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井下瓦斯抽采管路</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抽采管路附属装置及设施布置必须符合规定。</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《煤矿瓦斯抽放规范》（</w:t>
            </w:r>
            <w:r>
              <w:rPr>
                <w:rFonts w:ascii="宋体" w:hAnsi="宋体" w:cs="宋体"/>
                <w:kern w:val="0"/>
              </w:rPr>
              <w:t>AQ1027-2006</w:t>
            </w:r>
            <w:r>
              <w:rPr>
                <w:rFonts w:hint="eastAsia" w:ascii="宋体" w:hAnsi="宋体" w:cs="宋体"/>
                <w:kern w:val="0"/>
              </w:rPr>
              <w:t>）</w:t>
            </w:r>
            <w:r>
              <w:rPr>
                <w:rFonts w:ascii="宋体" w:hAnsi="宋体" w:cs="宋体"/>
                <w:kern w:val="0"/>
              </w:rPr>
              <w:t>5.4.6</w:t>
            </w:r>
            <w:r>
              <w:rPr>
                <w:rFonts w:hint="eastAsia" w:ascii="宋体" w:hAnsi="宋体" w:cs="宋体"/>
                <w:kern w:val="0"/>
              </w:rPr>
              <w:t>。</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19</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抽采管路禁止采用玻璃钢管。抽采管路要有良好的气密性及采取防腐蚀、防砸坏、防带电及防冻等措施。</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《煤矿瓦斯抽放规范》（</w:t>
            </w:r>
            <w:r>
              <w:rPr>
                <w:rFonts w:ascii="宋体" w:hAnsi="宋体" w:cs="宋体"/>
                <w:kern w:val="0"/>
              </w:rPr>
              <w:t>AQ1027-2006</w:t>
            </w:r>
            <w:r>
              <w:rPr>
                <w:rFonts w:hint="eastAsia" w:ascii="宋体" w:hAnsi="宋体" w:cs="宋体"/>
                <w:kern w:val="0"/>
              </w:rPr>
              <w:t>）</w:t>
            </w:r>
            <w:r>
              <w:rPr>
                <w:rFonts w:ascii="宋体" w:hAnsi="宋体" w:cs="宋体"/>
                <w:kern w:val="0"/>
              </w:rPr>
              <w:t>5.4.7</w:t>
            </w:r>
            <w:r>
              <w:rPr>
                <w:rFonts w:hint="eastAsia" w:ascii="宋体" w:hAnsi="宋体" w:cs="宋体"/>
                <w:kern w:val="0"/>
              </w:rPr>
              <w:t>、</w:t>
            </w:r>
            <w:r>
              <w:rPr>
                <w:rFonts w:ascii="宋体" w:hAnsi="宋体" w:cs="宋体"/>
                <w:kern w:val="0"/>
              </w:rPr>
              <w:t>5.4.9</w:t>
            </w:r>
            <w:r>
              <w:rPr>
                <w:rFonts w:hint="eastAsia" w:ascii="宋体" w:hAnsi="宋体" w:cs="宋体"/>
                <w:kern w:val="0"/>
              </w:rPr>
              <w:t>、</w:t>
            </w:r>
            <w:r>
              <w:rPr>
                <w:rFonts w:ascii="宋体" w:hAnsi="宋体" w:cs="宋体"/>
                <w:kern w:val="0"/>
              </w:rPr>
              <w:t>5.4.10</w:t>
            </w:r>
            <w:r>
              <w:rPr>
                <w:rFonts w:hint="eastAsia" w:ascii="宋体" w:hAnsi="宋体" w:cs="宋体"/>
                <w:kern w:val="0"/>
              </w:rPr>
              <w:t>。</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20</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瓦斯抽采管路监测</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抽采容易自燃和自燃煤层的采空区瓦斯时，采空区抽采管路应安设一氧化碳、甲烷、温度传感器，实现实时监测监控。发现有自然发火征兆时，应立即采取措施。</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《煤矿安全规程》第一百八十四条。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21</w:t>
            </w:r>
          </w:p>
        </w:tc>
        <w:tc>
          <w:tcPr>
            <w:tcW w:w="1134" w:type="dxa"/>
            <w:tcBorders>
              <w:top w:val="single" w:color="auto"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禁止采用顺层钻孔预抽煤巷条带作为区域措施情况</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新建矿井经建井前评估有突出危险的煤层，首采区未按要求测定瓦斯参数并掌握瓦斯赋存规律的；历史上发生过突出强度大于</w:t>
            </w:r>
            <w:r>
              <w:rPr>
                <w:rFonts w:ascii="宋体" w:hAnsi="宋体" w:cs="宋体"/>
                <w:kern w:val="0"/>
              </w:rPr>
              <w:t>500t/</w:t>
            </w:r>
            <w:r>
              <w:rPr>
                <w:rFonts w:hint="eastAsia" w:ascii="宋体" w:hAnsi="宋体" w:cs="宋体"/>
                <w:kern w:val="0"/>
              </w:rPr>
              <w:t>次的；开采范围内</w:t>
            </w:r>
            <w:r>
              <w:rPr>
                <w:rFonts w:ascii="宋体" w:hAnsi="宋体" w:cs="宋体"/>
                <w:kern w:val="0"/>
              </w:rPr>
              <w:t>f</w:t>
            </w:r>
            <w:r>
              <w:rPr>
                <w:rFonts w:hint="eastAsia" w:ascii="宋体" w:hAnsi="宋体" w:cs="宋体"/>
                <w:kern w:val="0"/>
              </w:rPr>
              <w:t>＜</w:t>
            </w:r>
            <w:r>
              <w:rPr>
                <w:rFonts w:ascii="宋体" w:hAnsi="宋体" w:cs="宋体"/>
                <w:kern w:val="0"/>
              </w:rPr>
              <w:t>0.3</w:t>
            </w:r>
            <w:r>
              <w:rPr>
                <w:rFonts w:hint="eastAsia" w:ascii="宋体" w:hAnsi="宋体" w:cs="宋体"/>
                <w:kern w:val="0"/>
              </w:rPr>
              <w:t>的；</w:t>
            </w:r>
            <w:r>
              <w:rPr>
                <w:rFonts w:ascii="宋体" w:hAnsi="宋体" w:cs="宋体"/>
                <w:kern w:val="0"/>
              </w:rPr>
              <w:t>f</w:t>
            </w:r>
            <w:r>
              <w:rPr>
                <w:rFonts w:hint="eastAsia" w:ascii="宋体" w:hAnsi="宋体" w:cs="宋体"/>
                <w:kern w:val="0"/>
              </w:rPr>
              <w:t>为</w:t>
            </w:r>
            <w:r>
              <w:rPr>
                <w:rFonts w:ascii="宋体" w:hAnsi="宋体" w:cs="宋体"/>
                <w:kern w:val="0"/>
              </w:rPr>
              <w:t>0.3</w:t>
            </w:r>
            <w:r>
              <w:rPr>
                <w:rFonts w:hint="eastAsia" w:ascii="宋体" w:hAnsi="宋体" w:cs="宋体"/>
                <w:kern w:val="0"/>
              </w:rPr>
              <w:t>～</w:t>
            </w:r>
            <w:r>
              <w:rPr>
                <w:rFonts w:ascii="宋体" w:hAnsi="宋体" w:cs="宋体"/>
                <w:kern w:val="0"/>
              </w:rPr>
              <w:t>0.5</w:t>
            </w:r>
            <w:r>
              <w:rPr>
                <w:rFonts w:hint="eastAsia" w:ascii="宋体" w:hAnsi="宋体" w:cs="宋体"/>
                <w:kern w:val="0"/>
              </w:rPr>
              <w:t>，且埋深大于</w:t>
            </w:r>
            <w:r>
              <w:rPr>
                <w:rFonts w:ascii="宋体" w:hAnsi="宋体" w:cs="宋体"/>
                <w:kern w:val="0"/>
              </w:rPr>
              <w:t>500m</w:t>
            </w:r>
            <w:r>
              <w:rPr>
                <w:rFonts w:hint="eastAsia" w:ascii="宋体" w:hAnsi="宋体" w:cs="宋体"/>
                <w:kern w:val="0"/>
              </w:rPr>
              <w:t>的；</w:t>
            </w:r>
            <w:r>
              <w:rPr>
                <w:rFonts w:ascii="宋体" w:hAnsi="宋体" w:cs="宋体"/>
                <w:kern w:val="0"/>
              </w:rPr>
              <w:t>f</w:t>
            </w:r>
            <w:r>
              <w:rPr>
                <w:rFonts w:hint="eastAsia" w:ascii="宋体" w:hAnsi="宋体" w:cs="宋体"/>
                <w:kern w:val="0"/>
              </w:rPr>
              <w:t>为</w:t>
            </w:r>
            <w:r>
              <w:rPr>
                <w:rFonts w:ascii="宋体" w:hAnsi="宋体" w:cs="宋体"/>
                <w:kern w:val="0"/>
              </w:rPr>
              <w:t>0.5</w:t>
            </w:r>
            <w:r>
              <w:rPr>
                <w:rFonts w:hint="eastAsia" w:ascii="宋体" w:hAnsi="宋体" w:cs="宋体"/>
                <w:kern w:val="0"/>
              </w:rPr>
              <w:t>～</w:t>
            </w:r>
            <w:r>
              <w:rPr>
                <w:rFonts w:ascii="宋体" w:hAnsi="宋体" w:cs="宋体"/>
                <w:kern w:val="0"/>
              </w:rPr>
              <w:t>0.8</w:t>
            </w:r>
            <w:r>
              <w:rPr>
                <w:rFonts w:hint="eastAsia" w:ascii="宋体" w:hAnsi="宋体" w:cs="宋体"/>
                <w:kern w:val="0"/>
              </w:rPr>
              <w:t>，且埋深大于</w:t>
            </w:r>
            <w:r>
              <w:rPr>
                <w:rFonts w:ascii="宋体" w:hAnsi="宋体" w:cs="宋体"/>
                <w:kern w:val="0"/>
              </w:rPr>
              <w:t>600m</w:t>
            </w:r>
            <w:r>
              <w:rPr>
                <w:rFonts w:hint="eastAsia" w:ascii="宋体" w:hAnsi="宋体" w:cs="宋体"/>
                <w:kern w:val="0"/>
              </w:rPr>
              <w:t>的；煤层埋深大于</w:t>
            </w:r>
            <w:r>
              <w:rPr>
                <w:rFonts w:ascii="宋体" w:hAnsi="宋体" w:cs="宋体"/>
                <w:kern w:val="0"/>
              </w:rPr>
              <w:t>700m</w:t>
            </w:r>
            <w:r>
              <w:rPr>
                <w:rFonts w:hint="eastAsia" w:ascii="宋体" w:hAnsi="宋体" w:cs="宋体"/>
                <w:kern w:val="0"/>
              </w:rPr>
              <w:t>的；煤巷条带位于开采应力集中区的；煤层瓦斯压力</w:t>
            </w:r>
            <w:r>
              <w:rPr>
                <w:rFonts w:ascii="宋体" w:hAnsi="宋体" w:cs="宋体"/>
                <w:kern w:val="0"/>
              </w:rPr>
              <w:t>P</w:t>
            </w:r>
            <w:r>
              <w:rPr>
                <w:rFonts w:hint="eastAsia" w:ascii="宋体" w:hAnsi="宋体" w:cs="宋体"/>
                <w:kern w:val="0"/>
              </w:rPr>
              <w:t>≥</w:t>
            </w:r>
            <w:r>
              <w:rPr>
                <w:rFonts w:ascii="宋体" w:hAnsi="宋体" w:cs="宋体"/>
                <w:kern w:val="0"/>
              </w:rPr>
              <w:t>1.5MPa</w:t>
            </w:r>
            <w:r>
              <w:rPr>
                <w:rFonts w:hint="eastAsia" w:ascii="宋体" w:hAnsi="宋体" w:cs="宋体"/>
                <w:kern w:val="0"/>
              </w:rPr>
              <w:t>或者瓦斯含量</w:t>
            </w:r>
            <w:r>
              <w:rPr>
                <w:rFonts w:ascii="宋体" w:hAnsi="宋体" w:cs="宋体"/>
                <w:kern w:val="0"/>
              </w:rPr>
              <w:t>W</w:t>
            </w:r>
            <w:r>
              <w:rPr>
                <w:rFonts w:hint="eastAsia" w:ascii="宋体" w:hAnsi="宋体" w:cs="宋体"/>
                <w:kern w:val="0"/>
              </w:rPr>
              <w:t>≥</w:t>
            </w:r>
            <w:r>
              <w:rPr>
                <w:rFonts w:ascii="宋体" w:hAnsi="宋体" w:cs="宋体"/>
                <w:kern w:val="0"/>
              </w:rPr>
              <w:t>15m</w:t>
            </w:r>
            <w:r>
              <w:rPr>
                <w:rStyle w:val="70"/>
                <w:rFonts w:ascii="宋体" w:hAnsi="宋体" w:cs="宋体"/>
                <w:color w:val="auto"/>
              </w:rPr>
              <w:t>3</w:t>
            </w:r>
            <w:r>
              <w:rPr>
                <w:rFonts w:ascii="宋体" w:hAnsi="宋体" w:cs="宋体"/>
                <w:kern w:val="0"/>
              </w:rPr>
              <w:t>/t</w:t>
            </w:r>
            <w:r>
              <w:rPr>
                <w:rFonts w:hint="eastAsia" w:ascii="宋体" w:hAnsi="宋体" w:cs="宋体"/>
                <w:kern w:val="0"/>
              </w:rPr>
              <w:t>的区域。</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《防治煤与瓦斯突出细则》第六十五条。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auto"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22</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瓦斯抽采工程施工验收</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瓦斯抽采工程必须严格按设计施工，并应进行验收，瓦斯抽采工程竣工图及其他竣工验收资料内容符合规定，并由相关责任人签字。瓦斯抽采工程竣工资料（图）除应有与设计对应的内容外，还应包括各工程开工时间、竣工时间以及工程施工过程中的异常现象（如喷孔、顶钻、卡钻等）等内容。</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《煤矿瓦斯抽采达标暂行规定》第十九条。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23</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kern w:val="0"/>
              </w:rPr>
            </w:pPr>
            <w:r>
              <w:rPr>
                <w:rFonts w:hint="eastAsia" w:ascii="宋体" w:hAnsi="宋体" w:cs="宋体"/>
                <w:kern w:val="0"/>
              </w:rPr>
              <w:t>瓦斯抽采钻孔封孔</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穿层钻孔的封孔段长度不得小于</w:t>
            </w:r>
            <w:r>
              <w:rPr>
                <w:rFonts w:ascii="宋体" w:hAnsi="宋体" w:cs="宋体"/>
                <w:kern w:val="0"/>
              </w:rPr>
              <w:t>5m</w:t>
            </w:r>
            <w:r>
              <w:rPr>
                <w:rFonts w:hint="eastAsia" w:ascii="宋体" w:hAnsi="宋体" w:cs="宋体"/>
                <w:kern w:val="0"/>
              </w:rPr>
              <w:t>，顺层钻孔的封孔段长度不得小于</w:t>
            </w:r>
            <w:r>
              <w:rPr>
                <w:rFonts w:ascii="宋体" w:hAnsi="宋体" w:cs="宋体"/>
                <w:kern w:val="0"/>
              </w:rPr>
              <w:t>8m</w:t>
            </w:r>
            <w:r>
              <w:rPr>
                <w:rFonts w:hint="eastAsia" w:ascii="宋体" w:hAnsi="宋体" w:cs="宋体"/>
                <w:kern w:val="0"/>
              </w:rPr>
              <w:t>。</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《防治煤与瓦斯突出细则》第六十七条。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kern w:val="0"/>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kern w:val="0"/>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kern w:val="0"/>
              </w:rPr>
            </w:pPr>
          </w:p>
        </w:tc>
      </w:tr>
      <w:tr>
        <w:tblPrEx>
          <w:tblCellMar>
            <w:top w:w="0" w:type="dxa"/>
            <w:left w:w="108" w:type="dxa"/>
            <w:bottom w:w="0" w:type="dxa"/>
            <w:right w:w="108" w:type="dxa"/>
          </w:tblCellMar>
        </w:tblPrEx>
        <w:trPr>
          <w:jc w:val="center"/>
        </w:trPr>
        <w:tc>
          <w:tcPr>
            <w:tcW w:w="735"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宋体" w:hAnsi="宋体" w:cs="宋体" w:eastAsiaTheme="minorEastAsia"/>
                <w:lang w:val="en-US" w:eastAsia="zh-CN"/>
              </w:rPr>
            </w:pPr>
            <w:r>
              <w:rPr>
                <w:rFonts w:hint="eastAsia" w:ascii="宋体" w:hAnsi="宋体" w:cs="宋体"/>
                <w:lang w:val="en-US" w:eastAsia="zh-CN"/>
              </w:rPr>
              <w:t>24</w:t>
            </w:r>
          </w:p>
        </w:tc>
        <w:tc>
          <w:tcPr>
            <w:tcW w:w="1134" w:type="dxa"/>
            <w:tcBorders>
              <w:top w:val="single" w:color="auto" w:sz="4" w:space="0"/>
              <w:left w:val="single" w:color="000000" w:sz="4" w:space="0"/>
              <w:bottom w:val="single" w:color="auto" w:sz="4" w:space="0"/>
              <w:right w:val="single" w:color="000000" w:sz="4" w:space="0"/>
            </w:tcBorders>
            <w:vAlign w:val="center"/>
          </w:tcPr>
          <w:p>
            <w:pPr>
              <w:jc w:val="left"/>
              <w:rPr>
                <w:rFonts w:ascii="宋体" w:cs="宋体"/>
              </w:rPr>
            </w:pPr>
            <w:r>
              <w:rPr>
                <w:rFonts w:hint="eastAsia" w:ascii="宋体" w:hAnsi="宋体" w:cs="宋体"/>
              </w:rPr>
              <w:t>瓦斯抽采计量</w:t>
            </w:r>
          </w:p>
        </w:tc>
        <w:tc>
          <w:tcPr>
            <w:tcW w:w="5586" w:type="dxa"/>
            <w:tcBorders>
              <w:top w:val="single" w:color="auto" w:sz="4" w:space="0"/>
              <w:left w:val="single" w:color="000000" w:sz="4" w:space="0"/>
              <w:bottom w:val="single" w:color="auto" w:sz="4" w:space="0"/>
              <w:right w:val="single" w:color="000000" w:sz="4" w:space="0"/>
            </w:tcBorders>
            <w:vAlign w:val="center"/>
          </w:tcPr>
          <w:p>
            <w:pPr>
              <w:jc w:val="left"/>
              <w:rPr>
                <w:rFonts w:ascii="宋体" w:cs="宋体"/>
              </w:rPr>
            </w:pPr>
            <w:r>
              <w:rPr>
                <w:rFonts w:hint="eastAsia" w:ascii="宋体" w:hAnsi="宋体" w:cs="宋体"/>
              </w:rPr>
              <w:t>瓦斯抽采主管、分管、支管及其与钻场连接处按规定装设瓦斯计量装置。抽采瓦斯管路系统装设瓦斯浓度、流量、负压、温度等监测设备。预抽煤层瓦斯时应当记录每个钻孔的接抽时间，定期测定钻孔的浓度、负压；分单元安装抽采自动计量装置，按措施效果检验单元分别监测或者检测管道瓦斯的浓度、负压、流量、温度、一氧化碳等，自动计量或者统计计算单元的瓦斯抽采量。抽采自动计量数据或者统计计算数据作为预抽效果检验的基础数据。</w:t>
            </w:r>
          </w:p>
        </w:tc>
        <w:tc>
          <w:tcPr>
            <w:tcW w:w="2336" w:type="dxa"/>
            <w:tcBorders>
              <w:top w:val="single" w:color="auto" w:sz="4" w:space="0"/>
              <w:left w:val="single" w:color="000000" w:sz="4" w:space="0"/>
              <w:bottom w:val="single" w:color="auto" w:sz="4" w:space="0"/>
              <w:right w:val="single" w:color="000000" w:sz="4" w:space="0"/>
            </w:tcBorders>
            <w:vAlign w:val="center"/>
          </w:tcPr>
          <w:p>
            <w:pPr>
              <w:jc w:val="left"/>
              <w:rPr>
                <w:rFonts w:ascii="宋体" w:cs="宋体"/>
              </w:rPr>
            </w:pPr>
            <w:r>
              <w:rPr>
                <w:rFonts w:hint="eastAsia" w:ascii="宋体" w:hAnsi="宋体" w:cs="宋体"/>
              </w:rPr>
              <w:t>《煤矿瓦斯抽放规范》（</w:t>
            </w:r>
            <w:r>
              <w:rPr>
                <w:rFonts w:ascii="宋体" w:hAnsi="宋体" w:cs="宋体"/>
              </w:rPr>
              <w:t>AQ1027-2006</w:t>
            </w:r>
            <w:r>
              <w:rPr>
                <w:rFonts w:hint="eastAsia" w:ascii="宋体" w:hAnsi="宋体" w:cs="宋体"/>
              </w:rPr>
              <w:t>）</w:t>
            </w:r>
            <w:r>
              <w:rPr>
                <w:rFonts w:ascii="宋体" w:hAnsi="宋体" w:cs="宋体"/>
              </w:rPr>
              <w:t>5.4.6</w:t>
            </w:r>
            <w:r>
              <w:rPr>
                <w:rFonts w:hint="eastAsia" w:ascii="宋体" w:hAnsi="宋体" w:cs="宋体"/>
              </w:rPr>
              <w:t>；《煤矿瓦斯抽采工程设计规范》</w:t>
            </w:r>
            <w:r>
              <w:rPr>
                <w:rFonts w:ascii="宋体" w:hAnsi="宋体" w:cs="宋体"/>
              </w:rPr>
              <w:t>8.2.1</w:t>
            </w:r>
            <w:r>
              <w:rPr>
                <w:rFonts w:hint="eastAsia" w:ascii="宋体" w:hAnsi="宋体" w:cs="宋体"/>
              </w:rPr>
              <w:t>。</w:t>
            </w:r>
          </w:p>
        </w:tc>
        <w:tc>
          <w:tcPr>
            <w:tcW w:w="1321" w:type="dxa"/>
            <w:tcBorders>
              <w:top w:val="single" w:color="auto" w:sz="4" w:space="0"/>
              <w:left w:val="single" w:color="000000" w:sz="4" w:space="0"/>
              <w:bottom w:val="single" w:color="auto" w:sz="4" w:space="0"/>
              <w:right w:val="single" w:color="000000" w:sz="4" w:space="0"/>
            </w:tcBorders>
          </w:tcPr>
          <w:p>
            <w:pPr>
              <w:rPr>
                <w:rFonts w:ascii="宋体" w:cs="宋体"/>
              </w:rPr>
            </w:pPr>
          </w:p>
        </w:tc>
        <w:tc>
          <w:tcPr>
            <w:tcW w:w="1321" w:type="dxa"/>
            <w:tcBorders>
              <w:top w:val="single" w:color="auto" w:sz="4" w:space="0"/>
              <w:left w:val="single" w:color="000000" w:sz="4" w:space="0"/>
              <w:bottom w:val="single" w:color="auto" w:sz="4" w:space="0"/>
              <w:right w:val="single" w:color="000000" w:sz="4" w:space="0"/>
            </w:tcBorders>
          </w:tcPr>
          <w:p>
            <w:pPr>
              <w:rPr>
                <w:rFonts w:ascii="宋体" w:cs="宋体"/>
              </w:rPr>
            </w:pPr>
          </w:p>
        </w:tc>
        <w:tc>
          <w:tcPr>
            <w:tcW w:w="1312" w:type="dxa"/>
            <w:tcBorders>
              <w:top w:val="single" w:color="auto" w:sz="4" w:space="0"/>
              <w:left w:val="single" w:color="000000" w:sz="4" w:space="0"/>
              <w:bottom w:val="single" w:color="auto" w:sz="4" w:space="0"/>
              <w:right w:val="single" w:color="000000" w:sz="4" w:space="0"/>
            </w:tcBorders>
          </w:tcPr>
          <w:p>
            <w:pPr>
              <w:rPr>
                <w:rFonts w:ascii="宋体" w:cs="宋体"/>
              </w:rPr>
            </w:pPr>
          </w:p>
        </w:tc>
      </w:tr>
      <w:tr>
        <w:tblPrEx>
          <w:tblCellMar>
            <w:top w:w="0" w:type="dxa"/>
            <w:left w:w="108" w:type="dxa"/>
            <w:bottom w:w="0" w:type="dxa"/>
            <w:right w:w="108" w:type="dxa"/>
          </w:tblCellMar>
        </w:tblPrEx>
        <w:trPr>
          <w:jc w:val="center"/>
        </w:trPr>
        <w:tc>
          <w:tcPr>
            <w:tcW w:w="735" w:type="dxa"/>
            <w:tcBorders>
              <w:top w:val="single" w:color="auto" w:sz="4" w:space="0"/>
              <w:left w:val="single" w:color="000000" w:sz="4" w:space="0"/>
              <w:bottom w:val="single" w:color="auto"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25</w:t>
            </w:r>
          </w:p>
        </w:tc>
        <w:tc>
          <w:tcPr>
            <w:tcW w:w="1134" w:type="dxa"/>
            <w:tcBorders>
              <w:top w:val="single" w:color="auto" w:sz="4" w:space="0"/>
              <w:left w:val="single" w:color="000000" w:sz="4" w:space="0"/>
              <w:bottom w:val="single" w:color="auto" w:sz="4" w:space="0"/>
              <w:right w:val="single" w:color="000000" w:sz="4" w:space="0"/>
            </w:tcBorders>
            <w:vAlign w:val="center"/>
          </w:tcPr>
          <w:p>
            <w:pPr>
              <w:jc w:val="left"/>
              <w:textAlignment w:val="top"/>
              <w:rPr>
                <w:rFonts w:ascii="宋体" w:cs="宋体"/>
              </w:rPr>
            </w:pPr>
            <w:r>
              <w:rPr>
                <w:rFonts w:hint="eastAsia" w:ascii="宋体" w:hAnsi="宋体" w:cs="宋体"/>
                <w:kern w:val="0"/>
              </w:rPr>
              <w:t>保护层开采区域防突效果检验</w:t>
            </w:r>
          </w:p>
        </w:tc>
        <w:tc>
          <w:tcPr>
            <w:tcW w:w="5586" w:type="dxa"/>
            <w:tcBorders>
              <w:top w:val="single" w:color="auto" w:sz="4" w:space="0"/>
              <w:left w:val="single" w:color="000000" w:sz="4" w:space="0"/>
              <w:bottom w:val="single" w:color="auto" w:sz="4" w:space="0"/>
              <w:right w:val="single" w:color="000000" w:sz="4" w:space="0"/>
            </w:tcBorders>
            <w:vAlign w:val="center"/>
          </w:tcPr>
          <w:p>
            <w:pPr>
              <w:jc w:val="left"/>
              <w:textAlignment w:val="center"/>
              <w:rPr>
                <w:rFonts w:ascii="宋体" w:cs="宋体"/>
              </w:rPr>
            </w:pPr>
            <w:r>
              <w:rPr>
                <w:rFonts w:hint="eastAsia" w:ascii="宋体" w:hAnsi="宋体" w:cs="宋体"/>
                <w:kern w:val="0"/>
              </w:rPr>
              <w:t>矿井首次开采某个保护层或者保护层与被保护层的层间距、岩性及保护层开采厚度等发生了较大变化时，应当对被保护层的保护效果及其有效保护范围进行实际考察。保护效果和保护范围考察结果由煤矿企业技术负责人批准。</w:t>
            </w:r>
          </w:p>
        </w:tc>
        <w:tc>
          <w:tcPr>
            <w:tcW w:w="2336" w:type="dxa"/>
            <w:tcBorders>
              <w:top w:val="single" w:color="auto" w:sz="4" w:space="0"/>
              <w:left w:val="single" w:color="000000" w:sz="4" w:space="0"/>
              <w:bottom w:val="single" w:color="auto" w:sz="4" w:space="0"/>
              <w:right w:val="single" w:color="000000" w:sz="4" w:space="0"/>
            </w:tcBorders>
            <w:vAlign w:val="center"/>
          </w:tcPr>
          <w:p>
            <w:pPr>
              <w:jc w:val="left"/>
              <w:textAlignment w:val="center"/>
              <w:rPr>
                <w:rFonts w:ascii="宋体" w:cs="宋体"/>
              </w:rPr>
            </w:pPr>
            <w:r>
              <w:rPr>
                <w:rFonts w:hint="eastAsia" w:ascii="宋体" w:hAnsi="宋体" w:cs="宋体"/>
                <w:kern w:val="0"/>
              </w:rPr>
              <w:t>《防治煤与瓦斯突出细则》五十五条。</w:t>
            </w:r>
          </w:p>
        </w:tc>
        <w:tc>
          <w:tcPr>
            <w:tcW w:w="1321" w:type="dxa"/>
            <w:tcBorders>
              <w:top w:val="single" w:color="auto" w:sz="4" w:space="0"/>
              <w:left w:val="single" w:color="000000" w:sz="4" w:space="0"/>
              <w:bottom w:val="single" w:color="auto" w:sz="4" w:space="0"/>
              <w:right w:val="single" w:color="000000" w:sz="4" w:space="0"/>
            </w:tcBorders>
          </w:tcPr>
          <w:p>
            <w:pPr>
              <w:textAlignment w:val="top"/>
              <w:rPr>
                <w:rFonts w:ascii="宋体" w:cs="宋体"/>
              </w:rPr>
            </w:pPr>
          </w:p>
        </w:tc>
        <w:tc>
          <w:tcPr>
            <w:tcW w:w="1321" w:type="dxa"/>
            <w:tcBorders>
              <w:top w:val="single" w:color="auto" w:sz="4" w:space="0"/>
              <w:left w:val="single" w:color="000000" w:sz="4" w:space="0"/>
              <w:bottom w:val="single" w:color="auto" w:sz="4" w:space="0"/>
              <w:right w:val="single" w:color="000000" w:sz="4" w:space="0"/>
            </w:tcBorders>
          </w:tcPr>
          <w:p>
            <w:pPr>
              <w:textAlignment w:val="top"/>
              <w:rPr>
                <w:rFonts w:ascii="宋体" w:cs="宋体"/>
              </w:rPr>
            </w:pPr>
          </w:p>
        </w:tc>
        <w:tc>
          <w:tcPr>
            <w:tcW w:w="1312" w:type="dxa"/>
            <w:tcBorders>
              <w:top w:val="single" w:color="auto" w:sz="4" w:space="0"/>
              <w:left w:val="single" w:color="000000" w:sz="4" w:space="0"/>
              <w:bottom w:val="single" w:color="auto"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26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瓦斯抽采达标评判否决条件</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瓦斯抽采系统、瓦斯抽采规划、年度计划、瓦斯抽采达标工艺方案设计、抽采工程竣工验收资料、抽采计量测点设置等符合要求。否则判定为瓦斯抽采基础条件不达标。</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《煤矿瓦斯抽采达标暂行规定》第二十二条。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27</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瓦斯抽采达标评判报告</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区域防突措施效果检验合格后，方可开展瓦斯抽采达标评判。瓦斯抽采达标评判报告，并由矿井技术负责人和主要负责人批准。</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《煤矿瓦斯抽采达标暂行规定》第二十一条。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28</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预抽煤层瓦斯效果评判应包括抽采钻孔有效控制范围界定、抽采钻孔布孔均匀程度评价、抽采瓦斯效果评判指标测定、抽采效果达标评判等内容。</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《煤矿瓦斯抽采达标暂行规定》第二十三条。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29</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采用倾角大于等于</w:t>
            </w:r>
            <w:r>
              <w:rPr>
                <w:rFonts w:ascii="宋体" w:hAnsi="宋体" w:cs="宋体"/>
                <w:kern w:val="0"/>
              </w:rPr>
              <w:t>25</w:t>
            </w:r>
            <w:r>
              <w:rPr>
                <w:rFonts w:hint="eastAsia" w:ascii="宋体" w:hAnsi="宋体" w:cs="宋体"/>
                <w:kern w:val="0"/>
              </w:rPr>
              <w:t>°的下向顺层钻孔预抽煤层瓦斯区域防突措施时，应当采取有效防范钻孔积水、确保抽采效果的技术措施，否则不得采用。</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《防治煤与瓦斯突出细则》第六十七条第四款。</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30</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对瓦斯涌出量主要来自于开采层的采煤工作面，评价范围内开采煤层的可解吸瓦斯量应符合规定。对瓦斯涌出量主要来自于邻近层或围岩的采煤工作面，采煤工作面瓦斯抽采率应符合规定。矿井瓦斯抽采率符合规定。</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《煤矿瓦斯抽采达标暂行规定》第二十七条，《煤矿瓦斯抽采基本指标》（</w:t>
            </w:r>
            <w:r>
              <w:rPr>
                <w:rFonts w:ascii="宋体" w:hAnsi="宋体" w:cs="宋体"/>
                <w:kern w:val="0"/>
              </w:rPr>
              <w:t>AQ1026-2006</w:t>
            </w:r>
            <w:r>
              <w:rPr>
                <w:rFonts w:hint="eastAsia" w:ascii="宋体" w:hAnsi="宋体" w:cs="宋体"/>
                <w:kern w:val="0"/>
              </w:rPr>
              <w:t>）</w:t>
            </w:r>
            <w:r>
              <w:rPr>
                <w:rFonts w:ascii="宋体" w:hAnsi="宋体" w:cs="宋体"/>
                <w:kern w:val="0"/>
              </w:rPr>
              <w:t>4.2</w:t>
            </w:r>
            <w:r>
              <w:rPr>
                <w:rFonts w:hint="eastAsia" w:ascii="宋体" w:hAnsi="宋体" w:cs="宋体"/>
                <w:kern w:val="0"/>
              </w:rPr>
              <w:t>。</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13745" w:type="dxa"/>
            <w:gridSpan w:val="7"/>
            <w:tcBorders>
              <w:top w:val="single" w:color="000000" w:sz="4" w:space="0"/>
              <w:left w:val="single" w:color="000000" w:sz="4" w:space="0"/>
              <w:bottom w:val="single" w:color="000000" w:sz="4" w:space="0"/>
              <w:right w:val="single" w:color="auto" w:sz="4" w:space="0"/>
            </w:tcBorders>
          </w:tcPr>
          <w:p>
            <w:pPr>
              <w:jc w:val="left"/>
              <w:textAlignment w:val="top"/>
              <w:rPr>
                <w:rFonts w:ascii="宋体" w:cs="宋体"/>
                <w:kern w:val="0"/>
              </w:rPr>
            </w:pPr>
            <w:r>
              <w:rPr>
                <w:rFonts w:hint="eastAsia" w:ascii="黑体" w:hAnsi="黑体" w:eastAsia="黑体" w:cs="黑体"/>
                <w:kern w:val="0"/>
              </w:rPr>
              <w:t>（四）安全防护措施</w:t>
            </w: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rPr>
            </w:pPr>
            <w:r>
              <w:rPr>
                <w:rFonts w:hint="eastAsia" w:ascii="宋体" w:hAnsi="宋体" w:cs="宋体"/>
                <w:kern w:val="0"/>
                <w:lang w:val="en-US" w:eastAsia="zh-CN"/>
              </w:rPr>
              <w:t>31</w:t>
            </w:r>
            <w:r>
              <w:rPr>
                <w:rFonts w:hint="eastAsia" w:ascii="宋体" w:hAnsi="宋体" w:cs="宋体"/>
                <w:kern w:val="0"/>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压风自救</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突出煤层采掘工作面附近、爆破撤离人员集中地点、起爆地点必须设有直通矿调度室的电话，并设置有供给压缩空气的避险设施或者压风自救装置、供水施救设施。</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《煤矿安全规程》第二百二十三条，《防治煤与瓦斯突出细则》第一百二十一条。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32</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远距离爆破</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井巷揭穿突出煤层和突出煤层的炮掘、炮采工作面必须采取远距离爆破安全防护措施。</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《防治煤与瓦斯突出细则》第一百二十条。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auto"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13745" w:type="dxa"/>
            <w:gridSpan w:val="7"/>
            <w:tcBorders>
              <w:top w:val="single" w:color="000000" w:sz="4" w:space="0"/>
              <w:left w:val="single" w:color="000000" w:sz="4" w:space="0"/>
              <w:bottom w:val="single" w:color="000000" w:sz="4" w:space="0"/>
              <w:right w:val="single" w:color="auto" w:sz="4" w:space="0"/>
            </w:tcBorders>
          </w:tcPr>
          <w:p>
            <w:pPr>
              <w:jc w:val="left"/>
              <w:textAlignment w:val="top"/>
              <w:rPr>
                <w:rFonts w:ascii="宋体" w:hAnsi="宋体" w:cs="宋体"/>
                <w:kern w:val="0"/>
              </w:rPr>
            </w:pPr>
            <w:r>
              <w:rPr>
                <w:rFonts w:hint="eastAsia" w:ascii="黑体" w:hAnsi="黑体" w:eastAsia="黑体" w:cs="黑体"/>
                <w:kern w:val="0"/>
              </w:rPr>
              <w:t>（五）防灭火</w:t>
            </w: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33</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kern w:val="0"/>
              </w:rPr>
            </w:pPr>
            <w:r>
              <w:rPr>
                <w:rFonts w:hint="eastAsia" w:ascii="宋体" w:hAnsi="宋体" w:cs="宋体"/>
                <w:kern w:val="0"/>
              </w:rPr>
              <w:t>防灭火管理</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kern w:val="0"/>
              </w:rPr>
            </w:pPr>
            <w:r>
              <w:rPr>
                <w:rFonts w:hint="eastAsia" w:ascii="宋体" w:hAnsi="宋体" w:cs="宋体"/>
                <w:kern w:val="0"/>
              </w:rPr>
              <w:t>煤矿企业、煤矿应当明确防灭火工作负责部门，建立健全防灭火管理制度和各级岗位责任制度；开采容易自燃和自燃煤层的矿井应当配备满足需要的防灭火专业技术人员；防灭火专业技术人员应明确专业技术要求、最低人数等。</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kern w:val="0"/>
              </w:rPr>
            </w:pPr>
            <w:r>
              <w:rPr>
                <w:rFonts w:hint="eastAsia" w:ascii="宋体" w:hAnsi="宋体" w:cs="宋体"/>
                <w:kern w:val="0"/>
              </w:rPr>
              <w:t>《煤矿防灭火细则》第三条。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kern w:val="0"/>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kern w:val="0"/>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hAnsi="宋体" w:cs="宋体"/>
                <w:kern w:val="0"/>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34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自燃倾向性鉴定</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矿井按规定对平均厚度为0.3m以上煤层进行自燃倾向性鉴定，生产矿井延深新水平时，必须重新对平均厚度为0.3m以上煤层的自燃倾向性进行鉴定。结果报省级煤炭行业管理部门及省级矿山安全监察局。</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《煤矿安全规程》第二百六十条，《煤矿防灭火细则》第十二条。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35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煤层发火期</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矿井必须考察煤层最短自然发火期。</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《煤矿防灭火细则》第十三条</w:t>
            </w:r>
            <w:r>
              <w:rPr>
                <w:rStyle w:val="72"/>
                <w:rFonts w:hint="eastAsia" w:ascii="宋体" w:hAnsi="宋体" w:cs="宋体"/>
                <w:color w:val="auto"/>
              </w:rPr>
              <w:t>。</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36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防火系统</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cs="宋体"/>
                <w:kern w:val="0"/>
              </w:rPr>
              <w:t>开采容易自燃和自燃煤层的矿井，必须建立注浆系统或者注惰性气体防火系统，并建立煤矿自然发火监测系统。</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《煤矿防灭火细则》第五条</w:t>
            </w:r>
            <w:r>
              <w:rPr>
                <w:rStyle w:val="72"/>
                <w:rFonts w:hint="eastAsia" w:ascii="宋体" w:hAnsi="宋体" w:cs="宋体"/>
                <w:color w:val="auto"/>
              </w:rPr>
              <w:t>。</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37</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自然发火标志气体及临界值</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cs="宋体"/>
                <w:kern w:val="0"/>
              </w:rPr>
              <w:t>开采容易自燃和自燃煤层的矿井，必须确定煤层自然发火标志气体及临界值。自然发火标志气体的临界值应当通过实验研究、现场观测和统计分析确定。</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《煤矿防灭火细则》第五十二条</w:t>
            </w:r>
            <w:r>
              <w:rPr>
                <w:rStyle w:val="72"/>
                <w:rFonts w:hint="eastAsia" w:ascii="宋体" w:hAnsi="宋体" w:cs="宋体"/>
                <w:color w:val="auto"/>
              </w:rPr>
              <w:t>。</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38</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自然发火“三带”范围测定</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cs="宋体"/>
                <w:kern w:val="0"/>
              </w:rPr>
              <w:t>开采容易自燃和自燃煤层时，同一煤层应当至少测定</w:t>
            </w:r>
            <w:r>
              <w:rPr>
                <w:rFonts w:ascii="宋体" w:hAnsi="宋体" w:cs="宋体"/>
                <w:kern w:val="0"/>
              </w:rPr>
              <w:t>1</w:t>
            </w:r>
            <w:r>
              <w:rPr>
                <w:rFonts w:hint="eastAsia" w:ascii="宋体" w:hAnsi="宋体" w:cs="宋体"/>
                <w:kern w:val="0"/>
              </w:rPr>
              <w:t>次采煤工作面采空区自然发火“三带”分布范围。当采煤工作面采煤方法、通风方式等发生重大变化时，应当重新测定。</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《煤矿防灭火细则》第十四条</w:t>
            </w:r>
            <w:r>
              <w:rPr>
                <w:rStyle w:val="72"/>
                <w:rFonts w:hint="eastAsia" w:ascii="宋体" w:hAnsi="宋体" w:cs="宋体"/>
                <w:color w:val="auto"/>
              </w:rPr>
              <w:t>。</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39</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防灭火专项设计</w:t>
            </w:r>
            <w:r>
              <w:rPr>
                <w:rFonts w:hint="eastAsia"/>
                <w:kern w:val="0"/>
              </w:rPr>
              <w:t>、措施及落实</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cs="宋体"/>
                <w:kern w:val="0"/>
              </w:rPr>
              <w:t>开采容易自燃和自燃煤层的矿井，必须编制矿井防灭火专项设计，采取综合预防煤层自然发火的措施，建立自然发火监测系统，采取综合预防煤层自然发火的措施，加强防灭火管理。</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《煤矿安全规程》第二百六十条</w:t>
            </w:r>
            <w:r>
              <w:rPr>
                <w:rFonts w:hint="eastAsia"/>
                <w:kern w:val="0"/>
              </w:rPr>
              <w:t>，《煤矿防灭火细则》第七条。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40</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防火门墙</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cs="宋体"/>
                <w:kern w:val="0"/>
              </w:rPr>
              <w:t>开采容易自燃和自燃煤层时，在采区开采设计中，必须预先选定采煤工作面构筑防火门的位置。当采煤工作面通风系统形成后，必须按设计构筑防火门墙，并储备足够数量的封闭防火门的材料。</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《煤矿安全规程》第二百七十三条，《煤矿防灭火细则》第十八条。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41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永久密闭墙</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cs="宋体"/>
                <w:kern w:val="0"/>
              </w:rPr>
              <w:t>开采自燃和容易自燃煤层，应当及时构筑各类密闭并保证质量。密闭设计、构筑及质量等符合《矿井密闭防灭火技术规范》规定。</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《煤矿安全规程》第二百七十四条。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42</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kern w:val="0"/>
              </w:rPr>
            </w:pPr>
            <w:r>
              <w:rPr>
                <w:rFonts w:hint="eastAsia" w:ascii="宋体" w:hAnsi="宋体" w:eastAsia="宋体" w:cs="宋体"/>
                <w:kern w:val="0"/>
                <w:szCs w:val="21"/>
              </w:rPr>
              <w:t>封闭采空区防火</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矿井必须制定防止采空区自然发火的封闭及管理专项措施；</w:t>
            </w:r>
          </w:p>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 xml:space="preserve">    构筑、维修采空区密闭时必须编制设计，制定专项安全措施；</w:t>
            </w:r>
          </w:p>
          <w:p>
            <w:pPr>
              <w:adjustRightInd w:val="0"/>
              <w:snapToGrid w:val="0"/>
              <w:jc w:val="left"/>
              <w:textAlignment w:val="center"/>
              <w:rPr>
                <w:rFonts w:ascii="宋体" w:hAnsi="宋体" w:cs="宋体"/>
                <w:kern w:val="0"/>
              </w:rPr>
            </w:pPr>
            <w:r>
              <w:rPr>
                <w:rFonts w:hint="eastAsia" w:ascii="宋体" w:hAnsi="宋体" w:eastAsia="宋体" w:cs="宋体"/>
                <w:kern w:val="0"/>
                <w:szCs w:val="21"/>
              </w:rPr>
              <w:t xml:space="preserve">    每周1次抽取封闭采空区气样进行分析，并建立台账。与封闭采空区连通的各类废弃钻孔必须永久封闭。</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kern w:val="0"/>
              </w:rPr>
            </w:pPr>
            <w:r>
              <w:rPr>
                <w:rFonts w:hint="eastAsia" w:ascii="宋体" w:hAnsi="宋体" w:eastAsia="宋体" w:cs="宋体"/>
                <w:kern w:val="0"/>
                <w:szCs w:val="21"/>
              </w:rPr>
              <w:t>《煤矿安全规程》第二百七十四条，《煤矿防灭火细则》）第二十二条。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kern w:val="0"/>
              </w:rPr>
            </w:pPr>
            <w:r>
              <w:rPr>
                <w:rFonts w:hint="eastAsia" w:ascii="宋体" w:hAnsi="宋体" w:cs="宋体"/>
                <w:kern w:val="0"/>
                <w:lang w:val="en-US" w:eastAsia="zh-CN"/>
              </w:rPr>
              <w:t>43</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kern w:val="0"/>
              </w:rPr>
            </w:pPr>
            <w:r>
              <w:rPr>
                <w:rFonts w:hint="eastAsia" w:ascii="宋体" w:hAnsi="宋体" w:eastAsia="宋体" w:cs="宋体"/>
                <w:kern w:val="0"/>
                <w:szCs w:val="21"/>
              </w:rPr>
              <w:t>防治自然发火技术措施</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开采容易自燃和自燃煤层时，必须制定防治采空区(特别是工作面始采线、终采线、上下煤柱线和三角点)、巷道高冒区、煤柱破坏区自然发火的技术措施。</w:t>
            </w:r>
          </w:p>
          <w:p>
            <w:pPr>
              <w:adjustRightInd w:val="0"/>
              <w:snapToGrid w:val="0"/>
              <w:jc w:val="left"/>
              <w:textAlignment w:val="center"/>
              <w:rPr>
                <w:rFonts w:ascii="宋体" w:hAnsi="宋体" w:cs="宋体"/>
                <w:kern w:val="0"/>
              </w:rPr>
            </w:pPr>
            <w:r>
              <w:rPr>
                <w:rFonts w:hint="eastAsia" w:ascii="宋体" w:hAnsi="宋体" w:cs="宋体"/>
                <w:kern w:val="0"/>
              </w:rPr>
              <w:t>煤矿应加强井下火灾监测监控，开采容易自燃和自燃煤层的矿井，应建立健全自然发火预测预报及管理制度 。</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kern w:val="0"/>
              </w:rPr>
            </w:pPr>
            <w:r>
              <w:rPr>
                <w:rFonts w:hint="eastAsia" w:ascii="宋体" w:hAnsi="宋体" w:eastAsia="宋体" w:cs="宋体"/>
                <w:kern w:val="0"/>
                <w:szCs w:val="21"/>
              </w:rPr>
              <w:t>《煤矿安全规程》第二百六十五条，《煤矿防灭火细则》）第二十一条，</w:t>
            </w:r>
            <w:r>
              <w:rPr>
                <w:rFonts w:hint="eastAsia" w:ascii="宋体" w:hAnsi="宋体" w:cs="宋体"/>
                <w:kern w:val="0"/>
              </w:rPr>
              <w:t>第五十九条</w:t>
            </w:r>
            <w:r>
              <w:rPr>
                <w:rFonts w:hint="eastAsia" w:ascii="宋体" w:hAnsi="宋体" w:eastAsia="宋体" w:cs="宋体"/>
                <w:kern w:val="0"/>
                <w:szCs w:val="21"/>
              </w:rPr>
              <w:t>。</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44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自动灭火、报警</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装有带式输送机的井筒兼作进风井时，井筒中必须装设自动报警与自动灭火装置，敷设消防管路。</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在井下设置空气压缩设备时，应当设自动灭火装置。固定式空气压缩机和储气罐必须设置在2个独立硐室内，并保证独立通风；移动式空气压缩机必须设置在采用不燃性材料支护且具有新鲜风流的巷道中。</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带式输送机必须装设防打滑、跑偏、堆煤、撕裂等保护装置，同时应装设温度、烟雾监测装置和自动洒水装置。宜设置具有实时监测功能的自动灭火系统。</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带式输送机驱动滚筒下风侧10m~15m处应设置烟雾传感器，宜设置一氧化碳传感器。对于采用卸载滚筒作驱动滚筒的带式输送机，烟雾传感器应安装在滚筒正上方。</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《煤矿防灭火细则》第三十五条，第四十六条，第五十五条。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45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采煤工作面封闭</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采煤工作面回采结束后，必须在45天内进行永久性封闭。</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《煤矿安全规程》第二百七十四条，《煤矿防灭火细则》）第二十二条。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46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采空区疏放水防火</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采空区疏放水前，应当对采空区自然发火的风险进行评估。采空区疏放水时，应当加强对采空区自然发火危险的监测与防控，制定防止采空区自然发火的专项措施。采空区疏放水后，应当关闭疏水闸阀，采用自动放水装置或者永久封堵，防止通过放水管漏风。</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《煤矿防灭火细则》）第二十二条。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47</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防火高分子材料评估、使用</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矿井防灭火使用的高分子材料，应当对其安全性和环保性进行评估，并制定安全监测制度和防范措施。使用时，井巷空气成分必须符合规定。</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安全性和环保性的评估工作应当由具备评估检测能力的机构承担，承担单位对评估检测结果负责。</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《煤矿安全规程》第二百五十九条，《煤矿防灭火细则》第二十九条。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48</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地面主要场所防火</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木料场、矸石山等堆放场距离进风井口不得小于80m。木料场距离矸石山不得小于50m。</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不得将矸石山设在进风井的主导风向上风侧、表土层10m以浅有煤层的地面上和漏风采空区上方的塌陷范围内。</w:t>
            </w:r>
          </w:p>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新建矿井的永久井架和井口房、以井口为中心的联合建筑，必须用不燃性材料建筑。</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对现有生产矿井用可燃性材料建筑的井架和井口房，必须制定防火措施。</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进风井口应装设防火铁门，防火铁门必须严密并易于关闭，打开时不妨碍提升、运输和人员通行，并应定期维修；如果不设防火门，必须有防止烟火进入矿井的安全措施。</w:t>
            </w:r>
          </w:p>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井口房和通风机房附近20m内，不得有烟火或用火炉取暖。</w:t>
            </w:r>
          </w:p>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通风机房位于工业广场以外时，除开采有瓦斯喷出的矿井和突出矿井外，可用隔焰式火炉或防爆式电热器取暖。</w:t>
            </w:r>
          </w:p>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暖风道和压入式通风的风硐用不燃性材料砌筑，至少装设2道防火门。</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在井下和井口房，严禁采用可燃性材料搭设临时操作间、休息间。</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《煤矿安全规程》第二百四十七条，第二百四十八条，第二百五十条，第二百五十一条，《煤矿防灭火细则》第三十一条，第三十二条，第三十四条，第三十六条。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49</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eastAsia="宋体" w:cs="宋体"/>
                <w:kern w:val="0"/>
                <w:szCs w:val="21"/>
              </w:rPr>
              <w:t>烧焊管理</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eastAsia="宋体" w:cs="宋体"/>
                <w:kern w:val="0"/>
                <w:szCs w:val="21"/>
              </w:rPr>
              <w:t>严禁在采掘工作面进行电焊、气割等动火作业。井下和井口房内不得进行电焊、气焊和喷灯焊接等作业。如果必须在井下主要硐室、主要进风井巷和井口房内进行电焊、气焊和喷灯焊接等工作，每次必须制定安全措施，由矿长批准。安全措施内容符合规程要求。</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eastAsia="宋体" w:cs="宋体"/>
                <w:kern w:val="0"/>
                <w:szCs w:val="21"/>
              </w:rPr>
              <w:t>《煤矿安全规程》第二百五十四条，《煤矿防灭火细则》第三十九条。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50</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高分子材料选用</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煤矿在井下煤岩体加固、充填密闭、喷涂堵漏风等施工中，应当优先选用无机材料，确需选用反应型高分子材料时，应当符合规定。</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《煤矿防灭火细则》第四十条。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51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渗油矿井防火</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开采地层含油的矿井，应当加强对地层渗出油的防火管理，制定专项防火措施。</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《煤矿防灭火细则》）第四十二条。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52</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 xml:space="preserve">消防材料库 </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井上、下必须按规定设置消防材料库，消防材料配备符合规定。</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《煤矿安全规程》第二百五十六条，《煤矿防灭火细则》）第四十三条。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53</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井下灭火器材配备</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井下爆炸物品库、机电设备硐室、检修硐室、材料库、井底车场、使用带式输送机或者液力耦合器的巷道以及采掘工作面附近的巷道中，必须备有灭火器材，其数量、规格和存放地点，应当在灾害预防和处理计划中确定。</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《煤矿安全规程》第二百五十七条，《煤矿防灭火细则》）第四十四条。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54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材料阻燃、抗静电</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矿用电缆、风筒、采用非金属聚合物制造的输送带、托辊和滚筒包胶材料等，其性能必须满足阻燃、抗静电的要求。</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 xml:space="preserve">    煤矿新购入的输送带、电缆、风筒布，应当抽样进行阻燃抗静电性能检测，检测工作应当由具备检测能力的机构承担。</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《煤矿防灭火细则》）第四十七条。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55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无轨胶轮车防火</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矿用无轨胶轮车必须配备足够数量的灭火器材，运输时应当遵循分类原则，易燃、易爆和腐蚀性物品不得混合运送。</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《煤矿防灭火细则》）第四十八条。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56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阻化剂防灭火技术措施</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采用阻化剂防灭火时，选用的阻化剂材料不得污染井下空气和危害人体健康；必须在设计中对阻化剂的种类和数量、阻化效果等主要参数作出明确规定；应当采取防止阻化剂腐蚀机械设备、支架等金属构件的措施。</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《煤矿安全规程》第二百六十八条，《煤矿防灭火细则》）第八十条。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57</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凝胶防灭火</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采用凝胶防灭火时，选用的凝胶材料不得污染井下空气和危害人体健康，编制的设计中应当明确规定凝胶的配方、促凝时间和压注量等参数； 煤巷高冒区、局部有自燃危险煤柱裂隙和空洞等地点采用凝胶防火时，压注的凝胶必须充填满全部空间，其外表面应当喷浆封闭，并定期观测，发现老化、干裂时重新压注；禁止使用含铵盐促凝剂凝胶材料。</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《煤矿安全规程》第二百六十九条，《煤矿防灭火细则》）第八十一条。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58</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火灾防治</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煤矿年度灾害预防和处理计划中的火灾防治内容必须根据具体情况及时修改。</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煤矿必须编制火灾事故应急预案，每年至少组织1次应急预案演练。</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《煤矿防灭火细则》）第六条。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59</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火区管理</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绘制火区位置关系图，注明所有火区和曾经发火的地点、永久性密闭墙及其编号。每一处火区都要按形成的先后顺序进行编号，并建立火区管理卡片。火区位置关系图和火区管理卡片必须永久保存。</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要定期测定和分析永久性密闭墙内外的气体成分、空气温度、瓦斯浓度，密闭墙内外空气压差以及密闭墙墙体，所有测定和检查结果，必须记入防火记录簿。</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不得在火区的同一煤层的周围进行采掘工作。</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《煤矿安全规程》第二百七十七条，第二百七十八条，第二百八十一条，《煤矿防灭火细则》）第九十九条，第一百零二条，第一百零三条。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60</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启封火区</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启封已熄灭的火区前，必须制定安全措施。</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封闭的火区，只有经取样化验证实火已熄灭后，方可启封。</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《煤矿安全规程》第二百八十条，第二百七十九条，《煤矿防灭火细则》）第一百零六条，第一百零四条。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61</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管理台账</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定期检测注浆防火区域采空区的出水温度和气体成分变化情况，并建立注浆防火区域管理台账。</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《煤矿防灭火细则》）第六十五条。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62</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瓦斯抽采泵房防火</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建设地面瓦斯抽采泵房必须用不燃性材料，并必须有防雷电装置，其距进风井口和主要建筑物不得小于50m，并用栅栏或者围墙保护。</w:t>
            </w:r>
          </w:p>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地面瓦斯抽采泵房和泵房周围20m范围内，禁止堆积易燃物和有明火。</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干式抽采瓦斯泵吸气侧管路系统中，必须装设有防回火、防回流和防爆炸作用的安全装置，并定期检查。</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《煤矿防灭火细则》）第四十九条。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63</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eastAsia="宋体" w:cs="宋体"/>
                <w:kern w:val="0"/>
                <w:szCs w:val="21"/>
              </w:rPr>
            </w:pPr>
            <w:r>
              <w:rPr>
                <w:rFonts w:hint="eastAsia" w:ascii="宋体" w:hAnsi="宋体" w:eastAsia="宋体" w:cs="宋体"/>
                <w:kern w:val="0"/>
                <w:szCs w:val="21"/>
              </w:rPr>
              <w:t>井下油品管理</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井下使用的汽油、柴油、煤油必须装入盖严的铁桶内，由专人押运送至使用地点，剩余的汽油、煤油必须运回地面，严禁在井下存放。</w:t>
            </w:r>
          </w:p>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井下使用柴油机车，如确需在井下贮存柴油的，必须设有独立通风的专用贮存硐室，并制定安全措施。井下柴油最大贮存量不得超过矿井3天柴油需要量。专用贮存硐室应当满足井下机电设备硐室的安全要求。</w:t>
            </w:r>
          </w:p>
          <w:p>
            <w:pPr>
              <w:adjustRightInd w:val="0"/>
              <w:snapToGrid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rPr>
              <w:t>井下使用的润滑油、棉纱、布头和纸等，必须存放在盖严的铁桶内。使用后的棉纱、布头和纸，也必须放在盖严的铁桶内，并由专人定期送到地面处理，不得乱放乱扔。严禁将剩油、废油泼洒在井巷或者硐室内。</w:t>
            </w:r>
          </w:p>
          <w:p>
            <w:pPr>
              <w:adjustRightInd w:val="0"/>
              <w:snapToGrid w:val="0"/>
              <w:jc w:val="left"/>
              <w:textAlignment w:val="center"/>
              <w:rPr>
                <w:rFonts w:ascii="宋体" w:hAnsi="宋体" w:eastAsia="宋体" w:cs="宋体"/>
                <w:kern w:val="0"/>
                <w:szCs w:val="21"/>
              </w:rPr>
            </w:pPr>
            <w:r>
              <w:rPr>
                <w:rFonts w:hint="eastAsia" w:ascii="宋体" w:hAnsi="宋体" w:eastAsia="宋体" w:cs="宋体"/>
                <w:kern w:val="0"/>
                <w:szCs w:val="21"/>
              </w:rPr>
              <w:t>井下清洗风动工具时，必须在专用硐室内进行，并使用不燃性和无毒性洗涤剂。</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eastAsia="宋体" w:cs="宋体"/>
                <w:kern w:val="0"/>
                <w:szCs w:val="21"/>
              </w:rPr>
            </w:pPr>
            <w:r>
              <w:rPr>
                <w:rFonts w:hint="eastAsia" w:ascii="宋体" w:hAnsi="宋体" w:eastAsia="宋体" w:cs="宋体"/>
                <w:kern w:val="0"/>
                <w:szCs w:val="21"/>
              </w:rPr>
              <w:t>《煤矿防灭火细则》第四十一条。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hAnsi="宋体" w:cs="宋体" w:eastAsiaTheme="minorEastAsia"/>
                <w:kern w:val="0"/>
                <w:lang w:val="en-US" w:eastAsia="zh-CN"/>
              </w:rPr>
            </w:pPr>
            <w:r>
              <w:rPr>
                <w:rFonts w:hint="eastAsia" w:ascii="宋体" w:hAnsi="宋体" w:cs="宋体"/>
                <w:kern w:val="0"/>
                <w:lang w:val="en-US" w:eastAsia="zh-CN"/>
              </w:rPr>
              <w:t>64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kern w:val="0"/>
              </w:rPr>
            </w:pPr>
            <w:r>
              <w:rPr>
                <w:rFonts w:hint="eastAsia" w:ascii="宋体" w:hAnsi="宋体" w:cs="宋体"/>
                <w:kern w:val="0"/>
              </w:rPr>
              <w:t>煤尘爆炸性鉴定</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hAnsi="宋体" w:cs="宋体"/>
                <w:kern w:val="0"/>
              </w:rPr>
            </w:pPr>
            <w:r>
              <w:rPr>
                <w:rFonts w:hint="eastAsia" w:ascii="宋体" w:hAnsi="宋体" w:cs="宋体"/>
                <w:kern w:val="0"/>
              </w:rPr>
              <w:t>生产矿井每延深一个新水平，应进行</w:t>
            </w:r>
            <w:r>
              <w:rPr>
                <w:rFonts w:ascii="宋体" w:hAnsi="宋体" w:cs="宋体"/>
                <w:kern w:val="0"/>
              </w:rPr>
              <w:t>1</w:t>
            </w:r>
            <w:r>
              <w:rPr>
                <w:rFonts w:hint="eastAsia" w:ascii="宋体" w:hAnsi="宋体" w:cs="宋体"/>
                <w:kern w:val="0"/>
              </w:rPr>
              <w:t>次煤尘爆炸性鉴定，鉴定结果报省级煤炭行业管理部门和矿山安全监察机构。</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《煤矿安全规程》第一百八十五条。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65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防尘管路系统</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cs="宋体"/>
                <w:kern w:val="0"/>
              </w:rPr>
              <w:t>主要运输巷、带式输送机斜井与平巷、上山与下山、采区运输巷与回风巷、采煤工作面运输巷与回风巷、掘进巷道、煤仓放煤口、溜煤眼放煤口、卸载点等地点必须敷设防尘供水管路，并安设支管和阀门。</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《煤矿安全规程》第六百四十四条。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66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隔爆设施</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cs="宋体"/>
                <w:kern w:val="0"/>
              </w:rPr>
              <w:t>高瓦斯矿井、突出矿井和有煤尘爆炸危险的矿井，煤巷和半煤岩巷掘进工作面应当安设隔爆设施。</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《煤矿安全规程》第一百八十八条。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auto"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13745" w:type="dxa"/>
            <w:gridSpan w:val="7"/>
            <w:tcBorders>
              <w:top w:val="single" w:color="000000" w:sz="4" w:space="0"/>
              <w:left w:val="single" w:color="000000" w:sz="4" w:space="0"/>
              <w:bottom w:val="single" w:color="000000" w:sz="4" w:space="0"/>
              <w:right w:val="single" w:color="auto" w:sz="4" w:space="0"/>
            </w:tcBorders>
          </w:tcPr>
          <w:p>
            <w:pPr>
              <w:adjustRightInd w:val="0"/>
              <w:snapToGrid w:val="0"/>
              <w:jc w:val="left"/>
              <w:textAlignment w:val="top"/>
              <w:rPr>
                <w:rFonts w:ascii="宋体" w:cs="宋体"/>
                <w:kern w:val="0"/>
              </w:rPr>
            </w:pPr>
            <w:r>
              <w:rPr>
                <w:rFonts w:hint="eastAsia" w:ascii="黑体" w:hAnsi="黑体" w:eastAsia="黑体" w:cs="黑体"/>
                <w:kern w:val="0"/>
              </w:rPr>
              <w:t>（六）矿井安全监控系统</w:t>
            </w: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67</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安全监控系统建立</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cs="宋体"/>
                <w:kern w:val="0"/>
              </w:rPr>
              <w:t>安全监控系统显示和控制终端必须设置在矿调度室，全面反映监控信息。矿调度室必须</w:t>
            </w:r>
            <w:r>
              <w:rPr>
                <w:rFonts w:ascii="宋体" w:hAnsi="宋体" w:cs="宋体"/>
                <w:kern w:val="0"/>
              </w:rPr>
              <w:t>24h</w:t>
            </w:r>
            <w:r>
              <w:rPr>
                <w:rFonts w:hint="eastAsia" w:ascii="宋体" w:hAnsi="宋体" w:cs="宋体"/>
                <w:kern w:val="0"/>
              </w:rPr>
              <w:t>有监控人员值班。</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《煤矿安全规程》第四百八十九条。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auto"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68</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cs="宋体"/>
                <w:spacing w:val="-6"/>
                <w:kern w:val="0"/>
              </w:rPr>
              <w:t>监控网络应当通过网络安全设备与其他网络互通互联。安全监控系统主机及联网主机应当双机热备份，</w:t>
            </w:r>
            <w:r>
              <w:rPr>
                <w:rFonts w:ascii="宋体" w:hAnsi="宋体" w:cs="宋体"/>
                <w:spacing w:val="-6"/>
                <w:kern w:val="0"/>
              </w:rPr>
              <w:t>24h</w:t>
            </w:r>
            <w:r>
              <w:rPr>
                <w:rFonts w:hint="eastAsia" w:ascii="宋体" w:hAnsi="宋体" w:cs="宋体"/>
                <w:spacing w:val="-6"/>
                <w:kern w:val="0"/>
              </w:rPr>
              <w:t>不间断运行。当工作主机发生故障时，备份主机应当在</w:t>
            </w:r>
            <w:r>
              <w:rPr>
                <w:rFonts w:ascii="宋体" w:hAnsi="宋体" w:cs="宋体"/>
                <w:spacing w:val="-6"/>
                <w:kern w:val="0"/>
              </w:rPr>
              <w:t>5</w:t>
            </w:r>
            <w:r>
              <w:rPr>
                <w:rFonts w:hint="eastAsia" w:ascii="宋体" w:hAnsi="宋体" w:cs="宋体"/>
                <w:spacing w:val="-6"/>
                <w:kern w:val="0"/>
              </w:rPr>
              <w:t>分钟内自动投入工作。</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《煤矿安全规程》第四百八十九条。</w:t>
            </w:r>
          </w:p>
        </w:tc>
        <w:tc>
          <w:tcPr>
            <w:tcW w:w="1321" w:type="dxa"/>
            <w:tcBorders>
              <w:top w:val="single" w:color="000000" w:sz="4" w:space="0"/>
              <w:left w:val="single" w:color="000000" w:sz="4" w:space="0"/>
              <w:bottom w:val="single" w:color="000000" w:sz="4" w:space="0"/>
              <w:right w:val="single" w:color="000000" w:sz="4" w:space="0"/>
            </w:tcBorders>
          </w:tcPr>
          <w:p>
            <w:pP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rPr>
                <w:rFonts w:ascii="宋体" w:cs="宋体"/>
              </w:rPr>
            </w:pPr>
          </w:p>
        </w:tc>
        <w:tc>
          <w:tcPr>
            <w:tcW w:w="1312" w:type="dxa"/>
            <w:tcBorders>
              <w:top w:val="single" w:color="000000" w:sz="4" w:space="0"/>
              <w:left w:val="single" w:color="000000" w:sz="4" w:space="0"/>
              <w:bottom w:val="single" w:color="000000" w:sz="4" w:space="0"/>
              <w:right w:val="single" w:color="auto" w:sz="4" w:space="0"/>
            </w:tcBorders>
          </w:tcPr>
          <w:p>
            <w:pP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69</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安全监控数据保存与上传</w:t>
            </w:r>
          </w:p>
        </w:tc>
        <w:tc>
          <w:tcPr>
            <w:tcW w:w="558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textAlignment w:val="center"/>
              <w:rPr>
                <w:rFonts w:ascii="宋体" w:cs="宋体"/>
              </w:rPr>
            </w:pPr>
            <w:r>
              <w:rPr>
                <w:rFonts w:hint="eastAsia" w:ascii="宋体" w:hAnsi="宋体" w:cs="宋体"/>
                <w:kern w:val="0"/>
              </w:rPr>
              <w:t>每</w:t>
            </w:r>
            <w:r>
              <w:rPr>
                <w:rFonts w:ascii="宋体" w:hAnsi="宋体" w:cs="宋体"/>
                <w:kern w:val="0"/>
              </w:rPr>
              <w:t>3</w:t>
            </w:r>
            <w:r>
              <w:rPr>
                <w:rFonts w:hint="eastAsia" w:ascii="宋体" w:hAnsi="宋体" w:cs="宋体"/>
                <w:kern w:val="0"/>
              </w:rPr>
              <w:t>个月对安全监控数据进行备份，备份的数据介质保存时间应当不少于</w:t>
            </w:r>
            <w:r>
              <w:rPr>
                <w:rFonts w:ascii="宋体" w:hAnsi="宋体" w:cs="宋体"/>
                <w:kern w:val="0"/>
              </w:rPr>
              <w:t>2</w:t>
            </w:r>
            <w:r>
              <w:rPr>
                <w:rFonts w:hint="eastAsia" w:ascii="宋体" w:hAnsi="宋体" w:cs="宋体"/>
                <w:kern w:val="0"/>
              </w:rPr>
              <w:t>年。图纸、技术资料的保存时间应当不少于</w:t>
            </w:r>
            <w:r>
              <w:rPr>
                <w:rFonts w:ascii="宋体" w:hAnsi="宋体" w:cs="宋体"/>
                <w:kern w:val="0"/>
              </w:rPr>
              <w:t>2</w:t>
            </w:r>
            <w:r>
              <w:rPr>
                <w:rFonts w:hint="eastAsia" w:ascii="宋体" w:hAnsi="宋体" w:cs="宋体"/>
                <w:kern w:val="0"/>
              </w:rPr>
              <w:t>年。录音应当保存</w:t>
            </w:r>
            <w:r>
              <w:rPr>
                <w:rFonts w:ascii="宋体" w:hAnsi="宋体" w:cs="宋体"/>
                <w:kern w:val="0"/>
              </w:rPr>
              <w:t>3</w:t>
            </w:r>
            <w:r>
              <w:rPr>
                <w:rFonts w:hint="eastAsia" w:ascii="宋体" w:hAnsi="宋体" w:cs="宋体"/>
                <w:kern w:val="0"/>
              </w:rPr>
              <w:t>个月以上。安全监控系统必须具备实时上传监控数据的功能并上传。</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《煤矿安全规程》第四百八十八条。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70</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甲烷传感器调校和测试</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按规定对甲烷传感起进行调校和测试，采用载体催化元件的甲烷传感器必须使用校准气样和空气气样在设备设置地点调校，每</w:t>
            </w:r>
            <w:r>
              <w:rPr>
                <w:rFonts w:ascii="宋体" w:hAnsi="宋体" w:cs="宋体"/>
                <w:kern w:val="0"/>
              </w:rPr>
              <w:t>15</w:t>
            </w:r>
            <w:r>
              <w:rPr>
                <w:rFonts w:hint="eastAsia" w:ascii="宋体" w:hAnsi="宋体" w:cs="宋体"/>
                <w:kern w:val="0"/>
              </w:rPr>
              <w:t>天至少</w:t>
            </w:r>
            <w:r>
              <w:rPr>
                <w:rFonts w:ascii="宋体" w:hAnsi="宋体" w:cs="宋体"/>
                <w:kern w:val="0"/>
              </w:rPr>
              <w:t>1</w:t>
            </w:r>
            <w:r>
              <w:rPr>
                <w:rFonts w:hint="eastAsia" w:ascii="宋体" w:hAnsi="宋体" w:cs="宋体"/>
                <w:kern w:val="0"/>
              </w:rPr>
              <w:t>次。</w:t>
            </w:r>
          </w:p>
        </w:tc>
        <w:tc>
          <w:tcPr>
            <w:tcW w:w="2336" w:type="dxa"/>
            <w:vMerge w:val="restart"/>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《煤矿安全规程》第四百九十二条，《煤矿安全监控系统及检测仪器使用管理规范》（</w:t>
            </w:r>
            <w:r>
              <w:rPr>
                <w:rFonts w:ascii="宋体" w:hAnsi="宋体" w:cs="宋体"/>
                <w:kern w:val="0"/>
              </w:rPr>
              <w:t>AQ1029—2019</w:t>
            </w:r>
            <w:r>
              <w:rPr>
                <w:rFonts w:hint="eastAsia" w:ascii="宋体" w:hAnsi="宋体" w:cs="宋体"/>
                <w:kern w:val="0"/>
              </w:rPr>
              <w:t>）</w:t>
            </w:r>
            <w:r>
              <w:rPr>
                <w:rFonts w:ascii="宋体" w:hAnsi="宋体" w:cs="宋体"/>
                <w:kern w:val="0"/>
              </w:rPr>
              <w:t>8.3.3</w:t>
            </w:r>
            <w:r>
              <w:rPr>
                <w:rFonts w:hint="eastAsia" w:ascii="宋体" w:hAnsi="宋体" w:cs="宋体"/>
                <w:kern w:val="0"/>
              </w:rPr>
              <w:t>。</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cs="宋体" w:eastAsiaTheme="minorEastAsia"/>
                <w:lang w:val="en-US" w:eastAsia="zh-CN"/>
              </w:rPr>
            </w:pPr>
            <w:r>
              <w:rPr>
                <w:rFonts w:hint="eastAsia" w:ascii="宋体" w:cs="宋体"/>
                <w:lang w:val="en-US" w:eastAsia="zh-CN"/>
              </w:rPr>
              <w:t>71</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甲烷电闭锁和风电闭锁功能每</w:t>
            </w:r>
            <w:r>
              <w:rPr>
                <w:rFonts w:ascii="宋体" w:hAnsi="宋体" w:cs="宋体"/>
                <w:kern w:val="0"/>
              </w:rPr>
              <w:t>15</w:t>
            </w:r>
            <w:r>
              <w:rPr>
                <w:rFonts w:hint="eastAsia" w:ascii="宋体" w:hAnsi="宋体" w:cs="宋体"/>
                <w:kern w:val="0"/>
              </w:rPr>
              <w:t>天至少测试</w:t>
            </w:r>
            <w:r>
              <w:rPr>
                <w:rFonts w:ascii="宋体" w:hAnsi="宋体" w:cs="宋体"/>
                <w:kern w:val="0"/>
              </w:rPr>
              <w:t>1</w:t>
            </w:r>
            <w:r>
              <w:rPr>
                <w:rFonts w:hint="eastAsia" w:ascii="宋体" w:hAnsi="宋体" w:cs="宋体"/>
                <w:kern w:val="0"/>
              </w:rPr>
              <w:t>次。可能造成局部通风机停电的，每半年调校</w:t>
            </w:r>
            <w:r>
              <w:rPr>
                <w:rFonts w:ascii="宋体" w:hAnsi="宋体" w:cs="宋体"/>
                <w:kern w:val="0"/>
              </w:rPr>
              <w:t>1</w:t>
            </w:r>
            <w:r>
              <w:rPr>
                <w:rFonts w:hint="eastAsia" w:ascii="宋体" w:hAnsi="宋体" w:cs="宋体"/>
                <w:kern w:val="0"/>
              </w:rPr>
              <w:t>次。采用激光原理的甲烷传感器等，每6个月至少调校1次。</w:t>
            </w:r>
          </w:p>
        </w:tc>
        <w:tc>
          <w:tcPr>
            <w:tcW w:w="2336"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72</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rPr>
            </w:pP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调校内容和方法符合规定。调校时测量值稳定显示持续时间大于</w:t>
            </w:r>
            <w:r>
              <w:rPr>
                <w:rFonts w:ascii="宋体" w:hAnsi="宋体" w:cs="宋体"/>
                <w:kern w:val="0"/>
              </w:rPr>
              <w:t>90s</w:t>
            </w:r>
            <w:r>
              <w:rPr>
                <w:rFonts w:hint="eastAsia" w:ascii="宋体" w:hAnsi="宋体" w:cs="宋体"/>
                <w:kern w:val="0"/>
              </w:rPr>
              <w:t>。传感器经过调校检测，误差仍超过规定值时，必须立即更换。</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《煤矿安全监控系统及检测仪器使用管理规范》（</w:t>
            </w:r>
            <w:r>
              <w:rPr>
                <w:rFonts w:ascii="宋体" w:hAnsi="宋体" w:cs="宋体"/>
                <w:kern w:val="0"/>
              </w:rPr>
              <w:t>AQ1029—2019</w:t>
            </w:r>
            <w:r>
              <w:rPr>
                <w:rFonts w:hint="eastAsia" w:ascii="宋体" w:hAnsi="宋体" w:cs="宋体"/>
                <w:kern w:val="0"/>
              </w:rPr>
              <w:t>）</w:t>
            </w:r>
            <w:r>
              <w:rPr>
                <w:rFonts w:ascii="宋体" w:hAnsi="宋体" w:cs="宋体"/>
                <w:kern w:val="0"/>
              </w:rPr>
              <w:t>8.3.3</w:t>
            </w:r>
            <w:r>
              <w:rPr>
                <w:rFonts w:hint="eastAsia" w:ascii="宋体" w:hAnsi="宋体" w:cs="宋体"/>
                <w:kern w:val="0"/>
              </w:rPr>
              <w:t>。</w:t>
            </w:r>
          </w:p>
        </w:tc>
        <w:tc>
          <w:tcPr>
            <w:tcW w:w="1321" w:type="dxa"/>
            <w:tcBorders>
              <w:top w:val="single" w:color="000000" w:sz="4" w:space="0"/>
              <w:left w:val="single" w:color="000000" w:sz="4" w:space="0"/>
              <w:bottom w:val="single" w:color="000000" w:sz="4" w:space="0"/>
              <w:right w:val="single" w:color="000000" w:sz="4" w:space="0"/>
            </w:tcBorders>
          </w:tcPr>
          <w:p>
            <w:pP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73</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安全监控设备故障闭锁功能及故障处理</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安全监控设备必须具有故障闭锁功能。当与闭锁控制有关的设备未投入正常运行或者故障时，必须切断该监控设备所监控区域的全部非本质安全型电气设备的电源并闭锁。</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《煤矿安全规程》第四百九十条。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74</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井下传感器设置</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煤矿井下设置传感器种类、数量、安装位置符合《煤矿安全规程》规定。</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《煤矿安全规程》第四百八十八条。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75</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监控系统造假</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矿井是否存在人为破坏、数据造假、遮挡传感器、修改后台数据、压风吹传感器等违法行为。</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cs="宋体"/>
              </w:rPr>
            </w:pPr>
            <w:r>
              <w:rPr>
                <w:rFonts w:hint="eastAsia" w:ascii="宋体" w:hAnsi="宋体" w:cs="宋体"/>
                <w:kern w:val="0"/>
              </w:rPr>
              <w:t>《中华人民共和国安全生产法》第三十六条第三款。</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auto" w:sz="4" w:space="0"/>
            </w:tcBorders>
          </w:tcPr>
          <w:p>
            <w:pPr>
              <w:textAlignment w:val="top"/>
              <w:rPr>
                <w:rFonts w:ascii="宋体" w:cs="宋体"/>
              </w:rPr>
            </w:pPr>
          </w:p>
        </w:tc>
      </w:tr>
      <w:tr>
        <w:tblPrEx>
          <w:tblCellMar>
            <w:top w:w="0" w:type="dxa"/>
            <w:left w:w="108" w:type="dxa"/>
            <w:bottom w:w="0" w:type="dxa"/>
            <w:right w:w="108" w:type="dxa"/>
          </w:tblCellMar>
        </w:tblPrEx>
        <w:trPr>
          <w:jc w:val="center"/>
        </w:trPr>
        <w:tc>
          <w:tcPr>
            <w:tcW w:w="13745" w:type="dxa"/>
            <w:gridSpan w:val="7"/>
            <w:tcBorders>
              <w:top w:val="single" w:color="000000" w:sz="4" w:space="0"/>
              <w:left w:val="single" w:color="000000" w:sz="4" w:space="0"/>
              <w:bottom w:val="single" w:color="000000" w:sz="4" w:space="0"/>
              <w:right w:val="single" w:color="auto" w:sz="4" w:space="0"/>
            </w:tcBorders>
          </w:tcPr>
          <w:p>
            <w:pPr>
              <w:jc w:val="left"/>
              <w:textAlignment w:val="center"/>
              <w:rPr>
                <w:rFonts w:ascii="宋体" w:cs="宋体"/>
                <w:kern w:val="0"/>
              </w:rPr>
            </w:pPr>
            <w:r>
              <w:rPr>
                <w:rFonts w:hint="eastAsia" w:ascii="黑体" w:hAnsi="黑体" w:eastAsia="黑体" w:cs="黑体"/>
                <w:kern w:val="0"/>
              </w:rPr>
              <w:t>（七）人员位置监测系统</w:t>
            </w: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76</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人员位置监测系统建立</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矿井必须装备人员位置监测系统，具有工作、备用主机，系统主机及系统联网主机双机或多机备份，</w:t>
            </w:r>
            <w:r>
              <w:rPr>
                <w:rFonts w:ascii="宋体" w:hAnsi="宋体" w:cs="宋体"/>
                <w:kern w:val="0"/>
              </w:rPr>
              <w:t>24h</w:t>
            </w:r>
            <w:r>
              <w:rPr>
                <w:rFonts w:hint="eastAsia" w:ascii="宋体" w:hAnsi="宋体" w:cs="宋体"/>
                <w:kern w:val="0"/>
              </w:rPr>
              <w:t>不间断运行。人员位置监测系统显示和控制终端必须设置在矿调度室。人员位置监测系统超员报警、入井超时、异常报警等相关功能必须符合要求。</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《煤矿安全规程》</w:t>
            </w:r>
            <w:r>
              <w:rPr>
                <w:rStyle w:val="72"/>
                <w:rFonts w:hint="eastAsia" w:ascii="宋体" w:hAnsi="宋体" w:cs="宋体"/>
                <w:color w:val="auto"/>
              </w:rPr>
              <w:t>第四百八十七条，</w:t>
            </w:r>
            <w:r>
              <w:rPr>
                <w:rFonts w:hint="eastAsia" w:ascii="宋体" w:hAnsi="宋体" w:cs="宋体"/>
                <w:kern w:val="0"/>
              </w:rPr>
              <w:t>第四百八十九条。</w:t>
            </w: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center"/>
              <w:rPr>
                <w:rFonts w:ascii="宋体" w:cs="宋体"/>
              </w:rPr>
            </w:pPr>
          </w:p>
        </w:tc>
        <w:tc>
          <w:tcPr>
            <w:tcW w:w="1312" w:type="dxa"/>
            <w:tcBorders>
              <w:top w:val="single" w:color="000000" w:sz="4" w:space="0"/>
              <w:left w:val="single" w:color="000000" w:sz="4" w:space="0"/>
              <w:bottom w:val="single" w:color="000000" w:sz="4" w:space="0"/>
              <w:right w:val="single" w:color="auto" w:sz="4" w:space="0"/>
            </w:tcBorders>
          </w:tcPr>
          <w:p>
            <w:pPr>
              <w:textAlignment w:val="center"/>
              <w:rPr>
                <w:rFonts w:ascii="宋体" w:cs="宋体"/>
              </w:rPr>
            </w:pPr>
          </w:p>
        </w:tc>
      </w:tr>
      <w:tr>
        <w:tblPrEx>
          <w:tblCellMar>
            <w:top w:w="0" w:type="dxa"/>
            <w:left w:w="108" w:type="dxa"/>
            <w:bottom w:w="0" w:type="dxa"/>
            <w:right w:w="108" w:type="dxa"/>
          </w:tblCellMar>
        </w:tblPrEx>
        <w:trPr>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default" w:ascii="宋体" w:cs="宋体" w:eastAsiaTheme="minorEastAsia"/>
                <w:lang w:val="en-US" w:eastAsia="zh-CN"/>
              </w:rPr>
            </w:pPr>
            <w:r>
              <w:rPr>
                <w:rFonts w:hint="eastAsia" w:ascii="宋体" w:hAnsi="宋体" w:cs="宋体"/>
                <w:kern w:val="0"/>
                <w:lang w:val="en-US" w:eastAsia="zh-CN"/>
              </w:rPr>
              <w:t>77</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人员位置监测系统分站和定位卡</w:t>
            </w:r>
          </w:p>
        </w:tc>
        <w:tc>
          <w:tcPr>
            <w:tcW w:w="55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kern w:val="0"/>
              </w:rPr>
            </w:pPr>
            <w:r>
              <w:rPr>
                <w:rFonts w:hint="eastAsia" w:ascii="宋体" w:hAnsi="宋体" w:cs="宋体"/>
                <w:kern w:val="0"/>
              </w:rPr>
              <w:t>下井人员必须携带标识卡。各个人员出入井口、重点区域出入口、限制区域等地点应设置读卡分站。</w:t>
            </w:r>
          </w:p>
          <w:p>
            <w:pPr>
              <w:jc w:val="left"/>
              <w:textAlignment w:val="center"/>
              <w:rPr>
                <w:rFonts w:ascii="宋体" w:cs="宋体"/>
              </w:rPr>
            </w:pPr>
            <w:r>
              <w:rPr>
                <w:rFonts w:hint="eastAsia" w:ascii="宋体" w:hAnsi="宋体" w:cs="宋体"/>
                <w:kern w:val="0"/>
              </w:rPr>
              <w:t>人员位置监测系统应具备检测标识卡是否正常和唯一性的功能。</w:t>
            </w:r>
          </w:p>
        </w:tc>
        <w:tc>
          <w:tcPr>
            <w:tcW w:w="233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rPr>
            </w:pPr>
            <w:r>
              <w:rPr>
                <w:rFonts w:hint="eastAsia" w:ascii="宋体" w:hAnsi="宋体" w:cs="宋体"/>
                <w:kern w:val="0"/>
              </w:rPr>
              <w:t>《煤矿安全规程》第五百零四条，第五百零五条。</w:t>
            </w: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21"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c>
          <w:tcPr>
            <w:tcW w:w="1312" w:type="dxa"/>
            <w:tcBorders>
              <w:top w:val="single" w:color="000000" w:sz="4" w:space="0"/>
              <w:left w:val="single" w:color="000000" w:sz="4" w:space="0"/>
              <w:bottom w:val="single" w:color="000000" w:sz="4" w:space="0"/>
              <w:right w:val="single" w:color="000000" w:sz="4" w:space="0"/>
            </w:tcBorders>
          </w:tcPr>
          <w:p>
            <w:pPr>
              <w:textAlignment w:val="top"/>
              <w:rPr>
                <w:rFonts w:ascii="宋体" w:cs="宋体"/>
              </w:rPr>
            </w:pPr>
          </w:p>
        </w:tc>
      </w:tr>
    </w:tbl>
    <w:p>
      <w:pPr>
        <w:rPr>
          <w:rFonts w:ascii="黑体" w:hAnsi="黑体" w:eastAsia="黑体" w:cs="黑体"/>
          <w:sz w:val="24"/>
          <w:szCs w:val="28"/>
        </w:rPr>
      </w:pPr>
    </w:p>
    <w:p/>
    <w:p/>
    <w:p/>
    <w:p/>
    <w:p/>
    <w:p/>
    <w:p/>
    <w:p>
      <w:pPr>
        <w:rPr>
          <w:rFonts w:ascii="黑体" w:hAnsi="黑体" w:eastAsia="黑体" w:cs="黑体"/>
          <w:sz w:val="28"/>
          <w:szCs w:val="28"/>
        </w:rPr>
      </w:pPr>
      <w:r>
        <w:rPr>
          <w:rFonts w:hint="eastAsia" w:ascii="黑体" w:hAnsi="黑体" w:eastAsia="黑体" w:cs="黑体"/>
          <w:sz w:val="28"/>
          <w:szCs w:val="28"/>
          <w:lang w:val="en-US" w:eastAsia="zh-CN"/>
        </w:rPr>
        <w:t>四</w:t>
      </w:r>
      <w:r>
        <w:rPr>
          <w:rFonts w:hint="eastAsia" w:ascii="黑体" w:hAnsi="黑体" w:eastAsia="黑体" w:cs="黑体"/>
          <w:sz w:val="28"/>
          <w:szCs w:val="28"/>
        </w:rPr>
        <w:t>、防治水单元（32</w:t>
      </w:r>
      <w:r>
        <w:rPr>
          <w:rFonts w:ascii="黑体" w:hAnsi="黑体" w:eastAsia="黑体" w:cs="黑体"/>
          <w:sz w:val="28"/>
          <w:szCs w:val="28"/>
        </w:rPr>
        <w:t>）</w:t>
      </w:r>
    </w:p>
    <w:tbl>
      <w:tblPr>
        <w:tblStyle w:val="23"/>
        <w:tblW w:w="13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162"/>
        <w:gridCol w:w="5501"/>
        <w:gridCol w:w="2366"/>
        <w:gridCol w:w="1321"/>
        <w:gridCol w:w="1321"/>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55" w:type="dxa"/>
            <w:vAlign w:val="center"/>
          </w:tcPr>
          <w:p>
            <w:pPr>
              <w:jc w:val="center"/>
              <w:rPr>
                <w:rFonts w:ascii="黑体" w:hAnsi="黑体" w:eastAsia="黑体" w:cs="宋体"/>
                <w:bCs/>
                <w:kern w:val="0"/>
              </w:rPr>
            </w:pPr>
            <w:r>
              <w:rPr>
                <w:rFonts w:hint="eastAsia" w:ascii="黑体" w:hAnsi="黑体" w:eastAsia="黑体" w:cs="宋体"/>
                <w:bCs/>
                <w:kern w:val="0"/>
              </w:rPr>
              <w:t>序号</w:t>
            </w:r>
          </w:p>
        </w:tc>
        <w:tc>
          <w:tcPr>
            <w:tcW w:w="1162" w:type="dxa"/>
            <w:vAlign w:val="center"/>
          </w:tcPr>
          <w:p>
            <w:pPr>
              <w:jc w:val="center"/>
              <w:rPr>
                <w:rFonts w:ascii="黑体" w:hAnsi="黑体" w:eastAsia="黑体" w:cs="宋体"/>
                <w:bCs/>
                <w:kern w:val="0"/>
              </w:rPr>
            </w:pPr>
            <w:r>
              <w:rPr>
                <w:rFonts w:hint="eastAsia" w:ascii="黑体" w:hAnsi="黑体" w:eastAsia="黑体" w:cs="宋体"/>
                <w:bCs/>
                <w:kern w:val="0"/>
              </w:rPr>
              <w:t>检查项目</w:t>
            </w:r>
          </w:p>
        </w:tc>
        <w:tc>
          <w:tcPr>
            <w:tcW w:w="5501" w:type="dxa"/>
            <w:vAlign w:val="center"/>
          </w:tcPr>
          <w:p>
            <w:pPr>
              <w:jc w:val="center"/>
              <w:rPr>
                <w:rFonts w:ascii="黑体" w:hAnsi="黑体" w:eastAsia="黑体" w:cs="宋体"/>
                <w:bCs/>
                <w:kern w:val="0"/>
              </w:rPr>
            </w:pPr>
            <w:r>
              <w:rPr>
                <w:rFonts w:hint="eastAsia" w:ascii="黑体" w:hAnsi="黑体" w:eastAsia="黑体" w:cs="宋体"/>
                <w:bCs/>
                <w:kern w:val="0"/>
              </w:rPr>
              <w:t>检查内容</w:t>
            </w:r>
          </w:p>
        </w:tc>
        <w:tc>
          <w:tcPr>
            <w:tcW w:w="2366" w:type="dxa"/>
            <w:vAlign w:val="center"/>
          </w:tcPr>
          <w:p>
            <w:pPr>
              <w:jc w:val="center"/>
              <w:rPr>
                <w:rFonts w:ascii="黑体" w:hAnsi="黑体" w:eastAsia="黑体" w:cs="宋体"/>
                <w:bCs/>
                <w:kern w:val="0"/>
              </w:rPr>
            </w:pPr>
            <w:r>
              <w:rPr>
                <w:rFonts w:hint="eastAsia" w:ascii="黑体" w:hAnsi="黑体" w:eastAsia="黑体" w:cs="宋体"/>
                <w:bCs/>
                <w:kern w:val="0"/>
              </w:rPr>
              <w:t>检查依据</w:t>
            </w:r>
          </w:p>
        </w:tc>
        <w:tc>
          <w:tcPr>
            <w:tcW w:w="1321" w:type="dxa"/>
            <w:vAlign w:val="center"/>
          </w:tcPr>
          <w:p>
            <w:pPr>
              <w:jc w:val="center"/>
              <w:rPr>
                <w:rFonts w:ascii="黑体" w:hAnsi="黑体" w:eastAsia="黑体" w:cs="宋体"/>
                <w:bCs/>
                <w:kern w:val="0"/>
              </w:rPr>
            </w:pPr>
            <w:r>
              <w:rPr>
                <w:rFonts w:hint="eastAsia" w:ascii="黑体" w:hAnsi="黑体" w:eastAsia="黑体" w:cs="宋体"/>
                <w:bCs/>
                <w:kern w:val="0"/>
              </w:rPr>
              <w:t>现状描述</w:t>
            </w:r>
          </w:p>
        </w:tc>
        <w:tc>
          <w:tcPr>
            <w:tcW w:w="1321" w:type="dxa"/>
            <w:vAlign w:val="center"/>
          </w:tcPr>
          <w:p>
            <w:pPr>
              <w:jc w:val="center"/>
              <w:rPr>
                <w:rFonts w:ascii="黑体" w:hAnsi="黑体" w:eastAsia="黑体" w:cs="宋体"/>
                <w:bCs/>
                <w:kern w:val="0"/>
              </w:rPr>
            </w:pPr>
            <w:r>
              <w:rPr>
                <w:rFonts w:hint="eastAsia" w:ascii="黑体" w:hAnsi="黑体" w:eastAsia="黑体" w:cs="宋体"/>
                <w:bCs/>
                <w:kern w:val="0"/>
              </w:rPr>
              <w:t>存在问题</w:t>
            </w:r>
          </w:p>
        </w:tc>
        <w:tc>
          <w:tcPr>
            <w:tcW w:w="1321" w:type="dxa"/>
            <w:vAlign w:val="center"/>
          </w:tcPr>
          <w:p>
            <w:pPr>
              <w:jc w:val="center"/>
              <w:rPr>
                <w:rFonts w:ascii="黑体" w:hAnsi="黑体" w:eastAsia="黑体" w:cs="宋体"/>
                <w:bCs/>
                <w:kern w:val="0"/>
              </w:rPr>
            </w:pPr>
            <w:r>
              <w:rPr>
                <w:rFonts w:hint="eastAsia" w:ascii="黑体" w:hAnsi="黑体" w:eastAsia="黑体" w:cs="宋体"/>
                <w:bCs/>
                <w:kern w:val="0"/>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1</w:t>
            </w:r>
          </w:p>
        </w:tc>
        <w:tc>
          <w:tcPr>
            <w:tcW w:w="1162" w:type="dxa"/>
            <w:vAlign w:val="center"/>
          </w:tcPr>
          <w:p>
            <w:pPr>
              <w:jc w:val="left"/>
              <w:rPr>
                <w:rFonts w:ascii="宋体" w:hAnsi="宋体" w:cs="宋体"/>
                <w:kern w:val="0"/>
              </w:rPr>
            </w:pPr>
            <w:r>
              <w:rPr>
                <w:rFonts w:hint="eastAsia" w:ascii="宋体" w:hAnsi="宋体" w:cs="宋体"/>
                <w:kern w:val="0"/>
              </w:rPr>
              <w:t>防治水主体责任</w:t>
            </w:r>
          </w:p>
        </w:tc>
        <w:tc>
          <w:tcPr>
            <w:tcW w:w="5501" w:type="dxa"/>
            <w:vAlign w:val="center"/>
          </w:tcPr>
          <w:p>
            <w:pPr>
              <w:jc w:val="left"/>
              <w:rPr>
                <w:rFonts w:ascii="宋体" w:hAnsi="宋体" w:cs="宋体"/>
                <w:kern w:val="0"/>
              </w:rPr>
            </w:pPr>
            <w:r>
              <w:rPr>
                <w:rFonts w:hint="eastAsia" w:ascii="宋体" w:hAnsi="宋体" w:cs="宋体"/>
                <w:kern w:val="0"/>
              </w:rPr>
              <w:t>煤矿主要负责人（法定代表人、实际控制人）是防治水工作的第一责任人，总工程师（技术负责人）负责防治水的技术管理工作</w:t>
            </w:r>
          </w:p>
        </w:tc>
        <w:tc>
          <w:tcPr>
            <w:tcW w:w="2366" w:type="dxa"/>
            <w:vAlign w:val="center"/>
          </w:tcPr>
          <w:p>
            <w:pPr>
              <w:jc w:val="left"/>
              <w:rPr>
                <w:rFonts w:ascii="宋体" w:hAnsi="宋体" w:cs="宋体"/>
                <w:kern w:val="0"/>
              </w:rPr>
            </w:pPr>
            <w:r>
              <w:rPr>
                <w:rFonts w:hint="eastAsia" w:ascii="宋体" w:hAnsi="宋体" w:cs="宋体"/>
                <w:kern w:val="0"/>
              </w:rPr>
              <w:t>《煤矿防治水细则》第四条。</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2</w:t>
            </w:r>
          </w:p>
        </w:tc>
        <w:tc>
          <w:tcPr>
            <w:tcW w:w="1162" w:type="dxa"/>
            <w:vAlign w:val="center"/>
          </w:tcPr>
          <w:p>
            <w:pPr>
              <w:jc w:val="left"/>
              <w:rPr>
                <w:rFonts w:ascii="宋体" w:hAnsi="宋体" w:cs="宋体"/>
                <w:kern w:val="0"/>
              </w:rPr>
            </w:pPr>
            <w:r>
              <w:rPr>
                <w:rFonts w:hint="eastAsia" w:ascii="宋体" w:hAnsi="宋体" w:cs="宋体"/>
                <w:kern w:val="0"/>
              </w:rPr>
              <w:t>防治水原则</w:t>
            </w:r>
          </w:p>
        </w:tc>
        <w:tc>
          <w:tcPr>
            <w:tcW w:w="5501" w:type="dxa"/>
            <w:vAlign w:val="center"/>
          </w:tcPr>
          <w:p>
            <w:pPr>
              <w:jc w:val="left"/>
              <w:rPr>
                <w:rFonts w:ascii="宋体" w:hAnsi="宋体" w:cs="宋体"/>
                <w:kern w:val="0"/>
              </w:rPr>
            </w:pPr>
            <w:r>
              <w:rPr>
                <w:rFonts w:hint="eastAsia" w:ascii="宋体" w:hAnsi="宋体" w:cs="宋体"/>
                <w:kern w:val="0"/>
              </w:rPr>
              <w:t>坚持“预测预报、有疑必探、先探后掘、先治后采”的防治水原则，开展矿井涌水量、钻孔水位、矿区降雨量等监测并预警</w:t>
            </w:r>
          </w:p>
        </w:tc>
        <w:tc>
          <w:tcPr>
            <w:tcW w:w="2366" w:type="dxa"/>
            <w:vAlign w:val="center"/>
          </w:tcPr>
          <w:p>
            <w:pPr>
              <w:jc w:val="left"/>
              <w:rPr>
                <w:rFonts w:ascii="宋体" w:hAnsi="宋体" w:cs="宋体"/>
                <w:kern w:val="0"/>
              </w:rPr>
            </w:pPr>
            <w:r>
              <w:rPr>
                <w:rFonts w:hint="eastAsia" w:ascii="宋体" w:hAnsi="宋体" w:cs="宋体"/>
                <w:kern w:val="0"/>
              </w:rPr>
              <w:t>《煤矿安全规程》第二百八十二条、第二百八十六条，《煤矿防治水细则》第三条、第九条。</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3</w:t>
            </w:r>
          </w:p>
        </w:tc>
        <w:tc>
          <w:tcPr>
            <w:tcW w:w="1162" w:type="dxa"/>
            <w:vMerge w:val="restart"/>
            <w:vAlign w:val="center"/>
          </w:tcPr>
          <w:p>
            <w:pPr>
              <w:jc w:val="left"/>
              <w:rPr>
                <w:rFonts w:ascii="宋体" w:cs="宋体"/>
                <w:kern w:val="0"/>
              </w:rPr>
            </w:pPr>
            <w:r>
              <w:rPr>
                <w:rFonts w:hint="eastAsia" w:ascii="宋体" w:hAnsi="宋体" w:cs="宋体"/>
                <w:kern w:val="0"/>
              </w:rPr>
              <w:t>矿井水文地质类型划分报告</w:t>
            </w:r>
          </w:p>
        </w:tc>
        <w:tc>
          <w:tcPr>
            <w:tcW w:w="5501" w:type="dxa"/>
            <w:vAlign w:val="center"/>
          </w:tcPr>
          <w:p>
            <w:pPr>
              <w:jc w:val="left"/>
              <w:rPr>
                <w:rFonts w:ascii="宋体" w:cs="宋体"/>
                <w:kern w:val="0"/>
              </w:rPr>
            </w:pPr>
            <w:r>
              <w:rPr>
                <w:rFonts w:hint="eastAsia" w:ascii="宋体" w:hAnsi="宋体" w:cs="宋体"/>
                <w:kern w:val="0"/>
              </w:rPr>
              <w:t>矿井应当对本单位的水文地质情况进行研究，编制矿井水文地质类型划分报告，并确定本单位的矿井水文地质类型。矿井水文地质类型划分报告，由煤炭企业总工程师负责组织审定。水文地质类型报告主要内容符合规定。</w:t>
            </w:r>
          </w:p>
        </w:tc>
        <w:tc>
          <w:tcPr>
            <w:tcW w:w="2366" w:type="dxa"/>
            <w:vAlign w:val="center"/>
          </w:tcPr>
          <w:p>
            <w:pPr>
              <w:jc w:val="left"/>
              <w:rPr>
                <w:rFonts w:ascii="宋体" w:cs="宋体"/>
                <w:kern w:val="0"/>
              </w:rPr>
            </w:pPr>
            <w:r>
              <w:rPr>
                <w:rFonts w:hint="eastAsia" w:ascii="宋体" w:hAnsi="宋体" w:cs="宋体"/>
                <w:kern w:val="0"/>
              </w:rPr>
              <w:t>《煤矿防治水细则》第十二、十三条，《煤矿重大事故隐患判定标准》解读第九条第（一）项。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4</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cs="宋体"/>
                <w:kern w:val="0"/>
              </w:rPr>
            </w:pPr>
            <w:r>
              <w:rPr>
                <w:rFonts w:hint="eastAsia" w:ascii="宋体" w:hAnsi="宋体" w:cs="宋体"/>
                <w:kern w:val="0"/>
              </w:rPr>
              <w:t>矿井水文地质类型应当每３年修订一次，发生较大及以上水害事故或者因突水造成采掘区域或矿井被淹的，矿井应当在恢复生产前重新确定矿井水文地质类型。</w:t>
            </w:r>
          </w:p>
        </w:tc>
        <w:tc>
          <w:tcPr>
            <w:tcW w:w="2366" w:type="dxa"/>
            <w:vAlign w:val="center"/>
          </w:tcPr>
          <w:p>
            <w:pPr>
              <w:jc w:val="left"/>
              <w:rPr>
                <w:rFonts w:ascii="宋体" w:cs="宋体"/>
                <w:kern w:val="0"/>
              </w:rPr>
            </w:pPr>
            <w:r>
              <w:rPr>
                <w:rFonts w:hint="eastAsia" w:ascii="宋体" w:hAnsi="宋体" w:cs="宋体"/>
                <w:kern w:val="0"/>
              </w:rPr>
              <w:t>《煤矿防治水细则》第十四条，《煤矿重大事故隐患判定标准》解读第九条第（一）项。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5</w:t>
            </w:r>
          </w:p>
        </w:tc>
        <w:tc>
          <w:tcPr>
            <w:tcW w:w="1162" w:type="dxa"/>
            <w:vAlign w:val="center"/>
          </w:tcPr>
          <w:p>
            <w:pPr>
              <w:jc w:val="left"/>
              <w:rPr>
                <w:rFonts w:ascii="宋体" w:cs="宋体"/>
                <w:kern w:val="0"/>
              </w:rPr>
            </w:pPr>
            <w:r>
              <w:rPr>
                <w:rFonts w:hint="eastAsia" w:ascii="宋体" w:hAnsi="宋体" w:cs="宋体"/>
                <w:kern w:val="0"/>
              </w:rPr>
              <w:t>煤矿隐蔽致灾地质因素普查</w:t>
            </w:r>
          </w:p>
        </w:tc>
        <w:tc>
          <w:tcPr>
            <w:tcW w:w="5501" w:type="dxa"/>
            <w:vAlign w:val="center"/>
          </w:tcPr>
          <w:p>
            <w:pPr>
              <w:jc w:val="left"/>
              <w:rPr>
                <w:rFonts w:ascii="宋体" w:cs="宋体"/>
                <w:kern w:val="0"/>
              </w:rPr>
            </w:pPr>
            <w:r>
              <w:rPr>
                <w:rFonts w:hint="eastAsia" w:ascii="宋体" w:hAnsi="宋体" w:cs="宋体"/>
                <w:kern w:val="0"/>
              </w:rPr>
              <w:t>每个煤矿应结合实际情况开展隐蔽致灾因素普查，采用物探、钻探、化探等手段查明矿井隐蔽致灾因素，特别要查清正在采掘区域的水文地质条件、老空水的分布范围，提出普查报告，由煤矿企业总工程师组织审定。煤矿应当根据隐蔽致灾因素普查结果，编制煤矿防治水“三区”管理报告，分煤层正确划分“三区”（可采区、缓采区、禁采区），实行水患区域“三线”（警戒线、探水线、积水线）管理，严禁在禁采区内进行采掘作业，严禁在缓采区内进行回采作业和与水害探查、治理无关的掘进作业。</w:t>
            </w:r>
          </w:p>
          <w:p>
            <w:pPr>
              <w:jc w:val="left"/>
              <w:rPr>
                <w:rFonts w:ascii="宋体" w:cs="宋体"/>
                <w:kern w:val="0"/>
              </w:rPr>
            </w:pPr>
            <w:r>
              <w:rPr>
                <w:rFonts w:hint="eastAsia" w:ascii="宋体" w:hAnsi="宋体" w:cs="宋体"/>
                <w:kern w:val="0"/>
              </w:rPr>
              <w:t>小煤矿集中的矿区，由地方人民政府组织进行区域性隐蔽致灾因素普查，制定防范事故的措施。</w:t>
            </w:r>
          </w:p>
        </w:tc>
        <w:tc>
          <w:tcPr>
            <w:tcW w:w="2366" w:type="dxa"/>
            <w:vAlign w:val="center"/>
          </w:tcPr>
          <w:p>
            <w:pPr>
              <w:jc w:val="left"/>
              <w:rPr>
                <w:rFonts w:ascii="宋体" w:cs="宋体"/>
                <w:kern w:val="0"/>
              </w:rPr>
            </w:pPr>
            <w:r>
              <w:rPr>
                <w:rFonts w:hint="eastAsia" w:ascii="宋体" w:hAnsi="宋体" w:cs="宋体"/>
                <w:kern w:val="0"/>
              </w:rPr>
              <w:t>《煤矿地质工作规定》第二十九条至第三十八条，《煤矿防治水细则》第七十七条、第七十八条，《煤矿防治水“三区”管理办法》第二条、第五条。</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6</w:t>
            </w:r>
          </w:p>
        </w:tc>
        <w:tc>
          <w:tcPr>
            <w:tcW w:w="1162" w:type="dxa"/>
            <w:vAlign w:val="center"/>
          </w:tcPr>
          <w:p>
            <w:pPr>
              <w:jc w:val="left"/>
              <w:rPr>
                <w:rFonts w:ascii="宋体" w:cs="宋体"/>
                <w:kern w:val="0"/>
              </w:rPr>
            </w:pPr>
            <w:r>
              <w:rPr>
                <w:rFonts w:hint="eastAsia" w:ascii="宋体" w:hAnsi="宋体" w:cs="宋体"/>
                <w:kern w:val="0"/>
              </w:rPr>
              <w:t>防治水“三专”</w:t>
            </w:r>
          </w:p>
        </w:tc>
        <w:tc>
          <w:tcPr>
            <w:tcW w:w="5501" w:type="dxa"/>
            <w:vAlign w:val="center"/>
          </w:tcPr>
          <w:p>
            <w:pPr>
              <w:jc w:val="left"/>
              <w:rPr>
                <w:rFonts w:ascii="宋体" w:hAnsi="宋体" w:cs="宋体"/>
                <w:kern w:val="0"/>
              </w:rPr>
            </w:pPr>
            <w:r>
              <w:rPr>
                <w:rFonts w:hint="eastAsia" w:ascii="宋体" w:hAnsi="宋体" w:cs="宋体"/>
                <w:kern w:val="0"/>
              </w:rPr>
              <w:t>煤矿应当根据本单位的水害情况，配备满足工作需要的防治水专业技术人员，配齐专用的探放水设备，建立专门的探放水作业队伍，储备必要的水害抢险救灾设备和物资。</w:t>
            </w:r>
          </w:p>
          <w:p>
            <w:pPr>
              <w:jc w:val="left"/>
              <w:rPr>
                <w:rFonts w:ascii="宋体" w:cs="宋体"/>
                <w:kern w:val="0"/>
              </w:rPr>
            </w:pPr>
            <w:r>
              <w:rPr>
                <w:rFonts w:hint="eastAsia" w:ascii="宋体" w:hAnsi="宋体" w:cs="宋体"/>
                <w:kern w:val="0"/>
              </w:rPr>
              <w:t>水文地质类型复杂、极复杂的煤矿，还应当设立专门的防治水机构、配备防治水副总工程师。</w:t>
            </w:r>
          </w:p>
        </w:tc>
        <w:tc>
          <w:tcPr>
            <w:tcW w:w="2366" w:type="dxa"/>
            <w:vAlign w:val="center"/>
          </w:tcPr>
          <w:p>
            <w:pPr>
              <w:jc w:val="left"/>
              <w:rPr>
                <w:rFonts w:ascii="宋体" w:cs="宋体"/>
                <w:kern w:val="0"/>
              </w:rPr>
            </w:pPr>
            <w:r>
              <w:rPr>
                <w:rFonts w:hint="eastAsia" w:ascii="宋体" w:hAnsi="宋体" w:cs="宋体"/>
                <w:kern w:val="0"/>
              </w:rPr>
              <w:t>《煤矿防治水细则》第五条，《煤矿重大事故隐患判定标准》解读第九条第（二）项。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7</w:t>
            </w:r>
          </w:p>
        </w:tc>
        <w:tc>
          <w:tcPr>
            <w:tcW w:w="1162" w:type="dxa"/>
            <w:vAlign w:val="center"/>
          </w:tcPr>
          <w:p>
            <w:pPr>
              <w:jc w:val="left"/>
              <w:rPr>
                <w:rFonts w:ascii="宋体" w:hAnsi="宋体" w:cs="宋体"/>
                <w:kern w:val="0"/>
              </w:rPr>
            </w:pPr>
            <w:r>
              <w:rPr>
                <w:rFonts w:hint="eastAsia" w:ascii="宋体" w:hAnsi="宋体" w:cs="宋体"/>
                <w:kern w:val="0"/>
              </w:rPr>
              <w:t>水害预测预报</w:t>
            </w:r>
          </w:p>
        </w:tc>
        <w:tc>
          <w:tcPr>
            <w:tcW w:w="5501" w:type="dxa"/>
            <w:vAlign w:val="center"/>
          </w:tcPr>
          <w:p>
            <w:pPr>
              <w:jc w:val="left"/>
              <w:rPr>
                <w:rFonts w:ascii="宋体" w:hAnsi="宋体" w:cs="宋体"/>
                <w:kern w:val="0"/>
              </w:rPr>
            </w:pPr>
            <w:r>
              <w:rPr>
                <w:rFonts w:hint="eastAsia" w:ascii="宋体" w:hAnsi="宋体" w:cs="宋体"/>
                <w:kern w:val="0"/>
              </w:rPr>
              <w:t>煤矿每月开展水患分析研判，并对下月采掘区域水害进行预测预报，提出水害防治措施。</w:t>
            </w:r>
          </w:p>
        </w:tc>
        <w:tc>
          <w:tcPr>
            <w:tcW w:w="2366" w:type="dxa"/>
            <w:vAlign w:val="center"/>
          </w:tcPr>
          <w:p>
            <w:pPr>
              <w:jc w:val="left"/>
              <w:rPr>
                <w:rFonts w:ascii="宋体" w:hAnsi="宋体" w:cs="宋体"/>
                <w:kern w:val="0"/>
              </w:rPr>
            </w:pPr>
            <w:r>
              <w:rPr>
                <w:rFonts w:hint="eastAsia" w:ascii="宋体" w:hAnsi="宋体" w:cs="宋体"/>
                <w:kern w:val="0"/>
              </w:rPr>
              <w:t>《煤矿防治水细则》第三十七条。</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8</w:t>
            </w:r>
          </w:p>
        </w:tc>
        <w:tc>
          <w:tcPr>
            <w:tcW w:w="1162" w:type="dxa"/>
            <w:vMerge w:val="restart"/>
            <w:vAlign w:val="center"/>
          </w:tcPr>
          <w:p>
            <w:pPr>
              <w:jc w:val="left"/>
              <w:rPr>
                <w:rFonts w:ascii="宋体" w:cs="宋体"/>
                <w:kern w:val="0"/>
              </w:rPr>
            </w:pPr>
            <w:r>
              <w:rPr>
                <w:rFonts w:hint="eastAsia" w:ascii="宋体" w:hAnsi="宋体" w:cs="宋体"/>
                <w:kern w:val="0"/>
              </w:rPr>
              <w:t>“雨季三防”</w:t>
            </w:r>
          </w:p>
        </w:tc>
        <w:tc>
          <w:tcPr>
            <w:tcW w:w="5501" w:type="dxa"/>
            <w:vAlign w:val="center"/>
          </w:tcPr>
          <w:p>
            <w:pPr>
              <w:jc w:val="left"/>
              <w:rPr>
                <w:rFonts w:ascii="宋体" w:cs="宋体"/>
                <w:kern w:val="0"/>
              </w:rPr>
            </w:pPr>
            <w:r>
              <w:rPr>
                <w:rFonts w:hint="eastAsia" w:ascii="宋体" w:hAnsi="宋体" w:cs="宋体"/>
                <w:kern w:val="0"/>
              </w:rPr>
              <w:t>矿井井口和工业场地内建筑物的地面标高必须高于当地历年最高洪水位</w:t>
            </w:r>
            <w:r>
              <w:rPr>
                <w:rFonts w:ascii="宋体" w:hAnsi="宋体" w:cs="宋体"/>
                <w:kern w:val="0"/>
              </w:rPr>
              <w:t>;</w:t>
            </w:r>
            <w:r>
              <w:rPr>
                <w:rFonts w:hint="eastAsia" w:ascii="宋体" w:hAnsi="宋体" w:cs="宋体"/>
                <w:kern w:val="0"/>
              </w:rPr>
              <w:t>在山区还必须避开可能发生泥石流、滑坡等地质灾害危险的地段。</w:t>
            </w:r>
          </w:p>
        </w:tc>
        <w:tc>
          <w:tcPr>
            <w:tcW w:w="2366" w:type="dxa"/>
            <w:vAlign w:val="center"/>
          </w:tcPr>
          <w:p>
            <w:pPr>
              <w:jc w:val="left"/>
              <w:rPr>
                <w:rFonts w:ascii="宋体" w:cs="宋体"/>
                <w:kern w:val="0"/>
              </w:rPr>
            </w:pPr>
            <w:r>
              <w:rPr>
                <w:rFonts w:hint="eastAsia" w:ascii="宋体" w:hAnsi="宋体" w:cs="宋体"/>
                <w:kern w:val="0"/>
              </w:rPr>
              <w:t>《煤矿安全规程》第二百九十一条第一款。</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9</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cs="宋体"/>
                <w:kern w:val="0"/>
              </w:rPr>
            </w:pPr>
            <w:r>
              <w:rPr>
                <w:rFonts w:hint="eastAsia" w:ascii="宋体" w:hAnsi="宋体" w:cs="宋体"/>
                <w:kern w:val="0"/>
              </w:rPr>
              <w:t>矿井井口及工业场地内主要建筑物的地面标高低于当地历年最高洪水位的，应当修筑堤坝、沟渠或者采取其他可靠防御洪水的措施。不能采取可靠安全措施的，应当封闭填实该井口。</w:t>
            </w:r>
          </w:p>
        </w:tc>
        <w:tc>
          <w:tcPr>
            <w:tcW w:w="2366" w:type="dxa"/>
            <w:vAlign w:val="center"/>
          </w:tcPr>
          <w:p>
            <w:pPr>
              <w:jc w:val="left"/>
              <w:rPr>
                <w:rFonts w:ascii="宋体" w:cs="宋体"/>
                <w:kern w:val="0"/>
              </w:rPr>
            </w:pPr>
            <w:r>
              <w:rPr>
                <w:rFonts w:hint="eastAsia" w:ascii="宋体" w:hAnsi="宋体" w:cs="宋体"/>
                <w:kern w:val="0"/>
              </w:rPr>
              <w:t>《煤矿安全规程》第二百九十一条第二款。</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10</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hAnsi="宋体" w:cs="宋体"/>
                <w:kern w:val="0"/>
              </w:rPr>
            </w:pPr>
            <w:r>
              <w:rPr>
                <w:rFonts w:hint="eastAsia" w:ascii="宋体" w:hAnsi="宋体" w:cs="宋体"/>
                <w:kern w:val="0"/>
              </w:rPr>
              <w:t>煤矿企业要编制水害应急预案，每年汛期前至少开展1次演练。</w:t>
            </w:r>
          </w:p>
        </w:tc>
        <w:tc>
          <w:tcPr>
            <w:tcW w:w="2366" w:type="dxa"/>
            <w:vAlign w:val="center"/>
          </w:tcPr>
          <w:p>
            <w:pPr>
              <w:jc w:val="left"/>
              <w:rPr>
                <w:rFonts w:ascii="宋体" w:hAnsi="宋体" w:cs="宋体"/>
                <w:kern w:val="0"/>
              </w:rPr>
            </w:pPr>
            <w:r>
              <w:rPr>
                <w:rFonts w:hint="eastAsia" w:ascii="宋体" w:hAnsi="宋体" w:cs="宋体"/>
                <w:kern w:val="0"/>
              </w:rPr>
              <w:t>《煤矿防治水细则》第一百二十四条。</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11</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hAnsi="宋体" w:cs="宋体"/>
                <w:kern w:val="0"/>
              </w:rPr>
            </w:pPr>
            <w:r>
              <w:rPr>
                <w:rFonts w:hint="eastAsia" w:ascii="宋体" w:hAnsi="宋体" w:cs="宋体"/>
                <w:kern w:val="0"/>
              </w:rPr>
              <w:t>建立暴雨洪水可能引发淹井等事故灾害紧急情况下及时撤出井下人员的制度，明确启动标准、指挥部门、联络人员、撤人程序等。当暴雨威胁矿井安全时，严禁安排人员入井作业。</w:t>
            </w:r>
          </w:p>
          <w:p>
            <w:pPr>
              <w:jc w:val="left"/>
              <w:rPr>
                <w:rFonts w:ascii="宋体" w:cs="宋体"/>
                <w:kern w:val="0"/>
              </w:rPr>
            </w:pPr>
            <w:r>
              <w:rPr>
                <w:rFonts w:hint="eastAsia" w:ascii="宋体" w:hAnsi="宋体" w:eastAsia="宋体" w:cs="宋体"/>
                <w:spacing w:val="8"/>
                <w:szCs w:val="21"/>
                <w:shd w:val="clear" w:color="auto" w:fill="FFFFFF"/>
              </w:rPr>
              <w:t>煤矿主要负责人必须赋予调度员、安检员、井下带班人员、班组长等相关人员紧急撤人的权力，发现突水（透水、溃水，下同）征兆、极端天气可能导致淹井等重大险情，立即撤出所有受水患威胁地点的人员，在原因未查清、隐患未排除之前，不得进行任何采掘活动。</w:t>
            </w:r>
          </w:p>
        </w:tc>
        <w:tc>
          <w:tcPr>
            <w:tcW w:w="2366" w:type="dxa"/>
            <w:vAlign w:val="center"/>
          </w:tcPr>
          <w:p>
            <w:pPr>
              <w:jc w:val="left"/>
              <w:rPr>
                <w:rFonts w:ascii="宋体" w:cs="宋体"/>
                <w:kern w:val="0"/>
              </w:rPr>
            </w:pPr>
            <w:r>
              <w:rPr>
                <w:rFonts w:hint="eastAsia" w:ascii="宋体" w:hAnsi="宋体" w:cs="宋体"/>
                <w:kern w:val="0"/>
              </w:rPr>
              <w:t>《煤矿安全规程》第二百九十三条第二款；《煤矿重大事故隐患判定标准》解读第九条第（六）项。《煤矿防治水细则》第六条。</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12</w:t>
            </w:r>
          </w:p>
        </w:tc>
        <w:tc>
          <w:tcPr>
            <w:tcW w:w="1162" w:type="dxa"/>
            <w:vAlign w:val="center"/>
          </w:tcPr>
          <w:p>
            <w:pPr>
              <w:jc w:val="left"/>
              <w:rPr>
                <w:rFonts w:ascii="宋体" w:cs="宋体"/>
                <w:kern w:val="0"/>
              </w:rPr>
            </w:pPr>
            <w:r>
              <w:rPr>
                <w:rFonts w:hint="eastAsia" w:ascii="宋体" w:hAnsi="宋体" w:cs="宋体"/>
                <w:kern w:val="0"/>
              </w:rPr>
              <w:t>井下探放水</w:t>
            </w:r>
          </w:p>
        </w:tc>
        <w:tc>
          <w:tcPr>
            <w:tcW w:w="5501" w:type="dxa"/>
            <w:vAlign w:val="center"/>
          </w:tcPr>
          <w:p>
            <w:pPr>
              <w:jc w:val="left"/>
              <w:rPr>
                <w:rFonts w:ascii="宋体" w:hAnsi="宋体" w:cs="宋体"/>
                <w:kern w:val="0"/>
              </w:rPr>
            </w:pPr>
            <w:r>
              <w:rPr>
                <w:rFonts w:hint="eastAsia" w:ascii="宋体" w:hAnsi="宋体" w:cs="宋体"/>
                <w:kern w:val="0"/>
              </w:rPr>
              <w:t>在地面无法查明水文地质条件时，应当在采掘前采用物探、钻探或者化探等方法查清采掘工作面及其周围的水文地质条件。</w:t>
            </w:r>
          </w:p>
          <w:p>
            <w:pPr>
              <w:jc w:val="left"/>
              <w:rPr>
                <w:rFonts w:ascii="宋体" w:cs="宋体"/>
                <w:kern w:val="0"/>
              </w:rPr>
            </w:pPr>
            <w:r>
              <w:rPr>
                <w:rFonts w:hint="eastAsia" w:ascii="宋体" w:hAnsi="宋体" w:cs="宋体"/>
                <w:kern w:val="0"/>
              </w:rPr>
              <w:t>探放水作业应设置基准线，明确标明探放水的起始位置。</w:t>
            </w:r>
          </w:p>
        </w:tc>
        <w:tc>
          <w:tcPr>
            <w:tcW w:w="2366" w:type="dxa"/>
            <w:vAlign w:val="center"/>
          </w:tcPr>
          <w:p>
            <w:pPr>
              <w:jc w:val="left"/>
              <w:rPr>
                <w:rFonts w:ascii="宋体" w:cs="宋体"/>
                <w:kern w:val="0"/>
              </w:rPr>
            </w:pPr>
            <w:r>
              <w:rPr>
                <w:rFonts w:hint="eastAsia" w:ascii="宋体" w:hAnsi="宋体" w:cs="宋体"/>
                <w:kern w:val="0"/>
              </w:rPr>
              <w:t>《煤矿安全规程》第三百一十七条第一款；《煤矿重大事故隐患判定标准》解读第九条第（三）项。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13</w:t>
            </w:r>
          </w:p>
        </w:tc>
        <w:tc>
          <w:tcPr>
            <w:tcW w:w="1162" w:type="dxa"/>
            <w:vAlign w:val="center"/>
          </w:tcPr>
          <w:p>
            <w:pPr>
              <w:jc w:val="left"/>
              <w:rPr>
                <w:rFonts w:ascii="宋体" w:cs="宋体"/>
                <w:kern w:val="0"/>
              </w:rPr>
            </w:pPr>
            <w:r>
              <w:rPr>
                <w:rFonts w:hint="eastAsia" w:ascii="宋体" w:hAnsi="宋体" w:cs="宋体"/>
                <w:kern w:val="0"/>
              </w:rPr>
              <w:t>探放水基本原则</w:t>
            </w:r>
          </w:p>
        </w:tc>
        <w:tc>
          <w:tcPr>
            <w:tcW w:w="5501" w:type="dxa"/>
          </w:tcPr>
          <w:p>
            <w:pPr>
              <w:jc w:val="left"/>
              <w:rPr>
                <w:rFonts w:ascii="宋体" w:cs="宋体"/>
                <w:kern w:val="0"/>
              </w:rPr>
            </w:pPr>
            <w:r>
              <w:rPr>
                <w:rFonts w:hint="eastAsia" w:ascii="宋体" w:hAnsi="宋体" w:cs="宋体"/>
                <w:kern w:val="0"/>
              </w:rPr>
              <w:t>采掘工作面接近水淹或者可能积水的井巷、老空区或者相邻煤矿；接近含水层、导水断层、溶洞和导水陷落柱；打开隔离煤柱放水；接近可能与河流、湖泊、水库、蓄水池、水井等相通的导水通道；接近有出水可能的钻孔；接近水文地质条件不清的区域；接近有积水的灌浆区；接近其他可能突</w:t>
            </w:r>
            <w:r>
              <w:rPr>
                <w:rFonts w:ascii="宋体" w:hAnsi="宋体" w:cs="宋体"/>
                <w:kern w:val="0"/>
              </w:rPr>
              <w:t>(</w:t>
            </w:r>
            <w:r>
              <w:rPr>
                <w:rFonts w:hint="eastAsia" w:ascii="宋体" w:hAnsi="宋体" w:cs="宋体"/>
                <w:kern w:val="0"/>
              </w:rPr>
              <w:t>透</w:t>
            </w:r>
            <w:r>
              <w:rPr>
                <w:rFonts w:ascii="宋体" w:hAnsi="宋体" w:cs="宋体"/>
                <w:kern w:val="0"/>
              </w:rPr>
              <w:t>)</w:t>
            </w:r>
            <w:r>
              <w:rPr>
                <w:rFonts w:hint="eastAsia" w:ascii="宋体" w:hAnsi="宋体" w:cs="宋体"/>
                <w:kern w:val="0"/>
              </w:rPr>
              <w:t>水的区域应当进行探放水。</w:t>
            </w:r>
          </w:p>
          <w:p>
            <w:pPr>
              <w:jc w:val="left"/>
              <w:rPr>
                <w:rFonts w:ascii="宋体" w:cs="宋体"/>
                <w:kern w:val="0"/>
              </w:rPr>
            </w:pPr>
            <w:r>
              <w:rPr>
                <w:rFonts w:hint="eastAsia" w:ascii="宋体" w:hAnsi="宋体" w:cs="宋体"/>
                <w:kern w:val="0"/>
              </w:rPr>
              <w:t>严禁采掘工作面边探放水边进行采掘活动。</w:t>
            </w:r>
          </w:p>
        </w:tc>
        <w:tc>
          <w:tcPr>
            <w:tcW w:w="2366" w:type="dxa"/>
            <w:vAlign w:val="center"/>
          </w:tcPr>
          <w:p>
            <w:pPr>
              <w:jc w:val="left"/>
              <w:rPr>
                <w:rFonts w:ascii="宋体" w:cs="宋体"/>
                <w:kern w:val="0"/>
              </w:rPr>
            </w:pPr>
            <w:r>
              <w:rPr>
                <w:rFonts w:hint="eastAsia" w:ascii="宋体" w:hAnsi="宋体" w:cs="宋体"/>
                <w:kern w:val="0"/>
              </w:rPr>
              <w:t>《煤矿安全规程》第三百一十七条第二款；《煤矿重大事故隐患判定标准》解读第九条第（三）项。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ascii="宋体" w:hAnsi="宋体" w:cs="宋体"/>
                <w:kern w:val="0"/>
              </w:rPr>
              <w:t>1</w:t>
            </w:r>
            <w:r>
              <w:rPr>
                <w:rFonts w:hint="eastAsia" w:ascii="宋体" w:hAnsi="宋体" w:cs="宋体"/>
                <w:kern w:val="0"/>
              </w:rPr>
              <w:t>4</w:t>
            </w:r>
          </w:p>
        </w:tc>
        <w:tc>
          <w:tcPr>
            <w:tcW w:w="1162" w:type="dxa"/>
            <w:vAlign w:val="center"/>
          </w:tcPr>
          <w:p>
            <w:pPr>
              <w:jc w:val="left"/>
              <w:rPr>
                <w:rFonts w:ascii="宋体" w:cs="宋体"/>
                <w:kern w:val="0"/>
              </w:rPr>
            </w:pPr>
            <w:r>
              <w:rPr>
                <w:rFonts w:hint="eastAsia" w:ascii="宋体" w:hAnsi="宋体" w:cs="宋体"/>
                <w:kern w:val="0"/>
              </w:rPr>
              <w:t>探放水应急处置</w:t>
            </w:r>
          </w:p>
        </w:tc>
        <w:tc>
          <w:tcPr>
            <w:tcW w:w="5501" w:type="dxa"/>
            <w:vAlign w:val="center"/>
          </w:tcPr>
          <w:p>
            <w:pPr>
              <w:jc w:val="left"/>
              <w:rPr>
                <w:rFonts w:ascii="宋体" w:cs="宋体"/>
                <w:kern w:val="0"/>
              </w:rPr>
            </w:pPr>
            <w:r>
              <w:rPr>
                <w:rFonts w:hint="eastAsia" w:ascii="宋体" w:hAnsi="宋体" w:cs="宋体"/>
                <w:kern w:val="0"/>
              </w:rPr>
              <w:t>在探放水钻进时，发现突水征兆时，立即停止钻进，但不得拔出钻杆；应当立即撤出所有受水威胁区域的人员到安全地点，并向矿井调度室汇报，采取安全措施，派专业技术人员监测水情并分析，妥善处理。</w:t>
            </w:r>
          </w:p>
        </w:tc>
        <w:tc>
          <w:tcPr>
            <w:tcW w:w="2366" w:type="dxa"/>
            <w:vAlign w:val="center"/>
          </w:tcPr>
          <w:p>
            <w:pPr>
              <w:jc w:val="left"/>
              <w:rPr>
                <w:rFonts w:ascii="宋体" w:cs="宋体"/>
                <w:kern w:val="0"/>
              </w:rPr>
            </w:pPr>
            <w:r>
              <w:rPr>
                <w:rFonts w:hint="eastAsia" w:ascii="宋体" w:hAnsi="宋体" w:cs="宋体"/>
                <w:kern w:val="0"/>
              </w:rPr>
              <w:t>《煤矿安全规程》第三百二十二条，《煤矿重大事故隐患判定标准》解读第九条第（五）项。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ascii="宋体" w:hAnsi="宋体" w:cs="宋体"/>
                <w:kern w:val="0"/>
              </w:rPr>
              <w:t>1</w:t>
            </w:r>
            <w:r>
              <w:rPr>
                <w:rFonts w:hint="eastAsia" w:ascii="宋体" w:hAnsi="宋体" w:cs="宋体"/>
                <w:kern w:val="0"/>
              </w:rPr>
              <w:t>5</w:t>
            </w:r>
          </w:p>
        </w:tc>
        <w:tc>
          <w:tcPr>
            <w:tcW w:w="1162" w:type="dxa"/>
            <w:vAlign w:val="center"/>
          </w:tcPr>
          <w:p>
            <w:pPr>
              <w:jc w:val="left"/>
              <w:rPr>
                <w:rFonts w:ascii="宋体" w:cs="宋体"/>
                <w:kern w:val="0"/>
              </w:rPr>
            </w:pPr>
            <w:r>
              <w:rPr>
                <w:rFonts w:hint="eastAsia" w:ascii="宋体" w:hAnsi="宋体" w:cs="宋体"/>
                <w:kern w:val="0"/>
              </w:rPr>
              <w:t>探放水装备和人员</w:t>
            </w:r>
          </w:p>
        </w:tc>
        <w:tc>
          <w:tcPr>
            <w:tcW w:w="5501" w:type="dxa"/>
            <w:vAlign w:val="center"/>
          </w:tcPr>
          <w:p>
            <w:pPr>
              <w:jc w:val="left"/>
              <w:rPr>
                <w:rFonts w:ascii="宋体" w:hAnsi="宋体" w:cs="宋体"/>
                <w:kern w:val="0"/>
              </w:rPr>
            </w:pPr>
            <w:r>
              <w:rPr>
                <w:rFonts w:hint="eastAsia" w:ascii="宋体" w:hAnsi="宋体" w:cs="宋体"/>
                <w:kern w:val="0"/>
              </w:rPr>
              <w:t>严格执行井下探放水“三专”要求。由专业技术人员编制探放水设计，采用专用钻机进行探放水，由专职探放水队伍施工。严禁使用非专用钻机探放水。严禁使用煤电钻探放水。</w:t>
            </w:r>
          </w:p>
          <w:p>
            <w:pPr>
              <w:jc w:val="left"/>
              <w:rPr>
                <w:rFonts w:ascii="宋体" w:cs="宋体"/>
                <w:kern w:val="0"/>
              </w:rPr>
            </w:pPr>
            <w:r>
              <w:rPr>
                <w:rFonts w:hint="eastAsia" w:ascii="宋体" w:hAnsi="宋体" w:cs="宋体"/>
                <w:kern w:val="0"/>
              </w:rPr>
              <w:t>严格执行井下探放水“两探”要求。采掘工作面超前探放水应当同时采用钻探、物探两种方法，做到相互验证，查清采掘工作面及周边老空水、含水层富水性以及地质构造等情况。有条件的矿井，钻探可采用定向钻机，开展长距离、大规模探放水。</w:t>
            </w:r>
          </w:p>
        </w:tc>
        <w:tc>
          <w:tcPr>
            <w:tcW w:w="2366" w:type="dxa"/>
            <w:vAlign w:val="center"/>
          </w:tcPr>
          <w:p>
            <w:pPr>
              <w:jc w:val="left"/>
              <w:rPr>
                <w:rFonts w:ascii="宋体" w:cs="宋体"/>
                <w:kern w:val="0"/>
              </w:rPr>
            </w:pPr>
            <w:r>
              <w:rPr>
                <w:rFonts w:hint="eastAsia" w:ascii="宋体" w:hAnsi="宋体" w:cs="宋体"/>
                <w:kern w:val="0"/>
              </w:rPr>
              <w:t>《煤矿防治水细则》第三十九条。</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ascii="宋体" w:hAnsi="宋体" w:cs="宋体"/>
                <w:kern w:val="0"/>
              </w:rPr>
              <w:t>1</w:t>
            </w:r>
            <w:r>
              <w:rPr>
                <w:rFonts w:hint="eastAsia" w:ascii="宋体" w:hAnsi="宋体" w:cs="宋体"/>
                <w:kern w:val="0"/>
              </w:rPr>
              <w:t>6</w:t>
            </w:r>
          </w:p>
        </w:tc>
        <w:tc>
          <w:tcPr>
            <w:tcW w:w="1162" w:type="dxa"/>
            <w:vMerge w:val="restart"/>
            <w:vAlign w:val="center"/>
          </w:tcPr>
          <w:p>
            <w:pPr>
              <w:jc w:val="left"/>
              <w:rPr>
                <w:rFonts w:ascii="宋体" w:cs="宋体"/>
                <w:kern w:val="0"/>
              </w:rPr>
            </w:pPr>
            <w:r>
              <w:rPr>
                <w:rFonts w:hint="eastAsia" w:ascii="宋体" w:hAnsi="宋体" w:cs="宋体"/>
                <w:kern w:val="0"/>
              </w:rPr>
              <w:t>探放老空水</w:t>
            </w:r>
          </w:p>
        </w:tc>
        <w:tc>
          <w:tcPr>
            <w:tcW w:w="5501" w:type="dxa"/>
            <w:vAlign w:val="center"/>
          </w:tcPr>
          <w:p>
            <w:pPr>
              <w:jc w:val="left"/>
              <w:rPr>
                <w:rFonts w:ascii="宋体" w:cs="宋体"/>
                <w:kern w:val="0"/>
              </w:rPr>
            </w:pPr>
            <w:r>
              <w:rPr>
                <w:rFonts w:hint="eastAsia" w:ascii="宋体" w:hAnsi="宋体" w:cs="宋体"/>
                <w:kern w:val="0"/>
              </w:rPr>
              <w:t>探放老空水严格按照“查全、探清、放净、验准”四步工作程序，防治水专业技术人员全程现场盯守指导，不得用短探（小于30米）代替正规的探放水，安装视频监控监督探放水作业全过程，严格探放水基准线管控，严防探放水造假。钻孔放水前，应当估计积水量，并根据排水能力和水仓容量，控制放水流量，防止淹井淹面；放水时，应当设有专人监测钻孔出水情况，测定水量和水压，做好记录。如果水量突然变化，应当分析原因，及时处理，并立即报告矿井调度室。</w:t>
            </w:r>
          </w:p>
        </w:tc>
        <w:tc>
          <w:tcPr>
            <w:tcW w:w="2366" w:type="dxa"/>
            <w:vAlign w:val="center"/>
          </w:tcPr>
          <w:p>
            <w:pPr>
              <w:jc w:val="left"/>
              <w:rPr>
                <w:rFonts w:ascii="宋体" w:cs="宋体"/>
                <w:kern w:val="0"/>
              </w:rPr>
            </w:pPr>
            <w:r>
              <w:rPr>
                <w:rFonts w:hint="eastAsia" w:ascii="宋体" w:hAnsi="宋体" w:cs="宋体"/>
                <w:kern w:val="0"/>
              </w:rPr>
              <w:t>《煤矿防治水细则》第五十一条。</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ascii="宋体" w:hAnsi="宋体" w:cs="宋体"/>
                <w:kern w:val="0"/>
              </w:rPr>
              <w:t>1</w:t>
            </w:r>
            <w:r>
              <w:rPr>
                <w:rFonts w:hint="eastAsia" w:ascii="宋体" w:hAnsi="宋体" w:cs="宋体"/>
                <w:kern w:val="0"/>
              </w:rPr>
              <w:t>7</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cs="宋体"/>
                <w:kern w:val="0"/>
              </w:rPr>
            </w:pPr>
            <w:r>
              <w:rPr>
                <w:rFonts w:hint="eastAsia" w:ascii="宋体" w:hAnsi="宋体" w:cs="宋体"/>
                <w:kern w:val="0"/>
              </w:rPr>
              <w:t>无可靠图纸资料探老空水时，探水钻孔成组布设，并在巷道前方的水平面和竖直面内呈扇形。钻孔终孔位置满足水平面间距不得大于</w:t>
            </w:r>
            <w:r>
              <w:rPr>
                <w:rFonts w:ascii="宋体" w:hAnsi="宋体" w:cs="宋体"/>
                <w:kern w:val="0"/>
              </w:rPr>
              <w:t>3m</w:t>
            </w:r>
            <w:r>
              <w:rPr>
                <w:rFonts w:hint="eastAsia" w:ascii="宋体" w:hAnsi="宋体" w:cs="宋体"/>
                <w:kern w:val="0"/>
              </w:rPr>
              <w:t>，厚煤层内各孔终孔的竖直面间距不得大于</w:t>
            </w:r>
            <w:r>
              <w:rPr>
                <w:rFonts w:ascii="宋体" w:hAnsi="宋体" w:cs="宋体"/>
                <w:kern w:val="0"/>
              </w:rPr>
              <w:t>1.5m</w:t>
            </w:r>
            <w:r>
              <w:rPr>
                <w:rFonts w:hint="eastAsia" w:ascii="宋体" w:hAnsi="宋体" w:cs="宋体"/>
                <w:kern w:val="0"/>
              </w:rPr>
              <w:t>。</w:t>
            </w:r>
          </w:p>
        </w:tc>
        <w:tc>
          <w:tcPr>
            <w:tcW w:w="2366" w:type="dxa"/>
            <w:vAlign w:val="center"/>
          </w:tcPr>
          <w:p>
            <w:pPr>
              <w:jc w:val="left"/>
              <w:rPr>
                <w:rFonts w:ascii="宋体" w:cs="宋体"/>
                <w:kern w:val="0"/>
              </w:rPr>
            </w:pPr>
            <w:r>
              <w:rPr>
                <w:rFonts w:hint="eastAsia" w:ascii="宋体" w:hAnsi="宋体" w:cs="宋体"/>
                <w:kern w:val="0"/>
              </w:rPr>
              <w:t>《煤矿防治水细则》第四十三条第一款。</w:t>
            </w:r>
          </w:p>
        </w:tc>
        <w:tc>
          <w:tcPr>
            <w:tcW w:w="1321" w:type="dxa"/>
          </w:tcPr>
          <w:p>
            <w:pPr>
              <w:jc w:val="left"/>
              <w:rPr>
                <w:rFonts w:ascii="宋体" w:cs="宋体"/>
                <w:kern w:val="0"/>
              </w:rPr>
            </w:pPr>
          </w:p>
        </w:tc>
        <w:tc>
          <w:tcPr>
            <w:tcW w:w="1321" w:type="dxa"/>
          </w:tcPr>
          <w:p>
            <w:pPr>
              <w:jc w:val="left"/>
              <w:rPr>
                <w:rFonts w:ascii="宋体" w:cs="宋体"/>
                <w:kern w:val="0"/>
              </w:rPr>
            </w:pPr>
          </w:p>
        </w:tc>
        <w:tc>
          <w:tcPr>
            <w:tcW w:w="1321" w:type="dxa"/>
          </w:tcPr>
          <w:p>
            <w:pPr>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ascii="宋体" w:hAnsi="宋体" w:cs="宋体"/>
                <w:kern w:val="0"/>
              </w:rPr>
              <w:t>1</w:t>
            </w:r>
            <w:r>
              <w:rPr>
                <w:rFonts w:hint="eastAsia" w:ascii="宋体" w:hAnsi="宋体" w:cs="宋体"/>
                <w:kern w:val="0"/>
              </w:rPr>
              <w:t>8</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cs="宋体"/>
                <w:kern w:val="0"/>
              </w:rPr>
            </w:pPr>
            <w:r>
              <w:rPr>
                <w:rFonts w:hint="eastAsia" w:ascii="宋体" w:hAnsi="宋体" w:cs="宋体"/>
                <w:kern w:val="0"/>
              </w:rPr>
              <w:t>老空积水范围、积水量不清楚的，近距离煤层开采的或者地质构造不清楚的，探放水超前钻距不得小于</w:t>
            </w:r>
            <w:r>
              <w:rPr>
                <w:rFonts w:ascii="宋体" w:hAnsi="宋体" w:cs="宋体"/>
                <w:kern w:val="0"/>
              </w:rPr>
              <w:t>30m</w:t>
            </w:r>
            <w:r>
              <w:rPr>
                <w:rFonts w:hint="eastAsia" w:ascii="宋体" w:hAnsi="宋体" w:cs="宋体"/>
                <w:kern w:val="0"/>
              </w:rPr>
              <w:t>，止水套管长度不得小于</w:t>
            </w:r>
            <w:r>
              <w:rPr>
                <w:rFonts w:ascii="宋体" w:hAnsi="宋体" w:cs="宋体"/>
                <w:kern w:val="0"/>
              </w:rPr>
              <w:t>10m</w:t>
            </w:r>
            <w:r>
              <w:rPr>
                <w:rFonts w:hint="eastAsia" w:ascii="宋体" w:hAnsi="宋体" w:cs="宋体"/>
                <w:kern w:val="0"/>
              </w:rPr>
              <w:t>；老空积水范围、积水量等清楚的，根据水头高低、煤（岩）层厚度、强度及安全技术措施等确定；</w:t>
            </w:r>
          </w:p>
        </w:tc>
        <w:tc>
          <w:tcPr>
            <w:tcW w:w="2366" w:type="dxa"/>
            <w:vAlign w:val="center"/>
          </w:tcPr>
          <w:p>
            <w:pPr>
              <w:jc w:val="left"/>
              <w:rPr>
                <w:rFonts w:ascii="宋体" w:cs="宋体"/>
                <w:kern w:val="0"/>
              </w:rPr>
            </w:pPr>
            <w:r>
              <w:rPr>
                <w:rFonts w:hint="eastAsia" w:ascii="宋体" w:hAnsi="宋体" w:cs="宋体"/>
                <w:kern w:val="0"/>
              </w:rPr>
              <w:t>《煤矿防治水细则》第四十八条第一项。</w:t>
            </w:r>
          </w:p>
        </w:tc>
        <w:tc>
          <w:tcPr>
            <w:tcW w:w="1321" w:type="dxa"/>
          </w:tcPr>
          <w:p>
            <w:pPr>
              <w:jc w:val="left"/>
              <w:rPr>
                <w:rFonts w:ascii="宋体" w:cs="宋体"/>
                <w:kern w:val="0"/>
              </w:rPr>
            </w:pPr>
          </w:p>
        </w:tc>
        <w:tc>
          <w:tcPr>
            <w:tcW w:w="1321" w:type="dxa"/>
          </w:tcPr>
          <w:p>
            <w:pPr>
              <w:jc w:val="left"/>
              <w:rPr>
                <w:rFonts w:ascii="宋体" w:cs="宋体"/>
                <w:kern w:val="0"/>
              </w:rPr>
            </w:pPr>
          </w:p>
        </w:tc>
        <w:tc>
          <w:tcPr>
            <w:tcW w:w="1321" w:type="dxa"/>
          </w:tcPr>
          <w:p>
            <w:pPr>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ascii="宋体" w:hAnsi="宋体" w:cs="宋体"/>
                <w:kern w:val="0"/>
              </w:rPr>
              <w:t>1</w:t>
            </w:r>
            <w:r>
              <w:rPr>
                <w:rFonts w:hint="eastAsia" w:ascii="宋体" w:hAnsi="宋体" w:cs="宋体"/>
                <w:kern w:val="0"/>
              </w:rPr>
              <w:t>9</w:t>
            </w:r>
          </w:p>
        </w:tc>
        <w:tc>
          <w:tcPr>
            <w:tcW w:w="1162" w:type="dxa"/>
            <w:vMerge w:val="restart"/>
            <w:vAlign w:val="center"/>
          </w:tcPr>
          <w:p>
            <w:pPr>
              <w:jc w:val="left"/>
              <w:rPr>
                <w:rFonts w:ascii="宋体" w:cs="宋体"/>
                <w:kern w:val="0"/>
              </w:rPr>
            </w:pPr>
            <w:r>
              <w:rPr>
                <w:rFonts w:hint="eastAsia" w:ascii="宋体" w:hAnsi="宋体" w:cs="宋体"/>
                <w:kern w:val="0"/>
              </w:rPr>
              <w:t>水体下采煤</w:t>
            </w:r>
          </w:p>
        </w:tc>
        <w:tc>
          <w:tcPr>
            <w:tcW w:w="5501" w:type="dxa"/>
            <w:vAlign w:val="center"/>
          </w:tcPr>
          <w:p>
            <w:pPr>
              <w:jc w:val="left"/>
              <w:rPr>
                <w:rFonts w:ascii="宋体" w:cs="宋体"/>
                <w:kern w:val="0"/>
              </w:rPr>
            </w:pPr>
            <w:r>
              <w:rPr>
                <w:rFonts w:hint="eastAsia" w:ascii="宋体" w:hAnsi="宋体" w:cs="宋体"/>
                <w:kern w:val="0"/>
              </w:rPr>
              <w:t>严禁在水体下或老空水淹区域下开采急倾斜煤层。</w:t>
            </w:r>
          </w:p>
          <w:p>
            <w:pPr>
              <w:jc w:val="left"/>
              <w:rPr>
                <w:rFonts w:ascii="宋体" w:cs="宋体"/>
                <w:kern w:val="0"/>
              </w:rPr>
            </w:pPr>
            <w:r>
              <w:rPr>
                <w:rFonts w:hint="eastAsia" w:ascii="宋体" w:hAnsi="宋体" w:cs="宋体"/>
                <w:kern w:val="0"/>
              </w:rPr>
              <w:t>凡是放顶煤开采后有可能与地表水、老空水、强含水层、离层水、松散含水层导通的，一律严禁采用放顶煤开采。</w:t>
            </w:r>
          </w:p>
        </w:tc>
        <w:tc>
          <w:tcPr>
            <w:tcW w:w="2366" w:type="dxa"/>
            <w:vAlign w:val="center"/>
          </w:tcPr>
          <w:p>
            <w:pPr>
              <w:jc w:val="left"/>
              <w:rPr>
                <w:rFonts w:ascii="宋体" w:cs="宋体"/>
                <w:kern w:val="0"/>
              </w:rPr>
            </w:pPr>
            <w:r>
              <w:rPr>
                <w:rFonts w:hint="eastAsia" w:ascii="宋体" w:hAnsi="宋体" w:cs="宋体"/>
                <w:kern w:val="0"/>
              </w:rPr>
              <w:t>《煤矿防治水细则》第八十八条第三项；《煤矿重大事故隐患判定标准》解读第九条第（九）项。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20</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cs="宋体"/>
                <w:kern w:val="0"/>
              </w:rPr>
            </w:pPr>
            <w:r>
              <w:rPr>
                <w:rFonts w:hint="eastAsia" w:ascii="宋体" w:hAnsi="宋体" w:cs="宋体"/>
                <w:kern w:val="0"/>
              </w:rPr>
              <w:t>河流、湖泊、水库和海域等地面水体下采煤，留足防隔水煤（岩）柱。</w:t>
            </w:r>
          </w:p>
        </w:tc>
        <w:tc>
          <w:tcPr>
            <w:tcW w:w="2366" w:type="dxa"/>
            <w:vAlign w:val="center"/>
          </w:tcPr>
          <w:p>
            <w:pPr>
              <w:jc w:val="left"/>
              <w:rPr>
                <w:rFonts w:ascii="宋体" w:cs="宋体"/>
                <w:kern w:val="0"/>
              </w:rPr>
            </w:pPr>
            <w:r>
              <w:rPr>
                <w:rFonts w:hint="eastAsia" w:ascii="宋体" w:hAnsi="宋体" w:cs="宋体"/>
                <w:kern w:val="0"/>
              </w:rPr>
              <w:t>《煤矿防治水细则》第八十四条第一款。</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21</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cs="宋体"/>
                <w:kern w:val="0"/>
              </w:rPr>
            </w:pPr>
            <w:r>
              <w:rPr>
                <w:rFonts w:hint="eastAsia" w:ascii="宋体" w:hAnsi="宋体" w:cs="宋体"/>
                <w:kern w:val="0"/>
              </w:rPr>
              <w:t>在松散含水层下开采时，应当按照水体采动等级留设防水、防砂或者防塌等不同类型的防隔水煤（岩）柱。</w:t>
            </w:r>
          </w:p>
        </w:tc>
        <w:tc>
          <w:tcPr>
            <w:tcW w:w="2366" w:type="dxa"/>
            <w:vAlign w:val="center"/>
          </w:tcPr>
          <w:p>
            <w:pPr>
              <w:jc w:val="left"/>
              <w:rPr>
                <w:rFonts w:ascii="宋体" w:cs="宋体"/>
                <w:kern w:val="0"/>
              </w:rPr>
            </w:pPr>
            <w:r>
              <w:rPr>
                <w:rFonts w:hint="eastAsia" w:ascii="宋体" w:hAnsi="宋体" w:cs="宋体"/>
                <w:kern w:val="0"/>
              </w:rPr>
              <w:t>《煤矿防治水细则》第八十四条第二款。</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22</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cs="宋体"/>
                <w:kern w:val="0"/>
              </w:rPr>
            </w:pPr>
            <w:r>
              <w:rPr>
                <w:rFonts w:hint="eastAsia" w:ascii="宋体" w:hAnsi="宋体" w:cs="宋体"/>
                <w:kern w:val="0"/>
              </w:rPr>
              <w:t>在基岩含水层（体）或者含水断裂带下开采时，应当对开采前后覆岩的渗透性及含水层之间的水力联系进行分析评价，确定采用留设防隔水煤（岩）柱或者采用疏干（降）等方法保证安全开采。</w:t>
            </w:r>
          </w:p>
        </w:tc>
        <w:tc>
          <w:tcPr>
            <w:tcW w:w="2366" w:type="dxa"/>
            <w:vAlign w:val="center"/>
          </w:tcPr>
          <w:p>
            <w:pPr>
              <w:jc w:val="left"/>
              <w:rPr>
                <w:rFonts w:ascii="宋体" w:cs="宋体"/>
                <w:kern w:val="0"/>
              </w:rPr>
            </w:pPr>
            <w:r>
              <w:rPr>
                <w:rFonts w:hint="eastAsia" w:ascii="宋体" w:hAnsi="宋体" w:cs="宋体"/>
                <w:kern w:val="0"/>
              </w:rPr>
              <w:t>《煤矿防治水细则》第八十四条第三款。</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23</w:t>
            </w:r>
          </w:p>
        </w:tc>
        <w:tc>
          <w:tcPr>
            <w:tcW w:w="1162" w:type="dxa"/>
            <w:vMerge w:val="restart"/>
            <w:vAlign w:val="center"/>
          </w:tcPr>
          <w:p>
            <w:pPr>
              <w:jc w:val="left"/>
              <w:rPr>
                <w:rFonts w:ascii="宋体" w:cs="宋体"/>
                <w:kern w:val="0"/>
              </w:rPr>
            </w:pPr>
            <w:r>
              <w:rPr>
                <w:rFonts w:hint="eastAsia" w:ascii="宋体" w:hAnsi="宋体" w:cs="宋体"/>
                <w:kern w:val="0"/>
              </w:rPr>
              <w:t>防隔水煤岩柱</w:t>
            </w:r>
          </w:p>
        </w:tc>
        <w:tc>
          <w:tcPr>
            <w:tcW w:w="5501" w:type="dxa"/>
            <w:vAlign w:val="center"/>
          </w:tcPr>
          <w:p>
            <w:pPr>
              <w:jc w:val="left"/>
              <w:rPr>
                <w:rFonts w:ascii="宋体" w:cs="宋体"/>
                <w:kern w:val="0"/>
              </w:rPr>
            </w:pPr>
            <w:r>
              <w:rPr>
                <w:rFonts w:hint="eastAsia" w:ascii="宋体" w:hAnsi="宋体" w:cs="宋体"/>
                <w:kern w:val="0"/>
              </w:rPr>
              <w:t>矿井防隔水煤</w:t>
            </w:r>
            <w:r>
              <w:rPr>
                <w:rFonts w:ascii="宋体" w:hAnsi="宋体" w:cs="宋体"/>
                <w:kern w:val="0"/>
              </w:rPr>
              <w:t>(</w:t>
            </w:r>
            <w:r>
              <w:rPr>
                <w:rFonts w:hint="eastAsia" w:ascii="宋体" w:hAnsi="宋体" w:cs="宋体"/>
                <w:kern w:val="0"/>
              </w:rPr>
              <w:t>岩</w:t>
            </w:r>
            <w:r>
              <w:rPr>
                <w:rFonts w:ascii="宋体" w:hAnsi="宋体" w:cs="宋体"/>
                <w:kern w:val="0"/>
              </w:rPr>
              <w:t>)</w:t>
            </w:r>
            <w:r>
              <w:rPr>
                <w:rFonts w:hint="eastAsia" w:ascii="宋体" w:hAnsi="宋体" w:cs="宋体"/>
                <w:kern w:val="0"/>
              </w:rPr>
              <w:t>柱一经确定，不得随意变动。严禁开采各类防隔水煤（岩）柱。</w:t>
            </w:r>
          </w:p>
        </w:tc>
        <w:tc>
          <w:tcPr>
            <w:tcW w:w="2366" w:type="dxa"/>
            <w:vAlign w:val="center"/>
          </w:tcPr>
          <w:p>
            <w:pPr>
              <w:jc w:val="left"/>
              <w:rPr>
                <w:rFonts w:ascii="宋体" w:cs="宋体"/>
                <w:kern w:val="0"/>
              </w:rPr>
            </w:pPr>
            <w:r>
              <w:rPr>
                <w:rFonts w:hint="eastAsia" w:ascii="宋体" w:hAnsi="宋体" w:cs="宋体"/>
                <w:kern w:val="0"/>
              </w:rPr>
              <w:t>《煤矿防治水细则》第九十四条，《煤矿重大事故隐患判定标准》解读第九条第（四）项。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4</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cs="宋体"/>
                <w:kern w:val="0"/>
              </w:rPr>
            </w:pPr>
            <w:r>
              <w:rPr>
                <w:rFonts w:hint="eastAsia" w:ascii="宋体" w:hAnsi="宋体" w:cs="宋体"/>
                <w:kern w:val="0"/>
              </w:rPr>
              <w:t>相邻矿井的分界处，应当留设防隔水煤（岩）柱。矿井以断层分界的，应当在断层两侧留设防隔水煤（岩）柱。</w:t>
            </w:r>
          </w:p>
        </w:tc>
        <w:tc>
          <w:tcPr>
            <w:tcW w:w="2366" w:type="dxa"/>
            <w:vAlign w:val="center"/>
          </w:tcPr>
          <w:p>
            <w:pPr>
              <w:jc w:val="left"/>
              <w:rPr>
                <w:rFonts w:ascii="宋体" w:cs="宋体"/>
                <w:kern w:val="0"/>
              </w:rPr>
            </w:pPr>
            <w:r>
              <w:rPr>
                <w:rFonts w:hint="eastAsia" w:ascii="宋体" w:hAnsi="宋体" w:cs="宋体"/>
                <w:kern w:val="0"/>
              </w:rPr>
              <w:t>《煤矿防治水细则》第九十一条，《煤矿重大事故隐患判定标准》解读第九条第（四）项。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5</w:t>
            </w:r>
          </w:p>
        </w:tc>
        <w:tc>
          <w:tcPr>
            <w:tcW w:w="1162" w:type="dxa"/>
            <w:vMerge w:val="continue"/>
            <w:vAlign w:val="center"/>
          </w:tcPr>
          <w:p>
            <w:pPr>
              <w:jc w:val="left"/>
              <w:rPr>
                <w:rFonts w:ascii="宋体" w:cs="宋体"/>
                <w:kern w:val="0"/>
              </w:rPr>
            </w:pPr>
          </w:p>
        </w:tc>
        <w:tc>
          <w:tcPr>
            <w:tcW w:w="5501" w:type="dxa"/>
            <w:vAlign w:val="bottom"/>
          </w:tcPr>
          <w:p>
            <w:pPr>
              <w:jc w:val="left"/>
              <w:rPr>
                <w:rFonts w:ascii="宋体" w:cs="宋体"/>
                <w:kern w:val="0"/>
              </w:rPr>
            </w:pPr>
            <w:r>
              <w:rPr>
                <w:rFonts w:hint="eastAsia" w:ascii="宋体" w:hAnsi="宋体" w:cs="宋体"/>
                <w:kern w:val="0"/>
              </w:rPr>
              <w:t>有下列情况之一的，应当留设防隔水煤（岩）柱：一）煤层露头风化带；（二）在地表水体、含水冲积层下或者水淹区域邻近地带；（三）与富水性强的含水层间存在水力联系的断层、裂隙带或者强导水断层接触的煤层；（四）有大量积水的老空；（五）导水、充水的陷落柱、岩溶洞穴或者地下暗河；（六）分区隔离开采边界；（七）受保护的观测孔、注浆孔和电缆孔等。</w:t>
            </w:r>
          </w:p>
        </w:tc>
        <w:tc>
          <w:tcPr>
            <w:tcW w:w="2366" w:type="dxa"/>
            <w:vAlign w:val="center"/>
          </w:tcPr>
          <w:p>
            <w:pPr>
              <w:jc w:val="left"/>
              <w:rPr>
                <w:rFonts w:ascii="宋体" w:cs="宋体"/>
                <w:kern w:val="0"/>
              </w:rPr>
            </w:pPr>
            <w:r>
              <w:rPr>
                <w:rFonts w:hint="eastAsia" w:ascii="宋体" w:hAnsi="宋体" w:cs="宋体"/>
                <w:kern w:val="0"/>
              </w:rPr>
              <w:t>《煤矿防治水细则》第九十二条，《煤矿重大事故隐患判定标准》解读第九条第（四）项。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6</w:t>
            </w:r>
          </w:p>
        </w:tc>
        <w:tc>
          <w:tcPr>
            <w:tcW w:w="1162" w:type="dxa"/>
            <w:vMerge w:val="continue"/>
            <w:vAlign w:val="center"/>
          </w:tcPr>
          <w:p>
            <w:pPr>
              <w:jc w:val="left"/>
              <w:rPr>
                <w:rFonts w:ascii="宋体" w:cs="宋体"/>
                <w:kern w:val="0"/>
              </w:rPr>
            </w:pPr>
          </w:p>
        </w:tc>
        <w:tc>
          <w:tcPr>
            <w:tcW w:w="5501" w:type="dxa"/>
            <w:vAlign w:val="bottom"/>
          </w:tcPr>
          <w:p>
            <w:pPr>
              <w:jc w:val="left"/>
              <w:rPr>
                <w:rFonts w:ascii="宋体" w:hAnsi="宋体" w:cs="宋体"/>
                <w:kern w:val="0"/>
              </w:rPr>
            </w:pPr>
            <w:r>
              <w:rPr>
                <w:rFonts w:hint="eastAsia" w:ascii="宋体" w:hAnsi="宋体" w:cs="宋体"/>
                <w:kern w:val="0"/>
              </w:rPr>
              <w:t>矿井应当根据地质构造、水文地质条件、煤层赋存条件、围岩物理力学性质、开采方法及岩层移动规律等因素确定相应的防隔水煤（岩）柱的尺寸。防隔水煤（岩）柱的尺寸要求见附录六，但不得小于</w:t>
            </w:r>
            <w:r>
              <w:rPr>
                <w:rFonts w:ascii="宋体" w:hAnsi="宋体" w:cs="宋体"/>
                <w:kern w:val="0"/>
              </w:rPr>
              <w:t>20m</w:t>
            </w:r>
            <w:r>
              <w:rPr>
                <w:rFonts w:hint="eastAsia" w:ascii="宋体" w:hAnsi="宋体" w:cs="宋体"/>
                <w:kern w:val="0"/>
              </w:rPr>
              <w:t>。</w:t>
            </w:r>
          </w:p>
          <w:p>
            <w:pPr>
              <w:jc w:val="left"/>
              <w:rPr>
                <w:rFonts w:ascii="宋体" w:cs="宋体"/>
                <w:kern w:val="0"/>
              </w:rPr>
            </w:pPr>
            <w:r>
              <w:rPr>
                <w:rFonts w:hint="eastAsia" w:ascii="宋体" w:hAnsi="宋体" w:cs="宋体"/>
                <w:kern w:val="0"/>
              </w:rPr>
              <w:t>防隔水煤（岩）柱应当由矿井地测部门组织编制专门设计，经煤炭企业总工程师组织有关单位审批后实施。</w:t>
            </w:r>
          </w:p>
        </w:tc>
        <w:tc>
          <w:tcPr>
            <w:tcW w:w="2366" w:type="dxa"/>
            <w:vAlign w:val="center"/>
          </w:tcPr>
          <w:p>
            <w:pPr>
              <w:jc w:val="left"/>
              <w:rPr>
                <w:rFonts w:ascii="宋体" w:cs="宋体"/>
                <w:kern w:val="0"/>
              </w:rPr>
            </w:pPr>
            <w:r>
              <w:rPr>
                <w:rFonts w:hint="eastAsia" w:ascii="宋体" w:hAnsi="宋体" w:cs="宋体"/>
                <w:kern w:val="0"/>
              </w:rPr>
              <w:t>《煤矿防治水细则》第九十三条，《煤矿重大事故隐患判定标准》解读第九条第（四）项。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7</w:t>
            </w:r>
          </w:p>
        </w:tc>
        <w:tc>
          <w:tcPr>
            <w:tcW w:w="1162" w:type="dxa"/>
            <w:vAlign w:val="center"/>
          </w:tcPr>
          <w:p>
            <w:pPr>
              <w:jc w:val="left"/>
              <w:rPr>
                <w:rFonts w:ascii="宋体" w:cs="宋体"/>
                <w:kern w:val="0"/>
              </w:rPr>
            </w:pPr>
            <w:r>
              <w:rPr>
                <w:rFonts w:hint="eastAsia" w:ascii="宋体" w:hAnsi="宋体" w:cs="宋体"/>
                <w:kern w:val="0"/>
              </w:rPr>
              <w:t>突水征兆</w:t>
            </w:r>
          </w:p>
        </w:tc>
        <w:tc>
          <w:tcPr>
            <w:tcW w:w="5501" w:type="dxa"/>
            <w:vAlign w:val="bottom"/>
          </w:tcPr>
          <w:p>
            <w:pPr>
              <w:jc w:val="left"/>
              <w:rPr>
                <w:rFonts w:ascii="宋体" w:cs="宋体"/>
                <w:kern w:val="0"/>
              </w:rPr>
            </w:pPr>
            <w:r>
              <w:rPr>
                <w:rFonts w:hint="eastAsia" w:ascii="宋体" w:hAnsi="宋体" w:cs="宋体"/>
                <w:kern w:val="0"/>
              </w:rPr>
              <w:t>井下有煤层变湿、挂红、挂汗、空气变冷、出现雾气、水叫、顶板来压、片帮、淋水加大、底板鼓起或者裂隙渗水、钻孔喷水、煤壁溃水、水色发浑、有臭味等透水征兆时</w:t>
            </w:r>
            <w:r>
              <w:rPr>
                <w:rFonts w:ascii="宋体" w:hAnsi="宋体" w:cs="宋体"/>
                <w:kern w:val="0"/>
              </w:rPr>
              <w:t>,</w:t>
            </w:r>
            <w:r>
              <w:rPr>
                <w:rFonts w:hint="eastAsia" w:ascii="宋体" w:hAnsi="宋体" w:cs="宋体"/>
                <w:kern w:val="0"/>
              </w:rPr>
              <w:t>必须立即停止作业，撤出所有受水患威胁地点的人员</w:t>
            </w:r>
            <w:r>
              <w:rPr>
                <w:rFonts w:ascii="宋体" w:hAnsi="宋体" w:cs="宋体"/>
                <w:kern w:val="0"/>
              </w:rPr>
              <w:t>,</w:t>
            </w:r>
            <w:r>
              <w:rPr>
                <w:rFonts w:hint="eastAsia" w:ascii="宋体" w:hAnsi="宋体" w:cs="宋体"/>
                <w:kern w:val="0"/>
              </w:rPr>
              <w:t>报告矿调度室</w:t>
            </w:r>
            <w:r>
              <w:rPr>
                <w:rFonts w:ascii="宋体" w:hAnsi="宋体" w:cs="宋体"/>
                <w:kern w:val="0"/>
              </w:rPr>
              <w:t>,</w:t>
            </w:r>
            <w:r>
              <w:rPr>
                <w:rFonts w:hint="eastAsia" w:ascii="宋体" w:hAnsi="宋体" w:cs="宋体"/>
                <w:kern w:val="0"/>
              </w:rPr>
              <w:t>并发出警报。</w:t>
            </w:r>
          </w:p>
          <w:p>
            <w:pPr>
              <w:jc w:val="left"/>
              <w:rPr>
                <w:rFonts w:ascii="宋体" w:cs="宋体"/>
                <w:spacing w:val="-6"/>
                <w:kern w:val="0"/>
              </w:rPr>
            </w:pPr>
            <w:r>
              <w:rPr>
                <w:rFonts w:hint="eastAsia" w:ascii="宋体" w:hAnsi="宋体" w:cs="宋体"/>
                <w:spacing w:val="-6"/>
                <w:kern w:val="0"/>
              </w:rPr>
              <w:t>在原因未查清、隐患未排除之前，不得进行任何采掘活动。</w:t>
            </w:r>
            <w:r>
              <w:rPr>
                <w:rFonts w:hint="eastAsia" w:ascii="宋体" w:hAnsi="宋体" w:cs="宋体"/>
                <w:kern w:val="0"/>
              </w:rPr>
              <w:t>煤矿矿长必须赋予调度员、井下带班人员、安检员、班组长等停产撤人的权力。</w:t>
            </w:r>
          </w:p>
          <w:p>
            <w:pPr>
              <w:jc w:val="left"/>
              <w:rPr>
                <w:rFonts w:ascii="宋体" w:cs="宋体"/>
                <w:kern w:val="0"/>
              </w:rPr>
            </w:pPr>
            <w:r>
              <w:rPr>
                <w:rFonts w:hint="eastAsia" w:ascii="宋体" w:hAnsi="宋体" w:cs="宋体"/>
                <w:spacing w:val="-6"/>
                <w:kern w:val="0"/>
              </w:rPr>
              <w:t>矿井管理人员、调度室人员和其他相关作业人员应当熟悉突水征兆、水害应急预案内容、应急职责、应急处置程序及措施</w:t>
            </w:r>
            <w:r>
              <w:rPr>
                <w:rFonts w:hint="eastAsia" w:ascii="宋体" w:hAnsi="宋体" w:cs="宋体"/>
                <w:kern w:val="0"/>
              </w:rPr>
              <w:t>。</w:t>
            </w:r>
          </w:p>
        </w:tc>
        <w:tc>
          <w:tcPr>
            <w:tcW w:w="2366" w:type="dxa"/>
            <w:vAlign w:val="center"/>
          </w:tcPr>
          <w:p>
            <w:pPr>
              <w:jc w:val="left"/>
              <w:rPr>
                <w:rFonts w:ascii="宋体" w:cs="宋体"/>
                <w:kern w:val="0"/>
              </w:rPr>
            </w:pPr>
            <w:r>
              <w:rPr>
                <w:rFonts w:hint="eastAsia" w:ascii="宋体" w:hAnsi="宋体" w:cs="宋体"/>
                <w:kern w:val="0"/>
              </w:rPr>
              <w:t>《煤矿安全规程》第二百八十八条，《煤矿重大事故隐患判定标准》解读第九条第（四）项</w:t>
            </w:r>
          </w:p>
          <w:p>
            <w:pPr>
              <w:jc w:val="left"/>
              <w:rPr>
                <w:rFonts w:ascii="宋体" w:cs="宋体"/>
                <w:kern w:val="0"/>
              </w:rPr>
            </w:pPr>
            <w:r>
              <w:rPr>
                <w:rFonts w:hint="eastAsia" w:ascii="宋体" w:hAnsi="宋体" w:cs="宋体"/>
                <w:kern w:val="0"/>
              </w:rPr>
              <w:t>《煤矿防治水细则》第一百二十三条。</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28</w:t>
            </w:r>
          </w:p>
        </w:tc>
        <w:tc>
          <w:tcPr>
            <w:tcW w:w="1162" w:type="dxa"/>
            <w:vAlign w:val="center"/>
          </w:tcPr>
          <w:p>
            <w:pPr>
              <w:jc w:val="left"/>
              <w:rPr>
                <w:rFonts w:ascii="宋体" w:hAnsi="宋体" w:cs="宋体"/>
                <w:kern w:val="0"/>
              </w:rPr>
            </w:pPr>
            <w:r>
              <w:rPr>
                <w:rFonts w:hint="eastAsia" w:ascii="宋体" w:hAnsi="宋体" w:cs="宋体"/>
                <w:kern w:val="0"/>
              </w:rPr>
              <w:t>防治水知识培训</w:t>
            </w:r>
          </w:p>
        </w:tc>
        <w:tc>
          <w:tcPr>
            <w:tcW w:w="5501" w:type="dxa"/>
            <w:vAlign w:val="bottom"/>
          </w:tcPr>
          <w:p>
            <w:pPr>
              <w:jc w:val="left"/>
              <w:rPr>
                <w:rFonts w:ascii="宋体" w:hAnsi="宋体" w:cs="宋体"/>
                <w:kern w:val="0"/>
              </w:rPr>
            </w:pPr>
            <w:r>
              <w:rPr>
                <w:rFonts w:hint="eastAsia" w:ascii="宋体" w:hAnsi="宋体" w:cs="宋体"/>
                <w:kern w:val="0"/>
              </w:rPr>
              <w:t>加强职工培训，经常开展水害事故警示教育。鼓励职工报告井下重大水患，对避免造成事故的要给予重奖。</w:t>
            </w:r>
          </w:p>
        </w:tc>
        <w:tc>
          <w:tcPr>
            <w:tcW w:w="2366" w:type="dxa"/>
            <w:vAlign w:val="center"/>
          </w:tcPr>
          <w:p>
            <w:pPr>
              <w:jc w:val="left"/>
              <w:rPr>
                <w:rFonts w:ascii="宋体" w:hAnsi="宋体" w:cs="宋体"/>
                <w:kern w:val="0"/>
              </w:rPr>
            </w:pPr>
            <w:r>
              <w:rPr>
                <w:rFonts w:hint="eastAsia" w:ascii="宋体" w:hAnsi="宋体" w:cs="宋体"/>
                <w:kern w:val="0"/>
              </w:rPr>
              <w:t>《煤矿防治水细则》第十条。</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9</w:t>
            </w:r>
          </w:p>
        </w:tc>
        <w:tc>
          <w:tcPr>
            <w:tcW w:w="1162" w:type="dxa"/>
            <w:vMerge w:val="restart"/>
            <w:vAlign w:val="center"/>
          </w:tcPr>
          <w:p>
            <w:pPr>
              <w:jc w:val="left"/>
              <w:rPr>
                <w:rFonts w:ascii="宋体" w:cs="宋体"/>
                <w:kern w:val="0"/>
              </w:rPr>
            </w:pPr>
            <w:r>
              <w:rPr>
                <w:rFonts w:hint="eastAsia" w:ascii="宋体" w:hAnsi="宋体" w:cs="宋体"/>
                <w:kern w:val="0"/>
              </w:rPr>
              <w:t>　</w:t>
            </w:r>
          </w:p>
          <w:p>
            <w:pPr>
              <w:jc w:val="left"/>
              <w:rPr>
                <w:rFonts w:ascii="宋体" w:cs="宋体"/>
                <w:kern w:val="0"/>
              </w:rPr>
            </w:pPr>
            <w:r>
              <w:rPr>
                <w:rFonts w:hint="eastAsia" w:ascii="宋体" w:hAnsi="宋体" w:cs="宋体"/>
                <w:kern w:val="0"/>
              </w:rPr>
              <w:t>排水系统</w:t>
            </w:r>
          </w:p>
          <w:p>
            <w:pPr>
              <w:jc w:val="left"/>
              <w:rPr>
                <w:rFonts w:ascii="宋体" w:cs="宋体"/>
                <w:kern w:val="0"/>
              </w:rPr>
            </w:pPr>
            <w:r>
              <w:rPr>
                <w:rFonts w:hint="eastAsia" w:ascii="宋体" w:hAnsi="宋体" w:cs="宋体"/>
                <w:kern w:val="0"/>
              </w:rPr>
              <w:t>　</w:t>
            </w:r>
          </w:p>
          <w:p>
            <w:pPr>
              <w:jc w:val="left"/>
              <w:rPr>
                <w:rFonts w:ascii="宋体" w:cs="宋体"/>
                <w:kern w:val="0"/>
              </w:rPr>
            </w:pPr>
            <w:r>
              <w:rPr>
                <w:rFonts w:hint="eastAsia" w:ascii="宋体" w:hAnsi="宋体" w:cs="宋体"/>
                <w:kern w:val="0"/>
              </w:rPr>
              <w:t>　</w:t>
            </w:r>
          </w:p>
        </w:tc>
        <w:tc>
          <w:tcPr>
            <w:tcW w:w="5501" w:type="dxa"/>
            <w:vAlign w:val="bottom"/>
          </w:tcPr>
          <w:p>
            <w:pPr>
              <w:jc w:val="left"/>
              <w:rPr>
                <w:rFonts w:ascii="宋体" w:cs="宋体"/>
                <w:spacing w:val="-6"/>
                <w:kern w:val="0"/>
              </w:rPr>
            </w:pPr>
            <w:r>
              <w:rPr>
                <w:rFonts w:hint="eastAsia" w:ascii="宋体" w:hAnsi="宋体" w:cs="宋体"/>
                <w:spacing w:val="-6"/>
                <w:kern w:val="0"/>
              </w:rPr>
              <w:t>矿井应当配备与矿井涌水量相匹配的水泵、排水管路、配电设备和水仓等，并满足矿井排水的需要。工作水泵的能力，应当能在</w:t>
            </w:r>
            <w:r>
              <w:rPr>
                <w:rFonts w:ascii="宋体" w:hAnsi="宋体" w:cs="宋体"/>
                <w:spacing w:val="-6"/>
                <w:kern w:val="0"/>
              </w:rPr>
              <w:t>20h</w:t>
            </w:r>
            <w:r>
              <w:rPr>
                <w:rFonts w:hint="eastAsia" w:ascii="宋体" w:hAnsi="宋体" w:cs="宋体"/>
                <w:spacing w:val="-6"/>
                <w:kern w:val="0"/>
              </w:rPr>
              <w:t>内排出矿井</w:t>
            </w:r>
            <w:r>
              <w:rPr>
                <w:rFonts w:ascii="宋体" w:hAnsi="宋体" w:cs="宋体"/>
                <w:spacing w:val="-6"/>
                <w:kern w:val="0"/>
              </w:rPr>
              <w:t>24h</w:t>
            </w:r>
            <w:r>
              <w:rPr>
                <w:rFonts w:hint="eastAsia" w:ascii="宋体" w:hAnsi="宋体" w:cs="宋体"/>
                <w:spacing w:val="-6"/>
                <w:kern w:val="0"/>
              </w:rPr>
              <w:t>的正常涌水量（包括充填水及其他用水）。备用水泵的能力，应当不小于工作水泵能力的</w:t>
            </w:r>
            <w:r>
              <w:rPr>
                <w:rFonts w:ascii="宋体" w:hAnsi="宋体" w:cs="宋体"/>
                <w:spacing w:val="-6"/>
                <w:kern w:val="0"/>
              </w:rPr>
              <w:t>70%</w:t>
            </w:r>
            <w:r>
              <w:rPr>
                <w:rFonts w:hint="eastAsia" w:ascii="宋体" w:hAnsi="宋体" w:cs="宋体"/>
                <w:spacing w:val="-6"/>
                <w:kern w:val="0"/>
              </w:rPr>
              <w:t>。检修水泵的能力，应当不小于工作水泵的</w:t>
            </w:r>
            <w:r>
              <w:rPr>
                <w:rFonts w:ascii="宋体" w:hAnsi="宋体" w:cs="宋体"/>
                <w:spacing w:val="-6"/>
                <w:kern w:val="0"/>
              </w:rPr>
              <w:t>25%</w:t>
            </w:r>
            <w:r>
              <w:rPr>
                <w:rFonts w:hint="eastAsia" w:ascii="宋体" w:hAnsi="宋体" w:cs="宋体"/>
                <w:spacing w:val="-6"/>
                <w:kern w:val="0"/>
              </w:rPr>
              <w:t>。工作和备用水泵的总能力，应当能在</w:t>
            </w:r>
            <w:r>
              <w:rPr>
                <w:rFonts w:ascii="宋体" w:hAnsi="宋体" w:cs="宋体"/>
                <w:spacing w:val="-6"/>
                <w:kern w:val="0"/>
              </w:rPr>
              <w:t>20h</w:t>
            </w:r>
            <w:r>
              <w:rPr>
                <w:rFonts w:hint="eastAsia" w:ascii="宋体" w:hAnsi="宋体" w:cs="宋体"/>
                <w:spacing w:val="-6"/>
                <w:kern w:val="0"/>
              </w:rPr>
              <w:t>内排出矿井</w:t>
            </w:r>
            <w:r>
              <w:rPr>
                <w:rFonts w:ascii="宋体" w:hAnsi="宋体" w:cs="宋体"/>
                <w:spacing w:val="-6"/>
                <w:kern w:val="0"/>
              </w:rPr>
              <w:t>24h</w:t>
            </w:r>
            <w:r>
              <w:rPr>
                <w:rFonts w:hint="eastAsia" w:ascii="宋体" w:hAnsi="宋体" w:cs="宋体"/>
                <w:spacing w:val="-6"/>
                <w:kern w:val="0"/>
              </w:rPr>
              <w:t>的最大涌水量。</w:t>
            </w:r>
          </w:p>
          <w:p>
            <w:pPr>
              <w:jc w:val="left"/>
              <w:rPr>
                <w:rFonts w:ascii="宋体" w:cs="宋体"/>
                <w:kern w:val="0"/>
              </w:rPr>
            </w:pPr>
            <w:r>
              <w:rPr>
                <w:rFonts w:hint="eastAsia" w:ascii="宋体" w:hAnsi="宋体" w:cs="宋体"/>
                <w:kern w:val="0"/>
              </w:rPr>
              <w:t>水泵安全检验是否符合标准规定。</w:t>
            </w:r>
          </w:p>
        </w:tc>
        <w:tc>
          <w:tcPr>
            <w:tcW w:w="2366" w:type="dxa"/>
            <w:vAlign w:val="center"/>
          </w:tcPr>
          <w:p>
            <w:pPr>
              <w:jc w:val="left"/>
              <w:rPr>
                <w:rFonts w:ascii="宋体" w:cs="宋体"/>
                <w:kern w:val="0"/>
              </w:rPr>
            </w:pPr>
            <w:r>
              <w:rPr>
                <w:rFonts w:hint="eastAsia" w:ascii="宋体" w:hAnsi="宋体" w:cs="宋体"/>
                <w:kern w:val="0"/>
              </w:rPr>
              <w:t>《煤矿防治水细则》第一百零六条，《煤矿重大事故隐患判定标准》解读第九条第（八）项</w:t>
            </w:r>
          </w:p>
          <w:p>
            <w:pPr>
              <w:jc w:val="left"/>
              <w:rPr>
                <w:rFonts w:ascii="宋体" w:cs="宋体"/>
                <w:kern w:val="0"/>
              </w:rPr>
            </w:pPr>
            <w:r>
              <w:rPr>
                <w:rFonts w:hint="eastAsia" w:ascii="宋体" w:hAnsi="宋体" w:cs="宋体"/>
                <w:kern w:val="0"/>
              </w:rPr>
              <w:t>《煤矿在用主排水系统安全检测检验规范》（</w:t>
            </w:r>
            <w:r>
              <w:rPr>
                <w:rFonts w:ascii="宋体" w:hAnsi="宋体" w:cs="宋体"/>
                <w:kern w:val="0"/>
              </w:rPr>
              <w:t>AQ1012-2005</w:t>
            </w:r>
            <w:r>
              <w:rPr>
                <w:rFonts w:hint="eastAsia" w:ascii="宋体" w:hAnsi="宋体" w:cs="宋体"/>
                <w:kern w:val="0"/>
              </w:rPr>
              <w:t>）。</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30</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cs="宋体"/>
                <w:kern w:val="0"/>
              </w:rPr>
            </w:pPr>
            <w:r>
              <w:rPr>
                <w:rFonts w:hint="eastAsia" w:ascii="宋体" w:hAnsi="宋体" w:cs="宋体"/>
                <w:kern w:val="0"/>
              </w:rPr>
              <w:t>煤矿必须储备必要的水害抢险救灾设备，每个煤矿必须配备一套满足矿井最大涌水量的应急抢险的排水设备（潜水泵、管路、电缆等）；水文地质类型复杂、极复杂或者有突水（透水、溃水）淹井的矿井要在正常排水系统基础上另外安设由地面直接供电控制、配有独立排水管路的应急排水系统。</w:t>
            </w:r>
          </w:p>
        </w:tc>
        <w:tc>
          <w:tcPr>
            <w:tcW w:w="2366" w:type="dxa"/>
            <w:vAlign w:val="center"/>
          </w:tcPr>
          <w:p>
            <w:pPr>
              <w:jc w:val="left"/>
              <w:rPr>
                <w:rFonts w:ascii="宋体" w:cs="宋体"/>
                <w:kern w:val="0"/>
              </w:rPr>
            </w:pPr>
            <w:r>
              <w:rPr>
                <w:rFonts w:hint="eastAsia" w:ascii="宋体" w:hAnsi="宋体" w:cs="宋体"/>
                <w:kern w:val="0"/>
              </w:rPr>
              <w:t>《煤矿安全规程》第二百八十三条，第三百零八条。</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31</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cs="宋体"/>
                <w:kern w:val="0"/>
              </w:rPr>
            </w:pPr>
            <w:r>
              <w:rPr>
                <w:rFonts w:hint="eastAsia" w:ascii="宋体" w:hAnsi="宋体" w:cs="宋体"/>
                <w:kern w:val="0"/>
              </w:rPr>
              <w:t>主要泵房至少有</w:t>
            </w:r>
            <w:r>
              <w:rPr>
                <w:rFonts w:ascii="宋体" w:hAnsi="宋体" w:cs="宋体"/>
                <w:kern w:val="0"/>
              </w:rPr>
              <w:t>2</w:t>
            </w:r>
            <w:r>
              <w:rPr>
                <w:rFonts w:hint="eastAsia" w:ascii="宋体" w:hAnsi="宋体" w:cs="宋体"/>
                <w:kern w:val="0"/>
              </w:rPr>
              <w:t>个出口，一个出口用斜巷通到井筒</w:t>
            </w:r>
            <w:r>
              <w:rPr>
                <w:rFonts w:ascii="宋体" w:hAnsi="宋体" w:cs="宋体"/>
                <w:kern w:val="0"/>
              </w:rPr>
              <w:t>,</w:t>
            </w:r>
            <w:r>
              <w:rPr>
                <w:rFonts w:hint="eastAsia" w:ascii="宋体" w:hAnsi="宋体" w:cs="宋体"/>
                <w:kern w:val="0"/>
              </w:rPr>
              <w:t>并高出泵房底板</w:t>
            </w:r>
            <w:r>
              <w:rPr>
                <w:rFonts w:ascii="宋体" w:hAnsi="宋体" w:cs="宋体"/>
                <w:kern w:val="0"/>
              </w:rPr>
              <w:t xml:space="preserve">7m </w:t>
            </w:r>
            <w:r>
              <w:rPr>
                <w:rFonts w:hint="eastAsia" w:ascii="宋体" w:hAnsi="宋体" w:cs="宋体"/>
                <w:kern w:val="0"/>
              </w:rPr>
              <w:t>以上；另一个出口通到井底车场，在此出口通路内，应当设置易于关闭的既能防水又能防火的密闭门。泵房和水仓的连接通道，应当设置控制闸门。</w:t>
            </w:r>
          </w:p>
        </w:tc>
        <w:tc>
          <w:tcPr>
            <w:tcW w:w="2366" w:type="dxa"/>
            <w:vAlign w:val="center"/>
          </w:tcPr>
          <w:p>
            <w:pPr>
              <w:jc w:val="left"/>
              <w:rPr>
                <w:rFonts w:ascii="宋体" w:cs="宋体"/>
                <w:kern w:val="0"/>
              </w:rPr>
            </w:pPr>
            <w:r>
              <w:rPr>
                <w:rFonts w:hint="eastAsia" w:ascii="宋体" w:hAnsi="宋体" w:cs="宋体"/>
                <w:kern w:val="0"/>
              </w:rPr>
              <w:t>《煤矿防治水细则》第一百零七条，《煤矿重大事故隐患判定标准》解读第九条第（八）项。</w:t>
            </w:r>
          </w:p>
        </w:tc>
        <w:tc>
          <w:tcPr>
            <w:tcW w:w="1321" w:type="dxa"/>
          </w:tcPr>
          <w:p>
            <w:pPr>
              <w:rPr>
                <w:rFonts w:ascii="宋体" w:cs="宋体"/>
                <w:kern w:val="0"/>
              </w:rPr>
            </w:pPr>
          </w:p>
        </w:tc>
        <w:tc>
          <w:tcPr>
            <w:tcW w:w="1321" w:type="dxa"/>
          </w:tcPr>
          <w:p>
            <w:pPr>
              <w:rPr>
                <w:rFonts w:ascii="宋体" w:cs="宋体"/>
                <w:kern w:val="0"/>
              </w:rPr>
            </w:pPr>
          </w:p>
        </w:tc>
        <w:tc>
          <w:tcPr>
            <w:tcW w:w="1321" w:type="dxa"/>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jc w:val="center"/>
              <w:rPr>
                <w:rFonts w:ascii="宋体" w:hAnsi="宋体" w:cs="宋体"/>
                <w:kern w:val="0"/>
              </w:rPr>
            </w:pPr>
            <w:r>
              <w:rPr>
                <w:rFonts w:hint="eastAsia" w:ascii="宋体" w:hAnsi="宋体" w:cs="宋体"/>
                <w:kern w:val="0"/>
              </w:rPr>
              <w:t>32</w:t>
            </w:r>
          </w:p>
        </w:tc>
        <w:tc>
          <w:tcPr>
            <w:tcW w:w="1162" w:type="dxa"/>
            <w:vMerge w:val="continue"/>
            <w:vAlign w:val="center"/>
          </w:tcPr>
          <w:p>
            <w:pPr>
              <w:jc w:val="left"/>
              <w:rPr>
                <w:rFonts w:ascii="宋体" w:cs="宋体"/>
                <w:kern w:val="0"/>
              </w:rPr>
            </w:pPr>
          </w:p>
        </w:tc>
        <w:tc>
          <w:tcPr>
            <w:tcW w:w="5501" w:type="dxa"/>
            <w:vAlign w:val="center"/>
          </w:tcPr>
          <w:p>
            <w:pPr>
              <w:jc w:val="left"/>
              <w:rPr>
                <w:rFonts w:ascii="宋体" w:cs="宋体"/>
                <w:kern w:val="0"/>
              </w:rPr>
            </w:pPr>
            <w:r>
              <w:rPr>
                <w:rFonts w:hint="eastAsia" w:ascii="宋体" w:hAnsi="宋体" w:cs="宋体"/>
                <w:kern w:val="0"/>
              </w:rPr>
              <w:t>新建矿井永久排水系统形成前，各施工区应当设置临时排水系统，并按该区预计的最大涌水量配备排水设备、设施，保证有足够的排水能力。</w:t>
            </w:r>
          </w:p>
        </w:tc>
        <w:tc>
          <w:tcPr>
            <w:tcW w:w="2366" w:type="dxa"/>
            <w:vAlign w:val="center"/>
          </w:tcPr>
          <w:p>
            <w:pPr>
              <w:jc w:val="left"/>
              <w:rPr>
                <w:rFonts w:ascii="宋体" w:cs="宋体"/>
                <w:kern w:val="0"/>
              </w:rPr>
            </w:pPr>
            <w:r>
              <w:rPr>
                <w:rFonts w:hint="eastAsia" w:ascii="宋体" w:hAnsi="宋体" w:cs="宋体"/>
                <w:kern w:val="0"/>
              </w:rPr>
              <w:t>《煤矿防治水细则》第一百一十二条，《煤矿重大事故隐患判定标准》解读第九条第（七）项。</w:t>
            </w:r>
          </w:p>
        </w:tc>
        <w:tc>
          <w:tcPr>
            <w:tcW w:w="1321" w:type="dxa"/>
          </w:tcPr>
          <w:p>
            <w:pPr>
              <w:jc w:val="left"/>
              <w:rPr>
                <w:rFonts w:ascii="宋体" w:cs="宋体"/>
                <w:kern w:val="0"/>
              </w:rPr>
            </w:pPr>
          </w:p>
        </w:tc>
        <w:tc>
          <w:tcPr>
            <w:tcW w:w="1321" w:type="dxa"/>
          </w:tcPr>
          <w:p>
            <w:pPr>
              <w:jc w:val="left"/>
              <w:rPr>
                <w:rFonts w:ascii="宋体" w:cs="宋体"/>
                <w:kern w:val="0"/>
              </w:rPr>
            </w:pPr>
          </w:p>
        </w:tc>
        <w:tc>
          <w:tcPr>
            <w:tcW w:w="1321" w:type="dxa"/>
          </w:tcPr>
          <w:p>
            <w:pPr>
              <w:jc w:val="left"/>
              <w:rPr>
                <w:rFonts w:ascii="宋体" w:cs="宋体"/>
                <w:kern w:val="0"/>
              </w:rPr>
            </w:pPr>
          </w:p>
        </w:tc>
      </w:tr>
    </w:tbl>
    <w:p>
      <w:pPr>
        <w:rPr>
          <w:sz w:val="20"/>
        </w:rPr>
      </w:pPr>
    </w:p>
    <w:p>
      <w:pPr>
        <w:ind w:firstLine="720" w:firstLineChars="300"/>
        <w:rPr>
          <w:rFonts w:ascii="黑体" w:hAnsi="黑体" w:eastAsia="黑体" w:cs="黑体"/>
          <w:sz w:val="24"/>
          <w:szCs w:val="28"/>
        </w:rPr>
      </w:pPr>
    </w:p>
    <w:p>
      <w:pPr>
        <w:ind w:firstLine="720" w:firstLineChars="300"/>
        <w:rPr>
          <w:rFonts w:ascii="黑体" w:hAnsi="黑体" w:eastAsia="黑体" w:cs="黑体"/>
          <w:sz w:val="24"/>
          <w:szCs w:val="28"/>
        </w:rPr>
      </w:pPr>
    </w:p>
    <w:p>
      <w:pPr>
        <w:ind w:firstLine="720" w:firstLineChars="300"/>
        <w:rPr>
          <w:rFonts w:ascii="黑体" w:hAnsi="黑体" w:eastAsia="黑体" w:cs="黑体"/>
          <w:sz w:val="24"/>
          <w:szCs w:val="28"/>
        </w:rPr>
      </w:pPr>
    </w:p>
    <w:p>
      <w:pPr>
        <w:ind w:firstLine="720" w:firstLineChars="300"/>
        <w:rPr>
          <w:rFonts w:ascii="黑体" w:hAnsi="黑体" w:eastAsia="黑体" w:cs="黑体"/>
          <w:sz w:val="24"/>
          <w:szCs w:val="28"/>
        </w:rPr>
      </w:pPr>
    </w:p>
    <w:p>
      <w:pPr>
        <w:ind w:firstLine="720" w:firstLineChars="300"/>
        <w:rPr>
          <w:rFonts w:ascii="黑体" w:hAnsi="黑体" w:eastAsia="黑体" w:cs="黑体"/>
          <w:sz w:val="24"/>
          <w:szCs w:val="28"/>
        </w:rPr>
      </w:pPr>
    </w:p>
    <w:p>
      <w:pPr>
        <w:ind w:firstLine="720" w:firstLineChars="300"/>
        <w:rPr>
          <w:rFonts w:ascii="黑体" w:hAnsi="黑体" w:eastAsia="黑体" w:cs="黑体"/>
          <w:sz w:val="24"/>
          <w:szCs w:val="28"/>
        </w:rPr>
      </w:pPr>
    </w:p>
    <w:p>
      <w:pPr>
        <w:ind w:firstLine="720" w:firstLineChars="300"/>
        <w:rPr>
          <w:rFonts w:ascii="黑体" w:hAnsi="黑体" w:eastAsia="黑体" w:cs="黑体"/>
          <w:sz w:val="24"/>
          <w:szCs w:val="28"/>
        </w:rPr>
      </w:pPr>
    </w:p>
    <w:p>
      <w:r>
        <w:rPr>
          <w:rFonts w:hint="eastAsia" w:ascii="黑体" w:hAnsi="黑体" w:eastAsia="黑体" w:cs="黑体"/>
          <w:sz w:val="28"/>
          <w:szCs w:val="28"/>
          <w:lang w:val="en-US" w:eastAsia="zh-CN"/>
        </w:rPr>
        <w:t>五</w:t>
      </w:r>
      <w:r>
        <w:rPr>
          <w:rFonts w:hint="eastAsia" w:ascii="黑体" w:hAnsi="黑体" w:eastAsia="黑体" w:cs="黑体"/>
          <w:sz w:val="28"/>
          <w:szCs w:val="28"/>
        </w:rPr>
        <w:t>、防范采掘接续紧张单元（</w:t>
      </w:r>
      <w:r>
        <w:rPr>
          <w:rFonts w:ascii="黑体" w:hAnsi="黑体" w:eastAsia="黑体" w:cs="黑体"/>
          <w:sz w:val="28"/>
          <w:szCs w:val="28"/>
        </w:rPr>
        <w:t>1</w:t>
      </w:r>
      <w:r>
        <w:rPr>
          <w:rFonts w:hint="eastAsia" w:ascii="黑体" w:hAnsi="黑体" w:eastAsia="黑体" w:cs="黑体"/>
          <w:sz w:val="28"/>
          <w:szCs w:val="28"/>
        </w:rPr>
        <w:t>4</w:t>
      </w:r>
      <w:r>
        <w:rPr>
          <w:rFonts w:ascii="黑体" w:hAnsi="黑体" w:eastAsia="黑体" w:cs="黑体"/>
          <w:sz w:val="28"/>
          <w:szCs w:val="28"/>
        </w:rPr>
        <w:t>）</w:t>
      </w:r>
    </w:p>
    <w:tbl>
      <w:tblPr>
        <w:tblStyle w:val="23"/>
        <w:tblW w:w="13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164"/>
        <w:gridCol w:w="5589"/>
        <w:gridCol w:w="2275"/>
        <w:gridCol w:w="1345"/>
        <w:gridCol w:w="134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blHeader/>
          <w:jc w:val="center"/>
        </w:trPr>
        <w:tc>
          <w:tcPr>
            <w:tcW w:w="753" w:type="dxa"/>
            <w:tcBorders>
              <w:tl2br w:val="nil"/>
              <w:tr2bl w:val="nil"/>
            </w:tcBorders>
            <w:vAlign w:val="center"/>
          </w:tcPr>
          <w:p>
            <w:pPr>
              <w:jc w:val="center"/>
              <w:rPr>
                <w:rFonts w:ascii="黑体" w:hAnsi="黑体" w:eastAsia="黑体" w:cs="宋体"/>
                <w:bCs/>
                <w:kern w:val="0"/>
              </w:rPr>
            </w:pPr>
            <w:r>
              <w:rPr>
                <w:rFonts w:hint="eastAsia" w:ascii="黑体" w:hAnsi="黑体" w:eastAsia="黑体" w:cs="宋体"/>
                <w:bCs/>
                <w:kern w:val="0"/>
              </w:rPr>
              <w:t>序号</w:t>
            </w:r>
          </w:p>
        </w:tc>
        <w:tc>
          <w:tcPr>
            <w:tcW w:w="1164" w:type="dxa"/>
            <w:tcBorders>
              <w:tl2br w:val="nil"/>
              <w:tr2bl w:val="nil"/>
            </w:tcBorders>
          </w:tcPr>
          <w:p>
            <w:pPr>
              <w:jc w:val="center"/>
              <w:rPr>
                <w:rFonts w:ascii="黑体" w:hAnsi="黑体" w:eastAsia="黑体" w:cs="宋体"/>
                <w:bCs/>
                <w:kern w:val="0"/>
              </w:rPr>
            </w:pPr>
            <w:r>
              <w:rPr>
                <w:rFonts w:hint="eastAsia" w:ascii="黑体" w:hAnsi="黑体" w:eastAsia="黑体" w:cs="宋体"/>
                <w:bCs/>
                <w:kern w:val="0"/>
              </w:rPr>
              <w:t>检查项目</w:t>
            </w:r>
          </w:p>
        </w:tc>
        <w:tc>
          <w:tcPr>
            <w:tcW w:w="5589" w:type="dxa"/>
            <w:tcBorders>
              <w:tl2br w:val="nil"/>
              <w:tr2bl w:val="nil"/>
            </w:tcBorders>
          </w:tcPr>
          <w:p>
            <w:pPr>
              <w:jc w:val="center"/>
              <w:rPr>
                <w:rFonts w:ascii="黑体" w:hAnsi="黑体" w:eastAsia="黑体" w:cs="宋体"/>
                <w:bCs/>
                <w:kern w:val="0"/>
              </w:rPr>
            </w:pPr>
            <w:r>
              <w:rPr>
                <w:rFonts w:hint="eastAsia" w:ascii="黑体" w:hAnsi="黑体" w:eastAsia="黑体" w:cs="宋体"/>
                <w:bCs/>
                <w:kern w:val="0"/>
              </w:rPr>
              <w:t>检查内容</w:t>
            </w:r>
          </w:p>
        </w:tc>
        <w:tc>
          <w:tcPr>
            <w:tcW w:w="2275" w:type="dxa"/>
            <w:tcBorders>
              <w:tl2br w:val="nil"/>
              <w:tr2bl w:val="nil"/>
            </w:tcBorders>
          </w:tcPr>
          <w:p>
            <w:pPr>
              <w:jc w:val="center"/>
              <w:rPr>
                <w:rFonts w:ascii="黑体" w:hAnsi="黑体" w:eastAsia="黑体" w:cs="宋体"/>
                <w:bCs/>
                <w:kern w:val="0"/>
              </w:rPr>
            </w:pPr>
            <w:r>
              <w:rPr>
                <w:rFonts w:hint="eastAsia" w:ascii="黑体" w:hAnsi="黑体" w:eastAsia="黑体" w:cs="宋体"/>
                <w:bCs/>
                <w:kern w:val="0"/>
              </w:rPr>
              <w:t>检查依据</w:t>
            </w:r>
          </w:p>
        </w:tc>
        <w:tc>
          <w:tcPr>
            <w:tcW w:w="1345" w:type="dxa"/>
            <w:tcBorders>
              <w:tl2br w:val="nil"/>
              <w:tr2bl w:val="nil"/>
            </w:tcBorders>
          </w:tcPr>
          <w:p>
            <w:pPr>
              <w:jc w:val="center"/>
              <w:textAlignment w:val="center"/>
              <w:rPr>
                <w:rFonts w:ascii="黑体" w:hAnsi="黑体" w:eastAsia="黑体" w:cs="宋体"/>
                <w:bCs/>
                <w:kern w:val="0"/>
              </w:rPr>
            </w:pPr>
            <w:r>
              <w:rPr>
                <w:rFonts w:hint="eastAsia" w:ascii="黑体" w:hAnsi="黑体" w:eastAsia="黑体" w:cs="宋体"/>
                <w:bCs/>
                <w:kern w:val="0"/>
              </w:rPr>
              <w:t>现状描述</w:t>
            </w:r>
          </w:p>
        </w:tc>
        <w:tc>
          <w:tcPr>
            <w:tcW w:w="1345" w:type="dxa"/>
            <w:tcBorders>
              <w:tl2br w:val="nil"/>
              <w:tr2bl w:val="nil"/>
            </w:tcBorders>
          </w:tcPr>
          <w:p>
            <w:pPr>
              <w:jc w:val="center"/>
              <w:textAlignment w:val="center"/>
              <w:rPr>
                <w:rFonts w:ascii="黑体" w:hAnsi="黑体" w:eastAsia="黑体" w:cs="宋体"/>
                <w:bCs/>
                <w:kern w:val="0"/>
              </w:rPr>
            </w:pPr>
            <w:r>
              <w:rPr>
                <w:rFonts w:hint="eastAsia" w:ascii="黑体" w:hAnsi="黑体" w:eastAsia="黑体" w:cs="宋体"/>
                <w:bCs/>
                <w:kern w:val="0"/>
              </w:rPr>
              <w:t>存在问题</w:t>
            </w:r>
          </w:p>
        </w:tc>
        <w:tc>
          <w:tcPr>
            <w:tcW w:w="1316" w:type="dxa"/>
            <w:tcBorders>
              <w:tl2br w:val="nil"/>
              <w:tr2bl w:val="nil"/>
            </w:tcBorders>
          </w:tcPr>
          <w:p>
            <w:pPr>
              <w:jc w:val="center"/>
              <w:textAlignment w:val="center"/>
              <w:rPr>
                <w:rFonts w:ascii="黑体" w:hAnsi="黑体" w:eastAsia="黑体" w:cs="宋体"/>
                <w:bCs/>
                <w:kern w:val="0"/>
              </w:rPr>
            </w:pPr>
            <w:r>
              <w:rPr>
                <w:rFonts w:hint="eastAsia" w:ascii="黑体" w:hAnsi="黑体" w:eastAsia="黑体" w:cs="宋体"/>
                <w:bCs/>
                <w:kern w:val="0"/>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Borders>
              <w:tl2br w:val="nil"/>
              <w:tr2bl w:val="nil"/>
            </w:tcBorders>
            <w:vAlign w:val="center"/>
          </w:tcPr>
          <w:p>
            <w:pPr>
              <w:jc w:val="center"/>
              <w:rPr>
                <w:rFonts w:ascii="宋体" w:hAnsi="宋体" w:cs="宋体"/>
                <w:kern w:val="0"/>
              </w:rPr>
            </w:pPr>
            <w:r>
              <w:rPr>
                <w:rFonts w:ascii="宋体" w:hAnsi="宋体" w:cs="宋体"/>
                <w:kern w:val="0"/>
              </w:rPr>
              <w:t>1</w:t>
            </w:r>
          </w:p>
        </w:tc>
        <w:tc>
          <w:tcPr>
            <w:tcW w:w="1164" w:type="dxa"/>
            <w:vMerge w:val="restart"/>
            <w:tcBorders>
              <w:tl2br w:val="nil"/>
              <w:tr2bl w:val="nil"/>
            </w:tcBorders>
            <w:vAlign w:val="center"/>
          </w:tcPr>
          <w:p>
            <w:pPr>
              <w:jc w:val="left"/>
              <w:rPr>
                <w:rFonts w:ascii="宋体" w:cs="宋体"/>
                <w:kern w:val="0"/>
              </w:rPr>
            </w:pPr>
            <w:r>
              <w:rPr>
                <w:rFonts w:hint="eastAsia" w:ascii="宋体" w:hAnsi="宋体" w:cs="宋体"/>
                <w:kern w:val="0"/>
              </w:rPr>
              <w:t>一般规定</w:t>
            </w:r>
          </w:p>
        </w:tc>
        <w:tc>
          <w:tcPr>
            <w:tcW w:w="5589" w:type="dxa"/>
            <w:tcBorders>
              <w:tl2br w:val="nil"/>
              <w:tr2bl w:val="nil"/>
            </w:tcBorders>
            <w:vAlign w:val="center"/>
          </w:tcPr>
          <w:p>
            <w:pPr>
              <w:jc w:val="left"/>
              <w:rPr>
                <w:rFonts w:ascii="宋体" w:cs="宋体"/>
                <w:kern w:val="0"/>
              </w:rPr>
            </w:pPr>
            <w:r>
              <w:rPr>
                <w:rFonts w:hint="eastAsia" w:ascii="宋体" w:hAnsi="宋体" w:cs="宋体"/>
                <w:kern w:val="0"/>
              </w:rPr>
              <w:t>未按要求建立开拓煤量、准备煤量、回采煤量（以下简称“三量”）管理制度；“三量”可采期计算方法不符合规定，可采期小于本办法第三条规定的最短时间的。</w:t>
            </w:r>
          </w:p>
        </w:tc>
        <w:tc>
          <w:tcPr>
            <w:tcW w:w="2275" w:type="dxa"/>
            <w:tcBorders>
              <w:tl2br w:val="nil"/>
              <w:tr2bl w:val="nil"/>
            </w:tcBorders>
          </w:tcPr>
          <w:p>
            <w:pPr>
              <w:jc w:val="left"/>
              <w:rPr>
                <w:rFonts w:ascii="宋体" w:cs="宋体"/>
                <w:kern w:val="0"/>
              </w:rPr>
            </w:pPr>
            <w:r>
              <w:rPr>
                <w:rFonts w:hint="eastAsia" w:ascii="宋体" w:hAnsi="宋体" w:cs="宋体"/>
                <w:kern w:val="0"/>
              </w:rPr>
              <w:t>《防范煤矿采掘接续紧张暂行办法》第二条第（一）项。</w:t>
            </w:r>
          </w:p>
        </w:tc>
        <w:tc>
          <w:tcPr>
            <w:tcW w:w="1345" w:type="dxa"/>
            <w:tcBorders>
              <w:tl2br w:val="nil"/>
              <w:tr2bl w:val="nil"/>
            </w:tcBorders>
          </w:tcPr>
          <w:p>
            <w:pPr>
              <w:jc w:val="left"/>
              <w:rPr>
                <w:rFonts w:ascii="宋体" w:cs="宋体"/>
                <w:kern w:val="0"/>
              </w:rPr>
            </w:pPr>
          </w:p>
        </w:tc>
        <w:tc>
          <w:tcPr>
            <w:tcW w:w="1345" w:type="dxa"/>
            <w:tcBorders>
              <w:tl2br w:val="nil"/>
              <w:tr2bl w:val="nil"/>
            </w:tcBorders>
          </w:tcPr>
          <w:p>
            <w:pPr>
              <w:jc w:val="left"/>
              <w:rPr>
                <w:rFonts w:ascii="宋体" w:cs="宋体"/>
                <w:kern w:val="0"/>
              </w:rPr>
            </w:pPr>
          </w:p>
        </w:tc>
        <w:tc>
          <w:tcPr>
            <w:tcW w:w="1316" w:type="dxa"/>
            <w:tcBorders>
              <w:tl2br w:val="nil"/>
              <w:tr2bl w:val="nil"/>
            </w:tcBorders>
          </w:tcPr>
          <w:p>
            <w:pPr>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Borders>
              <w:tl2br w:val="nil"/>
              <w:tr2bl w:val="nil"/>
            </w:tcBorders>
            <w:vAlign w:val="center"/>
          </w:tcPr>
          <w:p>
            <w:pPr>
              <w:jc w:val="center"/>
              <w:rPr>
                <w:rFonts w:ascii="宋体" w:hAnsi="宋体" w:cs="宋体"/>
                <w:kern w:val="0"/>
              </w:rPr>
            </w:pPr>
            <w:r>
              <w:rPr>
                <w:rFonts w:hint="eastAsia" w:ascii="宋体" w:hAnsi="宋体" w:cs="宋体"/>
                <w:kern w:val="0"/>
              </w:rPr>
              <w:t>2</w:t>
            </w:r>
          </w:p>
        </w:tc>
        <w:tc>
          <w:tcPr>
            <w:tcW w:w="1164" w:type="dxa"/>
            <w:vMerge w:val="continue"/>
            <w:tcBorders>
              <w:tl2br w:val="nil"/>
              <w:tr2bl w:val="nil"/>
            </w:tcBorders>
          </w:tcPr>
          <w:p>
            <w:pPr>
              <w:jc w:val="left"/>
              <w:rPr>
                <w:rFonts w:ascii="宋体" w:hAnsi="宋体" w:cs="宋体"/>
                <w:kern w:val="0"/>
              </w:rPr>
            </w:pPr>
          </w:p>
        </w:tc>
        <w:tc>
          <w:tcPr>
            <w:tcW w:w="5589" w:type="dxa"/>
            <w:tcBorders>
              <w:tl2br w:val="nil"/>
              <w:tr2bl w:val="nil"/>
            </w:tcBorders>
            <w:vAlign w:val="center"/>
          </w:tcPr>
          <w:p>
            <w:pPr>
              <w:jc w:val="left"/>
              <w:rPr>
                <w:rFonts w:ascii="宋体" w:cs="宋体"/>
                <w:kern w:val="0"/>
              </w:rPr>
            </w:pPr>
            <w:r>
              <w:rPr>
                <w:rFonts w:hint="eastAsia" w:ascii="宋体" w:hAnsi="宋体" w:cs="宋体"/>
                <w:kern w:val="0"/>
              </w:rPr>
              <w:t>煤矿或其上级公司超过煤矿核定（设计）生产能力下达生产计划或者经营指标的。</w:t>
            </w:r>
          </w:p>
        </w:tc>
        <w:tc>
          <w:tcPr>
            <w:tcW w:w="2275" w:type="dxa"/>
            <w:tcBorders>
              <w:tl2br w:val="nil"/>
              <w:tr2bl w:val="nil"/>
            </w:tcBorders>
          </w:tcPr>
          <w:p>
            <w:pPr>
              <w:jc w:val="left"/>
              <w:rPr>
                <w:rFonts w:ascii="宋体" w:cs="宋体"/>
                <w:kern w:val="0"/>
              </w:rPr>
            </w:pPr>
            <w:r>
              <w:rPr>
                <w:rFonts w:hint="eastAsia" w:ascii="宋体" w:hAnsi="宋体" w:cs="宋体"/>
                <w:kern w:val="0"/>
              </w:rPr>
              <w:t>《煤矿重大事故隐患判定标准》解读第四条第（二）项。</w:t>
            </w:r>
          </w:p>
        </w:tc>
        <w:tc>
          <w:tcPr>
            <w:tcW w:w="1345" w:type="dxa"/>
            <w:tcBorders>
              <w:tl2br w:val="nil"/>
              <w:tr2bl w:val="nil"/>
            </w:tcBorders>
          </w:tcPr>
          <w:p>
            <w:pPr>
              <w:jc w:val="left"/>
              <w:rPr>
                <w:rFonts w:ascii="宋体" w:cs="宋体"/>
                <w:kern w:val="0"/>
              </w:rPr>
            </w:pPr>
          </w:p>
        </w:tc>
        <w:tc>
          <w:tcPr>
            <w:tcW w:w="1345" w:type="dxa"/>
            <w:tcBorders>
              <w:tl2br w:val="nil"/>
              <w:tr2bl w:val="nil"/>
            </w:tcBorders>
          </w:tcPr>
          <w:p>
            <w:pPr>
              <w:jc w:val="left"/>
              <w:rPr>
                <w:rFonts w:ascii="宋体" w:cs="宋体"/>
                <w:kern w:val="0"/>
              </w:rPr>
            </w:pPr>
          </w:p>
        </w:tc>
        <w:tc>
          <w:tcPr>
            <w:tcW w:w="1316" w:type="dxa"/>
            <w:tcBorders>
              <w:tl2br w:val="nil"/>
              <w:tr2bl w:val="nil"/>
            </w:tcBorders>
          </w:tcPr>
          <w:p>
            <w:pPr>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Borders>
              <w:tl2br w:val="nil"/>
              <w:tr2bl w:val="nil"/>
            </w:tcBorders>
            <w:vAlign w:val="center"/>
          </w:tcPr>
          <w:p>
            <w:pPr>
              <w:jc w:val="center"/>
              <w:rPr>
                <w:rFonts w:ascii="宋体" w:hAnsi="宋体" w:cs="宋体"/>
                <w:kern w:val="0"/>
              </w:rPr>
            </w:pPr>
            <w:r>
              <w:rPr>
                <w:rFonts w:hint="eastAsia" w:ascii="宋体" w:hAnsi="宋体" w:cs="宋体"/>
                <w:kern w:val="0"/>
              </w:rPr>
              <w:t>3</w:t>
            </w:r>
          </w:p>
        </w:tc>
        <w:tc>
          <w:tcPr>
            <w:tcW w:w="1164" w:type="dxa"/>
            <w:vMerge w:val="continue"/>
            <w:tcBorders>
              <w:tl2br w:val="nil"/>
              <w:tr2bl w:val="nil"/>
            </w:tcBorders>
          </w:tcPr>
          <w:p>
            <w:pPr>
              <w:jc w:val="left"/>
              <w:rPr>
                <w:rFonts w:ascii="宋体" w:hAnsi="宋体" w:cs="宋体"/>
                <w:kern w:val="0"/>
              </w:rPr>
            </w:pPr>
          </w:p>
        </w:tc>
        <w:tc>
          <w:tcPr>
            <w:tcW w:w="5589" w:type="dxa"/>
            <w:tcBorders>
              <w:tl2br w:val="nil"/>
              <w:tr2bl w:val="nil"/>
            </w:tcBorders>
            <w:vAlign w:val="center"/>
          </w:tcPr>
          <w:p>
            <w:pPr>
              <w:jc w:val="left"/>
              <w:rPr>
                <w:rFonts w:ascii="宋体" w:cs="宋体"/>
                <w:kern w:val="0"/>
              </w:rPr>
            </w:pPr>
            <w:r>
              <w:rPr>
                <w:rFonts w:hint="eastAsia" w:ascii="宋体" w:hAnsi="宋体" w:cs="宋体"/>
                <w:kern w:val="0"/>
              </w:rPr>
              <w:t>煤矿全年原煤产量超过核定（设计）生产能力幅度在</w:t>
            </w:r>
            <w:r>
              <w:rPr>
                <w:rFonts w:ascii="宋体" w:hAnsi="宋体" w:cs="宋体"/>
                <w:kern w:val="0"/>
              </w:rPr>
              <w:t>10%</w:t>
            </w:r>
            <w:r>
              <w:rPr>
                <w:rFonts w:hint="eastAsia" w:ascii="宋体" w:hAnsi="宋体" w:cs="宋体"/>
                <w:kern w:val="0"/>
              </w:rPr>
              <w:t>以上，或者月原煤产量大于核定（设计）生产能力的</w:t>
            </w:r>
            <w:r>
              <w:rPr>
                <w:rFonts w:ascii="宋体" w:hAnsi="宋体" w:cs="宋体"/>
                <w:kern w:val="0"/>
              </w:rPr>
              <w:t>10%</w:t>
            </w:r>
            <w:r>
              <w:rPr>
                <w:rFonts w:hint="eastAsia" w:ascii="宋体" w:hAnsi="宋体" w:cs="宋体"/>
                <w:kern w:val="0"/>
              </w:rPr>
              <w:t>的。</w:t>
            </w:r>
          </w:p>
        </w:tc>
        <w:tc>
          <w:tcPr>
            <w:tcW w:w="2275" w:type="dxa"/>
            <w:tcBorders>
              <w:tl2br w:val="nil"/>
              <w:tr2bl w:val="nil"/>
            </w:tcBorders>
          </w:tcPr>
          <w:p>
            <w:pPr>
              <w:jc w:val="left"/>
              <w:rPr>
                <w:rFonts w:ascii="宋体" w:cs="宋体"/>
                <w:kern w:val="0"/>
              </w:rPr>
            </w:pPr>
            <w:r>
              <w:rPr>
                <w:rFonts w:hint="eastAsia" w:ascii="宋体" w:hAnsi="宋体" w:cs="宋体"/>
                <w:kern w:val="0"/>
              </w:rPr>
              <w:t>《煤矿重大事故隐患判定标准》解读第四条第（一）项。</w:t>
            </w:r>
          </w:p>
        </w:tc>
        <w:tc>
          <w:tcPr>
            <w:tcW w:w="1345" w:type="dxa"/>
            <w:tcBorders>
              <w:tl2br w:val="nil"/>
              <w:tr2bl w:val="nil"/>
            </w:tcBorders>
          </w:tcPr>
          <w:p>
            <w:pPr>
              <w:jc w:val="left"/>
              <w:rPr>
                <w:rFonts w:ascii="宋体" w:cs="宋体"/>
                <w:kern w:val="0"/>
              </w:rPr>
            </w:pPr>
          </w:p>
        </w:tc>
        <w:tc>
          <w:tcPr>
            <w:tcW w:w="1345" w:type="dxa"/>
            <w:tcBorders>
              <w:tl2br w:val="nil"/>
              <w:tr2bl w:val="nil"/>
            </w:tcBorders>
          </w:tcPr>
          <w:p>
            <w:pPr>
              <w:jc w:val="left"/>
              <w:rPr>
                <w:rFonts w:ascii="宋体" w:cs="宋体"/>
                <w:kern w:val="0"/>
              </w:rPr>
            </w:pPr>
          </w:p>
        </w:tc>
        <w:tc>
          <w:tcPr>
            <w:tcW w:w="1316" w:type="dxa"/>
            <w:tcBorders>
              <w:tl2br w:val="nil"/>
              <w:tr2bl w:val="nil"/>
            </w:tcBorders>
          </w:tcPr>
          <w:p>
            <w:pPr>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Borders>
              <w:tl2br w:val="nil"/>
              <w:tr2bl w:val="nil"/>
            </w:tcBorders>
            <w:vAlign w:val="center"/>
          </w:tcPr>
          <w:p>
            <w:pPr>
              <w:jc w:val="center"/>
              <w:rPr>
                <w:rFonts w:ascii="宋体" w:hAnsi="宋体" w:cs="宋体"/>
                <w:kern w:val="0"/>
              </w:rPr>
            </w:pPr>
            <w:r>
              <w:rPr>
                <w:rFonts w:hint="eastAsia" w:ascii="宋体" w:hAnsi="宋体" w:cs="宋体"/>
                <w:kern w:val="0"/>
              </w:rPr>
              <w:t>4</w:t>
            </w:r>
          </w:p>
        </w:tc>
        <w:tc>
          <w:tcPr>
            <w:tcW w:w="1164" w:type="dxa"/>
            <w:vMerge w:val="continue"/>
            <w:tcBorders>
              <w:bottom w:val="single" w:color="000000" w:sz="4" w:space="0"/>
              <w:tl2br w:val="nil"/>
              <w:tr2bl w:val="nil"/>
            </w:tcBorders>
          </w:tcPr>
          <w:p>
            <w:pPr>
              <w:jc w:val="left"/>
              <w:rPr>
                <w:rFonts w:ascii="宋体" w:hAnsi="宋体" w:cs="宋体"/>
                <w:kern w:val="0"/>
              </w:rPr>
            </w:pPr>
          </w:p>
        </w:tc>
        <w:tc>
          <w:tcPr>
            <w:tcW w:w="5589" w:type="dxa"/>
            <w:tcBorders>
              <w:bottom w:val="single" w:color="000000" w:sz="4" w:space="0"/>
              <w:tl2br w:val="nil"/>
              <w:tr2bl w:val="nil"/>
            </w:tcBorders>
            <w:vAlign w:val="center"/>
          </w:tcPr>
          <w:p>
            <w:pPr>
              <w:jc w:val="left"/>
              <w:rPr>
                <w:rFonts w:ascii="宋体" w:cs="宋体"/>
                <w:kern w:val="0"/>
              </w:rPr>
            </w:pPr>
            <w:r>
              <w:rPr>
                <w:rFonts w:hint="eastAsia" w:ascii="宋体" w:hAnsi="宋体" w:cs="宋体"/>
                <w:kern w:val="0"/>
              </w:rPr>
              <w:t>煤矿未制定或者未严格执行井下劳动定员制度，或者采掘作业地点单班作业人数超过国家有关限员规定</w:t>
            </w:r>
            <w:r>
              <w:rPr>
                <w:rFonts w:ascii="宋体" w:hAnsi="宋体" w:cs="宋体"/>
                <w:kern w:val="0"/>
              </w:rPr>
              <w:t>20%</w:t>
            </w:r>
            <w:r>
              <w:rPr>
                <w:rFonts w:hint="eastAsia" w:ascii="宋体" w:hAnsi="宋体" w:cs="宋体"/>
                <w:kern w:val="0"/>
              </w:rPr>
              <w:t>以上的。</w:t>
            </w:r>
          </w:p>
        </w:tc>
        <w:tc>
          <w:tcPr>
            <w:tcW w:w="2275" w:type="dxa"/>
            <w:tcBorders>
              <w:tl2br w:val="nil"/>
              <w:tr2bl w:val="nil"/>
            </w:tcBorders>
          </w:tcPr>
          <w:p>
            <w:pPr>
              <w:jc w:val="left"/>
              <w:rPr>
                <w:rFonts w:ascii="宋体" w:cs="宋体"/>
                <w:kern w:val="0"/>
              </w:rPr>
            </w:pPr>
            <w:r>
              <w:rPr>
                <w:rFonts w:hint="eastAsia" w:ascii="宋体" w:hAnsi="宋体" w:cs="宋体"/>
                <w:kern w:val="0"/>
              </w:rPr>
              <w:t>《煤矿重大事故隐患判定标准》解读第四条第（六）项。</w:t>
            </w:r>
          </w:p>
        </w:tc>
        <w:tc>
          <w:tcPr>
            <w:tcW w:w="1345" w:type="dxa"/>
            <w:tcBorders>
              <w:tl2br w:val="nil"/>
              <w:tr2bl w:val="nil"/>
            </w:tcBorders>
          </w:tcPr>
          <w:p>
            <w:pPr>
              <w:jc w:val="left"/>
              <w:rPr>
                <w:rFonts w:ascii="宋体" w:cs="宋体"/>
                <w:kern w:val="0"/>
              </w:rPr>
            </w:pPr>
          </w:p>
        </w:tc>
        <w:tc>
          <w:tcPr>
            <w:tcW w:w="1345" w:type="dxa"/>
            <w:tcBorders>
              <w:tl2br w:val="nil"/>
              <w:tr2bl w:val="nil"/>
            </w:tcBorders>
          </w:tcPr>
          <w:p>
            <w:pPr>
              <w:jc w:val="left"/>
              <w:rPr>
                <w:rFonts w:ascii="宋体" w:cs="宋体"/>
                <w:kern w:val="0"/>
              </w:rPr>
            </w:pPr>
          </w:p>
        </w:tc>
        <w:tc>
          <w:tcPr>
            <w:tcW w:w="1316" w:type="dxa"/>
            <w:tcBorders>
              <w:tl2br w:val="nil"/>
              <w:tr2bl w:val="nil"/>
            </w:tcBorders>
          </w:tcPr>
          <w:p>
            <w:pPr>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753" w:type="dxa"/>
            <w:tcBorders>
              <w:right w:val="single" w:color="000000" w:sz="4" w:space="0"/>
              <w:tl2br w:val="nil"/>
              <w:tr2bl w:val="nil"/>
            </w:tcBorders>
            <w:vAlign w:val="center"/>
          </w:tcPr>
          <w:p>
            <w:pPr>
              <w:jc w:val="center"/>
              <w:rPr>
                <w:rFonts w:ascii="宋体" w:hAnsi="宋体" w:cs="宋体"/>
                <w:kern w:val="0"/>
              </w:rPr>
            </w:pPr>
            <w:r>
              <w:rPr>
                <w:rFonts w:hint="eastAsia" w:ascii="宋体" w:hAnsi="宋体" w:cs="宋体"/>
                <w:kern w:val="0"/>
              </w:rPr>
              <w:t>5</w:t>
            </w:r>
          </w:p>
        </w:tc>
        <w:tc>
          <w:tcPr>
            <w:tcW w:w="1164" w:type="dxa"/>
            <w:vMerge w:val="restart"/>
            <w:tcBorders>
              <w:top w:val="single" w:color="000000" w:sz="4" w:space="0"/>
              <w:left w:val="single" w:color="000000" w:sz="4" w:space="0"/>
              <w:right w:val="single" w:color="000000" w:sz="4" w:space="0"/>
              <w:tl2br w:val="nil"/>
              <w:tr2bl w:val="nil"/>
            </w:tcBorders>
            <w:vAlign w:val="center"/>
          </w:tcPr>
          <w:p>
            <w:pPr>
              <w:jc w:val="left"/>
              <w:rPr>
                <w:rFonts w:ascii="宋体" w:cs="宋体"/>
                <w:kern w:val="0"/>
              </w:rPr>
            </w:pPr>
            <w:r>
              <w:rPr>
                <w:rFonts w:hint="eastAsia" w:ascii="宋体" w:hAnsi="宋体" w:cs="宋体"/>
                <w:kern w:val="0"/>
              </w:rPr>
              <w:t>采掘布置</w:t>
            </w:r>
          </w:p>
        </w:tc>
        <w:tc>
          <w:tcPr>
            <w:tcW w:w="558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cs="宋体"/>
                <w:kern w:val="0"/>
              </w:rPr>
            </w:pPr>
            <w:r>
              <w:rPr>
                <w:rFonts w:hint="eastAsia" w:ascii="宋体" w:hAnsi="宋体" w:cs="宋体"/>
                <w:kern w:val="0"/>
              </w:rPr>
              <w:t>是否存在擅自减少瓦斯、冲击地压、水害等重大灾害治理巷道、钻孔等工程，或者擅自缩减灾害治理时间、降低灾害治理标准、减少灾害治理措施等行为。</w:t>
            </w:r>
          </w:p>
        </w:tc>
        <w:tc>
          <w:tcPr>
            <w:tcW w:w="2275" w:type="dxa"/>
            <w:tcBorders>
              <w:left w:val="single" w:color="000000" w:sz="4" w:space="0"/>
              <w:tl2br w:val="nil"/>
              <w:tr2bl w:val="nil"/>
            </w:tcBorders>
          </w:tcPr>
          <w:p>
            <w:pPr>
              <w:jc w:val="left"/>
              <w:rPr>
                <w:rFonts w:ascii="宋体" w:cs="宋体"/>
                <w:kern w:val="0"/>
              </w:rPr>
            </w:pPr>
            <w:r>
              <w:rPr>
                <w:rFonts w:hint="eastAsia" w:ascii="宋体" w:hAnsi="宋体" w:cs="宋体"/>
                <w:kern w:val="0"/>
              </w:rPr>
              <w:t>《防范煤矿采掘接续紧张暂行办法》第二条第（七）项。</w:t>
            </w:r>
          </w:p>
        </w:tc>
        <w:tc>
          <w:tcPr>
            <w:tcW w:w="1345" w:type="dxa"/>
            <w:tcBorders>
              <w:tl2br w:val="nil"/>
              <w:tr2bl w:val="nil"/>
            </w:tcBorders>
          </w:tcPr>
          <w:p>
            <w:pPr>
              <w:jc w:val="left"/>
              <w:rPr>
                <w:rFonts w:ascii="宋体" w:cs="宋体"/>
                <w:kern w:val="0"/>
              </w:rPr>
            </w:pPr>
          </w:p>
        </w:tc>
        <w:tc>
          <w:tcPr>
            <w:tcW w:w="1345" w:type="dxa"/>
            <w:tcBorders>
              <w:tl2br w:val="nil"/>
              <w:tr2bl w:val="nil"/>
            </w:tcBorders>
          </w:tcPr>
          <w:p>
            <w:pPr>
              <w:jc w:val="left"/>
              <w:rPr>
                <w:rFonts w:ascii="宋体" w:cs="宋体"/>
                <w:kern w:val="0"/>
              </w:rPr>
            </w:pPr>
          </w:p>
        </w:tc>
        <w:tc>
          <w:tcPr>
            <w:tcW w:w="1316" w:type="dxa"/>
            <w:tcBorders>
              <w:tl2br w:val="nil"/>
              <w:tr2bl w:val="nil"/>
            </w:tcBorders>
          </w:tcPr>
          <w:p>
            <w:pPr>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53" w:type="dxa"/>
            <w:tcBorders>
              <w:right w:val="single" w:color="000000" w:sz="4" w:space="0"/>
              <w:tl2br w:val="nil"/>
              <w:tr2bl w:val="nil"/>
            </w:tcBorders>
            <w:vAlign w:val="center"/>
          </w:tcPr>
          <w:p>
            <w:pPr>
              <w:jc w:val="center"/>
              <w:rPr>
                <w:rFonts w:ascii="宋体" w:hAnsi="宋体" w:cs="宋体"/>
                <w:kern w:val="0"/>
              </w:rPr>
            </w:pPr>
            <w:r>
              <w:rPr>
                <w:rFonts w:hint="eastAsia" w:ascii="宋体" w:hAnsi="宋体" w:cs="宋体"/>
                <w:kern w:val="0"/>
              </w:rPr>
              <w:t>6</w:t>
            </w:r>
          </w:p>
        </w:tc>
        <w:tc>
          <w:tcPr>
            <w:tcW w:w="1164" w:type="dxa"/>
            <w:vMerge w:val="continue"/>
            <w:tcBorders>
              <w:left w:val="single" w:color="000000" w:sz="4" w:space="0"/>
              <w:right w:val="single" w:color="000000" w:sz="4" w:space="0"/>
              <w:tl2br w:val="nil"/>
              <w:tr2bl w:val="nil"/>
            </w:tcBorders>
            <w:vAlign w:val="center"/>
          </w:tcPr>
          <w:p>
            <w:pPr>
              <w:jc w:val="left"/>
              <w:rPr>
                <w:rFonts w:ascii="宋体" w:cs="宋体"/>
                <w:kern w:val="0"/>
              </w:rPr>
            </w:pPr>
          </w:p>
        </w:tc>
        <w:tc>
          <w:tcPr>
            <w:tcW w:w="558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cs="宋体"/>
                <w:kern w:val="0"/>
              </w:rPr>
            </w:pPr>
            <w:r>
              <w:rPr>
                <w:rFonts w:hint="eastAsia" w:ascii="宋体" w:hAnsi="宋体" w:cs="宋体"/>
                <w:kern w:val="0"/>
              </w:rPr>
              <w:t>未按《煤矿安全规程》形成完整的水平或采（盘）区通风、排水、供电、通讯等系统，进行回采巷道施工的。</w:t>
            </w:r>
          </w:p>
        </w:tc>
        <w:tc>
          <w:tcPr>
            <w:tcW w:w="2275" w:type="dxa"/>
            <w:tcBorders>
              <w:left w:val="single" w:color="000000" w:sz="4" w:space="0"/>
              <w:tl2br w:val="nil"/>
              <w:tr2bl w:val="nil"/>
            </w:tcBorders>
          </w:tcPr>
          <w:p>
            <w:pPr>
              <w:jc w:val="left"/>
              <w:rPr>
                <w:rFonts w:ascii="宋体" w:cs="宋体"/>
                <w:kern w:val="0"/>
              </w:rPr>
            </w:pPr>
            <w:r>
              <w:rPr>
                <w:rFonts w:hint="eastAsia" w:ascii="宋体" w:hAnsi="宋体" w:cs="宋体"/>
                <w:kern w:val="0"/>
              </w:rPr>
              <w:t>《防范煤矿采掘接续紧张暂行办法》第二条第（三）项。</w:t>
            </w:r>
          </w:p>
        </w:tc>
        <w:tc>
          <w:tcPr>
            <w:tcW w:w="1345" w:type="dxa"/>
            <w:tcBorders>
              <w:tl2br w:val="nil"/>
              <w:tr2bl w:val="nil"/>
            </w:tcBorders>
          </w:tcPr>
          <w:p>
            <w:pPr>
              <w:jc w:val="left"/>
              <w:rPr>
                <w:rFonts w:ascii="宋体" w:cs="宋体"/>
                <w:kern w:val="0"/>
              </w:rPr>
            </w:pPr>
          </w:p>
        </w:tc>
        <w:tc>
          <w:tcPr>
            <w:tcW w:w="1345" w:type="dxa"/>
            <w:tcBorders>
              <w:tl2br w:val="nil"/>
              <w:tr2bl w:val="nil"/>
            </w:tcBorders>
          </w:tcPr>
          <w:p>
            <w:pPr>
              <w:jc w:val="left"/>
              <w:rPr>
                <w:rFonts w:ascii="宋体" w:cs="宋体"/>
                <w:kern w:val="0"/>
              </w:rPr>
            </w:pPr>
          </w:p>
        </w:tc>
        <w:tc>
          <w:tcPr>
            <w:tcW w:w="1316" w:type="dxa"/>
            <w:tcBorders>
              <w:tl2br w:val="nil"/>
              <w:tr2bl w:val="nil"/>
            </w:tcBorders>
          </w:tcPr>
          <w:p>
            <w:pPr>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53" w:type="dxa"/>
            <w:tcBorders>
              <w:right w:val="single" w:color="000000" w:sz="4" w:space="0"/>
              <w:tl2br w:val="nil"/>
              <w:tr2bl w:val="nil"/>
            </w:tcBorders>
            <w:vAlign w:val="center"/>
          </w:tcPr>
          <w:p>
            <w:pPr>
              <w:jc w:val="center"/>
              <w:rPr>
                <w:rFonts w:ascii="宋体" w:hAnsi="宋体" w:cs="宋体"/>
                <w:kern w:val="0"/>
              </w:rPr>
            </w:pPr>
            <w:r>
              <w:rPr>
                <w:rFonts w:hint="eastAsia" w:ascii="宋体" w:hAnsi="宋体" w:cs="宋体"/>
                <w:kern w:val="0"/>
              </w:rPr>
              <w:t>7</w:t>
            </w:r>
          </w:p>
        </w:tc>
        <w:tc>
          <w:tcPr>
            <w:tcW w:w="1164" w:type="dxa"/>
            <w:vMerge w:val="continue"/>
            <w:tcBorders>
              <w:left w:val="single" w:color="000000" w:sz="4" w:space="0"/>
              <w:right w:val="single" w:color="000000" w:sz="4" w:space="0"/>
              <w:tl2br w:val="nil"/>
              <w:tr2bl w:val="nil"/>
            </w:tcBorders>
            <w:vAlign w:val="center"/>
          </w:tcPr>
          <w:p>
            <w:pPr>
              <w:jc w:val="left"/>
              <w:rPr>
                <w:rFonts w:ascii="宋体" w:cs="宋体"/>
                <w:kern w:val="0"/>
              </w:rPr>
            </w:pPr>
          </w:p>
        </w:tc>
        <w:tc>
          <w:tcPr>
            <w:tcW w:w="558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Calibri" w:hAnsi="Calibri" w:eastAsia="宋体" w:cs="Calibri"/>
                <w:szCs w:val="21"/>
              </w:rPr>
            </w:pPr>
            <w:r>
              <w:rPr>
                <w:rFonts w:hint="eastAsia"/>
              </w:rPr>
              <w:t>擅自缩短工作面走向（推进）长度的（除遇大断层构造带或煤层变薄带不可采等外），或未经批准擅自将一个采区划分为多个采区的。</w:t>
            </w:r>
          </w:p>
        </w:tc>
        <w:tc>
          <w:tcPr>
            <w:tcW w:w="2275" w:type="dxa"/>
            <w:tcBorders>
              <w:left w:val="single" w:color="000000" w:sz="4" w:space="0"/>
              <w:tl2br w:val="nil"/>
              <w:tr2bl w:val="nil"/>
            </w:tcBorders>
          </w:tcPr>
          <w:p>
            <w:pPr>
              <w:jc w:val="left"/>
              <w:rPr>
                <w:rFonts w:ascii="宋体" w:cs="宋体"/>
                <w:kern w:val="0"/>
              </w:rPr>
            </w:pPr>
            <w:r>
              <w:rPr>
                <w:rFonts w:hint="eastAsia" w:ascii="宋体" w:hAnsi="宋体" w:cs="宋体"/>
                <w:kern w:val="0"/>
              </w:rPr>
              <w:t>《防范煤矿采掘接续紧张暂行办法》第二条第（五）项。</w:t>
            </w:r>
          </w:p>
        </w:tc>
        <w:tc>
          <w:tcPr>
            <w:tcW w:w="1345" w:type="dxa"/>
            <w:tcBorders>
              <w:tl2br w:val="nil"/>
              <w:tr2bl w:val="nil"/>
            </w:tcBorders>
          </w:tcPr>
          <w:p>
            <w:pPr>
              <w:jc w:val="left"/>
              <w:rPr>
                <w:rFonts w:ascii="宋体" w:cs="宋体"/>
                <w:kern w:val="0"/>
              </w:rPr>
            </w:pPr>
          </w:p>
        </w:tc>
        <w:tc>
          <w:tcPr>
            <w:tcW w:w="1345" w:type="dxa"/>
            <w:tcBorders>
              <w:tl2br w:val="nil"/>
              <w:tr2bl w:val="nil"/>
            </w:tcBorders>
          </w:tcPr>
          <w:p>
            <w:pPr>
              <w:jc w:val="left"/>
              <w:rPr>
                <w:rFonts w:ascii="宋体" w:cs="宋体"/>
                <w:kern w:val="0"/>
              </w:rPr>
            </w:pPr>
          </w:p>
        </w:tc>
        <w:tc>
          <w:tcPr>
            <w:tcW w:w="1316" w:type="dxa"/>
            <w:tcBorders>
              <w:tl2br w:val="nil"/>
              <w:tr2bl w:val="nil"/>
            </w:tcBorders>
          </w:tcPr>
          <w:p>
            <w:pPr>
              <w:jc w:val="left"/>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Borders>
              <w:right w:val="single" w:color="000000" w:sz="4" w:space="0"/>
              <w:tl2br w:val="nil"/>
              <w:tr2bl w:val="nil"/>
            </w:tcBorders>
            <w:vAlign w:val="center"/>
          </w:tcPr>
          <w:p>
            <w:pPr>
              <w:jc w:val="center"/>
              <w:rPr>
                <w:rFonts w:ascii="宋体" w:hAnsi="宋体" w:cs="宋体"/>
                <w:kern w:val="0"/>
              </w:rPr>
            </w:pPr>
            <w:r>
              <w:rPr>
                <w:rFonts w:hint="eastAsia" w:ascii="宋体" w:hAnsi="宋体" w:cs="宋体"/>
                <w:kern w:val="0"/>
              </w:rPr>
              <w:t>8</w:t>
            </w:r>
          </w:p>
        </w:tc>
        <w:tc>
          <w:tcPr>
            <w:tcW w:w="1164" w:type="dxa"/>
            <w:vMerge w:val="continue"/>
            <w:tcBorders>
              <w:left w:val="single" w:color="000000" w:sz="4" w:space="0"/>
              <w:right w:val="single" w:color="000000" w:sz="4" w:space="0"/>
              <w:tl2br w:val="nil"/>
              <w:tr2bl w:val="nil"/>
            </w:tcBorders>
            <w:vAlign w:val="center"/>
          </w:tcPr>
          <w:p>
            <w:pPr>
              <w:jc w:val="left"/>
            </w:pPr>
          </w:p>
        </w:tc>
        <w:tc>
          <w:tcPr>
            <w:tcW w:w="558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pPr>
            <w:r>
              <w:rPr>
                <w:rFonts w:hint="eastAsia" w:ascii="宋体" w:hAnsi="宋体" w:cs="宋体"/>
                <w:kern w:val="0"/>
              </w:rPr>
              <w:t>煤层群开采时，未留有足够的顶底板稳定时间，施工近距离邻近煤层回采巷道的。</w:t>
            </w:r>
          </w:p>
        </w:tc>
        <w:tc>
          <w:tcPr>
            <w:tcW w:w="2275" w:type="dxa"/>
            <w:tcBorders>
              <w:left w:val="single" w:color="000000" w:sz="4" w:space="0"/>
              <w:tl2br w:val="nil"/>
              <w:tr2bl w:val="nil"/>
            </w:tcBorders>
          </w:tcPr>
          <w:p>
            <w:pPr>
              <w:jc w:val="left"/>
            </w:pPr>
            <w:r>
              <w:rPr>
                <w:rFonts w:hint="eastAsia" w:ascii="宋体" w:hAnsi="宋体" w:cs="宋体"/>
                <w:kern w:val="0"/>
              </w:rPr>
              <w:t>《防范煤矿采掘接续紧张暂行办法》第二条第（六）项。</w:t>
            </w:r>
          </w:p>
        </w:tc>
        <w:tc>
          <w:tcPr>
            <w:tcW w:w="1345" w:type="dxa"/>
            <w:tcBorders>
              <w:tl2br w:val="nil"/>
              <w:tr2bl w:val="nil"/>
            </w:tcBorders>
          </w:tcPr>
          <w:p/>
        </w:tc>
        <w:tc>
          <w:tcPr>
            <w:tcW w:w="1345" w:type="dxa"/>
            <w:tcBorders>
              <w:tl2br w:val="nil"/>
              <w:tr2bl w:val="nil"/>
            </w:tcBorders>
          </w:tcPr>
          <w:p/>
        </w:tc>
        <w:tc>
          <w:tcPr>
            <w:tcW w:w="1316"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Borders>
              <w:right w:val="single" w:color="000000" w:sz="4" w:space="0"/>
              <w:tl2br w:val="nil"/>
              <w:tr2bl w:val="nil"/>
            </w:tcBorders>
            <w:shd w:val="clear" w:color="auto" w:fill="auto"/>
            <w:vAlign w:val="center"/>
          </w:tcPr>
          <w:p>
            <w:pPr>
              <w:jc w:val="center"/>
              <w:rPr>
                <w:rFonts w:ascii="宋体" w:hAnsi="宋体" w:cs="宋体"/>
                <w:kern w:val="0"/>
              </w:rPr>
            </w:pPr>
            <w:r>
              <w:rPr>
                <w:rFonts w:hint="eastAsia" w:ascii="宋体" w:hAnsi="宋体" w:cs="宋体"/>
                <w:kern w:val="0"/>
              </w:rPr>
              <w:t>9</w:t>
            </w:r>
          </w:p>
        </w:tc>
        <w:tc>
          <w:tcPr>
            <w:tcW w:w="1164" w:type="dxa"/>
            <w:vMerge w:val="continue"/>
            <w:tcBorders>
              <w:left w:val="single" w:color="000000" w:sz="4" w:space="0"/>
              <w:right w:val="single" w:color="000000" w:sz="4" w:space="0"/>
              <w:tl2br w:val="nil"/>
              <w:tr2bl w:val="nil"/>
            </w:tcBorders>
            <w:shd w:val="clear" w:color="auto" w:fill="auto"/>
          </w:tcPr>
          <w:p>
            <w:pPr>
              <w:jc w:val="left"/>
            </w:pPr>
          </w:p>
        </w:tc>
        <w:tc>
          <w:tcPr>
            <w:tcW w:w="558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pPr>
            <w:r>
              <w:rPr>
                <w:rFonts w:hint="eastAsia" w:ascii="宋体" w:hAnsi="宋体" w:cs="宋体"/>
                <w:kern w:val="0"/>
              </w:rPr>
              <w:t>煤矿井下同时生产的水平超过</w:t>
            </w:r>
            <w:r>
              <w:rPr>
                <w:rFonts w:ascii="宋体" w:hAnsi="宋体" w:cs="宋体"/>
                <w:kern w:val="0"/>
              </w:rPr>
              <w:t xml:space="preserve">2 </w:t>
            </w:r>
            <w:r>
              <w:rPr>
                <w:rFonts w:hint="eastAsia" w:ascii="宋体" w:hAnsi="宋体" w:cs="宋体"/>
                <w:kern w:val="0"/>
              </w:rPr>
              <w:t>个，或者一个采（盘）区内同时作业的采煤、煤（半煤岩）巷掘进工作面个数超过《煤矿安全规程》规定的。</w:t>
            </w:r>
          </w:p>
        </w:tc>
        <w:tc>
          <w:tcPr>
            <w:tcW w:w="2275" w:type="dxa"/>
            <w:tcBorders>
              <w:left w:val="single" w:color="000000" w:sz="4" w:space="0"/>
              <w:tl2br w:val="nil"/>
              <w:tr2bl w:val="nil"/>
            </w:tcBorders>
            <w:shd w:val="clear" w:color="auto" w:fill="auto"/>
          </w:tcPr>
          <w:p>
            <w:pPr>
              <w:jc w:val="left"/>
            </w:pPr>
            <w:r>
              <w:rPr>
                <w:rFonts w:hint="eastAsia" w:ascii="宋体" w:hAnsi="宋体" w:cs="宋体"/>
                <w:kern w:val="0"/>
              </w:rPr>
              <w:t>《防范煤矿采掘接续紧张暂行办法》第二条第（四）项。</w:t>
            </w:r>
          </w:p>
        </w:tc>
        <w:tc>
          <w:tcPr>
            <w:tcW w:w="1345" w:type="dxa"/>
            <w:tcBorders>
              <w:tl2br w:val="nil"/>
              <w:tr2bl w:val="nil"/>
            </w:tcBorders>
          </w:tcPr>
          <w:p/>
        </w:tc>
        <w:tc>
          <w:tcPr>
            <w:tcW w:w="1345" w:type="dxa"/>
            <w:tcBorders>
              <w:tl2br w:val="nil"/>
              <w:tr2bl w:val="nil"/>
            </w:tcBorders>
          </w:tcPr>
          <w:p/>
        </w:tc>
        <w:tc>
          <w:tcPr>
            <w:tcW w:w="1316"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53" w:type="dxa"/>
            <w:tcBorders>
              <w:right w:val="single" w:color="000000" w:sz="4" w:space="0"/>
              <w:tl2br w:val="nil"/>
              <w:tr2bl w:val="nil"/>
            </w:tcBorders>
            <w:shd w:val="clear" w:color="auto" w:fill="auto"/>
            <w:vAlign w:val="center"/>
          </w:tcPr>
          <w:p>
            <w:pPr>
              <w:jc w:val="center"/>
              <w:rPr>
                <w:rFonts w:ascii="宋体" w:hAnsi="宋体" w:cs="宋体"/>
                <w:kern w:val="0"/>
              </w:rPr>
            </w:pPr>
            <w:r>
              <w:rPr>
                <w:rFonts w:hint="eastAsia" w:ascii="宋体" w:hAnsi="宋体" w:cs="宋体"/>
                <w:kern w:val="0"/>
              </w:rPr>
              <w:t>10</w:t>
            </w:r>
          </w:p>
        </w:tc>
        <w:tc>
          <w:tcPr>
            <w:tcW w:w="1164" w:type="dxa"/>
            <w:vMerge w:val="continue"/>
            <w:tcBorders>
              <w:left w:val="single" w:color="000000" w:sz="4" w:space="0"/>
              <w:right w:val="single" w:color="000000" w:sz="4" w:space="0"/>
              <w:tl2br w:val="nil"/>
              <w:tr2bl w:val="nil"/>
            </w:tcBorders>
            <w:shd w:val="clear" w:color="auto" w:fill="auto"/>
          </w:tcPr>
          <w:p>
            <w:pPr>
              <w:jc w:val="left"/>
            </w:pPr>
          </w:p>
        </w:tc>
        <w:tc>
          <w:tcPr>
            <w:tcW w:w="558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pPr>
            <w:r>
              <w:rPr>
                <w:rFonts w:hint="eastAsia" w:ascii="宋体" w:hAnsi="宋体" w:cs="宋体"/>
                <w:kern w:val="0"/>
              </w:rPr>
              <w:t>未按《煤矿安全规程》形成完整的水平或采（盘）区通风、排水、供电、通讯等系统，进行回采巷道施工的。</w:t>
            </w:r>
          </w:p>
        </w:tc>
        <w:tc>
          <w:tcPr>
            <w:tcW w:w="2275" w:type="dxa"/>
            <w:tcBorders>
              <w:left w:val="single" w:color="000000" w:sz="4" w:space="0"/>
              <w:tl2br w:val="nil"/>
              <w:tr2bl w:val="nil"/>
            </w:tcBorders>
            <w:shd w:val="clear" w:color="auto" w:fill="auto"/>
          </w:tcPr>
          <w:p>
            <w:pPr>
              <w:jc w:val="left"/>
            </w:pPr>
            <w:r>
              <w:rPr>
                <w:rFonts w:hint="eastAsia" w:ascii="宋体" w:hAnsi="宋体" w:cs="宋体"/>
                <w:kern w:val="0"/>
              </w:rPr>
              <w:t>《防范煤矿采掘接续紧张暂行办法》第二条第（三）项。</w:t>
            </w:r>
          </w:p>
        </w:tc>
        <w:tc>
          <w:tcPr>
            <w:tcW w:w="1345" w:type="dxa"/>
            <w:tcBorders>
              <w:tl2br w:val="nil"/>
              <w:tr2bl w:val="nil"/>
            </w:tcBorders>
          </w:tcPr>
          <w:p/>
        </w:tc>
        <w:tc>
          <w:tcPr>
            <w:tcW w:w="1345" w:type="dxa"/>
            <w:tcBorders>
              <w:tl2br w:val="nil"/>
              <w:tr2bl w:val="nil"/>
            </w:tcBorders>
          </w:tcPr>
          <w:p/>
        </w:tc>
        <w:tc>
          <w:tcPr>
            <w:tcW w:w="1316"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Borders>
              <w:right w:val="single" w:color="000000" w:sz="4" w:space="0"/>
              <w:tl2br w:val="nil"/>
              <w:tr2bl w:val="nil"/>
            </w:tcBorders>
            <w:vAlign w:val="center"/>
          </w:tcPr>
          <w:p>
            <w:pPr>
              <w:jc w:val="center"/>
              <w:rPr>
                <w:rFonts w:ascii="宋体" w:hAnsi="宋体" w:cs="宋体"/>
                <w:kern w:val="0"/>
              </w:rPr>
            </w:pPr>
            <w:r>
              <w:rPr>
                <w:rFonts w:hint="eastAsia" w:ascii="宋体" w:hAnsi="宋体" w:cs="宋体"/>
                <w:kern w:val="0"/>
              </w:rPr>
              <w:t>11</w:t>
            </w:r>
          </w:p>
        </w:tc>
        <w:tc>
          <w:tcPr>
            <w:tcW w:w="1164" w:type="dxa"/>
            <w:vMerge w:val="continue"/>
            <w:tcBorders>
              <w:left w:val="single" w:color="000000" w:sz="4" w:space="0"/>
              <w:right w:val="single" w:color="000000" w:sz="4" w:space="0"/>
              <w:tl2br w:val="nil"/>
              <w:tr2bl w:val="nil"/>
            </w:tcBorders>
          </w:tcPr>
          <w:p>
            <w:pPr>
              <w:jc w:val="left"/>
            </w:pPr>
          </w:p>
        </w:tc>
        <w:tc>
          <w:tcPr>
            <w:tcW w:w="558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pPr>
            <w:r>
              <w:rPr>
                <w:rFonts w:hint="eastAsia"/>
              </w:rPr>
              <w:t>采（盘）区开采前必须按照生产布局和资源回收合理的要求编制采（盘）区设计，并严格按照采（盘）区设计组织施工，情况发生变化时及时修改设计。</w:t>
            </w:r>
          </w:p>
        </w:tc>
        <w:tc>
          <w:tcPr>
            <w:tcW w:w="2275" w:type="dxa"/>
            <w:tcBorders>
              <w:left w:val="single" w:color="000000" w:sz="4" w:space="0"/>
              <w:tl2br w:val="nil"/>
              <w:tr2bl w:val="nil"/>
            </w:tcBorders>
          </w:tcPr>
          <w:p>
            <w:pPr>
              <w:jc w:val="left"/>
              <w:rPr>
                <w:rFonts w:ascii="宋体" w:cs="宋体"/>
                <w:kern w:val="0"/>
              </w:rPr>
            </w:pPr>
            <w:r>
              <w:rPr>
                <w:rFonts w:hint="eastAsia" w:ascii="宋体" w:hAnsi="宋体" w:cs="宋体"/>
                <w:kern w:val="0"/>
              </w:rPr>
              <w:t>《煤矿安全规程》第九十五条第二款。</w:t>
            </w:r>
          </w:p>
        </w:tc>
        <w:tc>
          <w:tcPr>
            <w:tcW w:w="1345" w:type="dxa"/>
            <w:tcBorders>
              <w:tl2br w:val="nil"/>
              <w:tr2bl w:val="nil"/>
            </w:tcBorders>
          </w:tcPr>
          <w:p/>
        </w:tc>
        <w:tc>
          <w:tcPr>
            <w:tcW w:w="1345" w:type="dxa"/>
            <w:tcBorders>
              <w:tl2br w:val="nil"/>
              <w:tr2bl w:val="nil"/>
            </w:tcBorders>
          </w:tcPr>
          <w:p/>
        </w:tc>
        <w:tc>
          <w:tcPr>
            <w:tcW w:w="1316"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Borders>
              <w:right w:val="single" w:color="000000" w:sz="4" w:space="0"/>
              <w:tl2br w:val="nil"/>
              <w:tr2bl w:val="nil"/>
            </w:tcBorders>
            <w:vAlign w:val="center"/>
          </w:tcPr>
          <w:p>
            <w:pPr>
              <w:jc w:val="center"/>
              <w:rPr>
                <w:rFonts w:ascii="宋体" w:hAnsi="宋体" w:cs="宋体"/>
                <w:kern w:val="0"/>
              </w:rPr>
            </w:pPr>
            <w:r>
              <w:rPr>
                <w:rFonts w:hint="eastAsia" w:ascii="宋体" w:hAnsi="宋体" w:cs="宋体"/>
                <w:kern w:val="0"/>
              </w:rPr>
              <w:t>12</w:t>
            </w:r>
          </w:p>
        </w:tc>
        <w:tc>
          <w:tcPr>
            <w:tcW w:w="1164" w:type="dxa"/>
            <w:vMerge w:val="continue"/>
            <w:tcBorders>
              <w:left w:val="single" w:color="000000" w:sz="4" w:space="0"/>
              <w:right w:val="single" w:color="000000" w:sz="4" w:space="0"/>
              <w:tl2br w:val="nil"/>
              <w:tr2bl w:val="nil"/>
            </w:tcBorders>
          </w:tcPr>
          <w:p>
            <w:pPr>
              <w:jc w:val="left"/>
            </w:pPr>
          </w:p>
        </w:tc>
        <w:tc>
          <w:tcPr>
            <w:tcW w:w="558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cs="宋体"/>
                <w:kern w:val="0"/>
              </w:rPr>
            </w:pPr>
            <w:r>
              <w:rPr>
                <w:rFonts w:hint="eastAsia" w:ascii="宋体" w:hAnsi="宋体" w:cs="宋体"/>
                <w:kern w:val="0"/>
              </w:rPr>
              <w:t>一个采（盘）区内同一煤层的一翼最多只能布置</w:t>
            </w:r>
            <w:r>
              <w:rPr>
                <w:rFonts w:ascii="宋体" w:hAnsi="宋体" w:cs="宋体"/>
                <w:kern w:val="0"/>
              </w:rPr>
              <w:t>1</w:t>
            </w:r>
            <w:r>
              <w:rPr>
                <w:rFonts w:hint="eastAsia" w:ascii="宋体" w:hAnsi="宋体" w:cs="宋体"/>
                <w:kern w:val="0"/>
              </w:rPr>
              <w:t>个采煤工作面和</w:t>
            </w:r>
            <w:r>
              <w:rPr>
                <w:rFonts w:ascii="宋体" w:hAnsi="宋体" w:cs="宋体"/>
                <w:kern w:val="0"/>
              </w:rPr>
              <w:t>2</w:t>
            </w:r>
            <w:r>
              <w:rPr>
                <w:rFonts w:hint="eastAsia" w:ascii="宋体" w:hAnsi="宋体" w:cs="宋体"/>
                <w:kern w:val="0"/>
              </w:rPr>
              <w:t>个煤（半煤岩）巷掘进工作面同时作业。一个采（盘）区内同一煤层双翼开采或者多煤层开采的，该采（盘）区最多只能布置</w:t>
            </w:r>
            <w:r>
              <w:rPr>
                <w:rFonts w:ascii="宋体" w:hAnsi="宋体" w:cs="宋体"/>
                <w:kern w:val="0"/>
              </w:rPr>
              <w:t>2</w:t>
            </w:r>
            <w:r>
              <w:rPr>
                <w:rFonts w:hint="eastAsia" w:ascii="宋体" w:hAnsi="宋体" w:cs="宋体"/>
                <w:kern w:val="0"/>
              </w:rPr>
              <w:t>个采煤工作面和</w:t>
            </w:r>
            <w:r>
              <w:rPr>
                <w:rFonts w:ascii="宋体" w:hAnsi="宋体" w:cs="宋体"/>
                <w:kern w:val="0"/>
              </w:rPr>
              <w:t>4</w:t>
            </w:r>
            <w:r>
              <w:rPr>
                <w:rFonts w:hint="eastAsia" w:ascii="宋体" w:hAnsi="宋体" w:cs="宋体"/>
                <w:kern w:val="0"/>
              </w:rPr>
              <w:t>个煤（半煤岩）巷掘进工作面同时作业。</w:t>
            </w:r>
          </w:p>
          <w:p>
            <w:pPr>
              <w:jc w:val="left"/>
              <w:rPr>
                <w:rFonts w:ascii="宋体" w:cs="宋体"/>
                <w:kern w:val="0"/>
              </w:rPr>
            </w:pPr>
            <w:r>
              <w:rPr>
                <w:rFonts w:hint="eastAsia" w:ascii="宋体" w:hAnsi="宋体" w:cs="宋体"/>
                <w:kern w:val="0"/>
              </w:rPr>
              <w:t>新投产矿井回采工作面个数不能超过设计个数。</w:t>
            </w:r>
          </w:p>
        </w:tc>
        <w:tc>
          <w:tcPr>
            <w:tcW w:w="2275" w:type="dxa"/>
            <w:tcBorders>
              <w:left w:val="single" w:color="000000" w:sz="4" w:space="0"/>
              <w:tl2br w:val="nil"/>
              <w:tr2bl w:val="nil"/>
            </w:tcBorders>
          </w:tcPr>
          <w:p>
            <w:pPr>
              <w:jc w:val="left"/>
              <w:rPr>
                <w:rFonts w:ascii="宋体" w:cs="宋体"/>
                <w:kern w:val="0"/>
              </w:rPr>
            </w:pPr>
            <w:r>
              <w:rPr>
                <w:rFonts w:hint="eastAsia" w:ascii="宋体" w:hAnsi="宋体" w:cs="宋体"/>
                <w:kern w:val="0"/>
              </w:rPr>
              <w:t>《煤矿安全规程》第九十五条第三款。</w:t>
            </w:r>
          </w:p>
          <w:p>
            <w:pPr>
              <w:jc w:val="left"/>
              <w:rPr>
                <w:rFonts w:ascii="宋体" w:hAnsi="宋体" w:cs="宋体"/>
                <w:kern w:val="0"/>
              </w:rPr>
            </w:pPr>
            <w:r>
              <w:rPr>
                <w:rFonts w:ascii="宋体" w:hAnsi="宋体" w:cs="宋体"/>
                <w:kern w:val="0"/>
              </w:rPr>
              <w:t>AQ1055-2018</w:t>
            </w:r>
            <w:r>
              <w:rPr>
                <w:rFonts w:hint="eastAsia" w:ascii="宋体" w:hAnsi="宋体" w:cs="宋体"/>
                <w:kern w:val="0"/>
              </w:rPr>
              <w:t>。</w:t>
            </w:r>
          </w:p>
        </w:tc>
        <w:tc>
          <w:tcPr>
            <w:tcW w:w="1345" w:type="dxa"/>
            <w:tcBorders>
              <w:tl2br w:val="nil"/>
              <w:tr2bl w:val="nil"/>
            </w:tcBorders>
          </w:tcPr>
          <w:p/>
        </w:tc>
        <w:tc>
          <w:tcPr>
            <w:tcW w:w="1345" w:type="dxa"/>
            <w:tcBorders>
              <w:tl2br w:val="nil"/>
              <w:tr2bl w:val="nil"/>
            </w:tcBorders>
          </w:tcPr>
          <w:p/>
        </w:tc>
        <w:tc>
          <w:tcPr>
            <w:tcW w:w="1316"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Borders>
              <w:right w:val="single" w:color="000000" w:sz="4" w:space="0"/>
              <w:tl2br w:val="nil"/>
              <w:tr2bl w:val="nil"/>
            </w:tcBorders>
            <w:vAlign w:val="center"/>
          </w:tcPr>
          <w:p>
            <w:pPr>
              <w:jc w:val="center"/>
              <w:rPr>
                <w:rFonts w:ascii="宋体" w:hAnsi="宋体" w:cs="宋体"/>
                <w:kern w:val="0"/>
              </w:rPr>
            </w:pPr>
            <w:r>
              <w:rPr>
                <w:rFonts w:hint="eastAsia" w:ascii="宋体" w:hAnsi="宋体" w:cs="宋体"/>
                <w:kern w:val="0"/>
              </w:rPr>
              <w:t>13</w:t>
            </w:r>
          </w:p>
        </w:tc>
        <w:tc>
          <w:tcPr>
            <w:tcW w:w="1164" w:type="dxa"/>
            <w:vMerge w:val="continue"/>
            <w:tcBorders>
              <w:left w:val="single" w:color="000000" w:sz="4" w:space="0"/>
              <w:right w:val="single" w:color="000000" w:sz="4" w:space="0"/>
              <w:tl2br w:val="nil"/>
              <w:tr2bl w:val="nil"/>
            </w:tcBorders>
          </w:tcPr>
          <w:p>
            <w:pPr>
              <w:jc w:val="left"/>
            </w:pPr>
          </w:p>
        </w:tc>
        <w:tc>
          <w:tcPr>
            <w:tcW w:w="558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cs="宋体"/>
                <w:kern w:val="0"/>
              </w:rPr>
            </w:pPr>
            <w:r>
              <w:rPr>
                <w:rFonts w:hint="eastAsia" w:ascii="宋体" w:hAnsi="宋体" w:cs="宋体"/>
                <w:kern w:val="0"/>
              </w:rPr>
              <w:t>采掘过程中严禁任意扩大和缩小设计确定的煤柱。采空区内不得遗留未经设计确定的煤柱。</w:t>
            </w:r>
          </w:p>
        </w:tc>
        <w:tc>
          <w:tcPr>
            <w:tcW w:w="2275" w:type="dxa"/>
            <w:tcBorders>
              <w:left w:val="single" w:color="000000" w:sz="4" w:space="0"/>
              <w:tl2br w:val="nil"/>
              <w:tr2bl w:val="nil"/>
            </w:tcBorders>
          </w:tcPr>
          <w:p>
            <w:pPr>
              <w:jc w:val="left"/>
              <w:rPr>
                <w:rFonts w:ascii="宋体" w:cs="宋体"/>
                <w:kern w:val="0"/>
              </w:rPr>
            </w:pPr>
            <w:r>
              <w:rPr>
                <w:rFonts w:hint="eastAsia" w:ascii="宋体" w:hAnsi="宋体" w:cs="宋体"/>
                <w:kern w:val="0"/>
              </w:rPr>
              <w:t>《煤矿安全规程》第九十五条第七款。</w:t>
            </w:r>
          </w:p>
        </w:tc>
        <w:tc>
          <w:tcPr>
            <w:tcW w:w="1345" w:type="dxa"/>
            <w:tcBorders>
              <w:tl2br w:val="nil"/>
              <w:tr2bl w:val="nil"/>
            </w:tcBorders>
          </w:tcPr>
          <w:p/>
        </w:tc>
        <w:tc>
          <w:tcPr>
            <w:tcW w:w="1345" w:type="dxa"/>
            <w:tcBorders>
              <w:tl2br w:val="nil"/>
              <w:tr2bl w:val="nil"/>
            </w:tcBorders>
          </w:tcPr>
          <w:p/>
        </w:tc>
        <w:tc>
          <w:tcPr>
            <w:tcW w:w="1316"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753" w:type="dxa"/>
            <w:tcBorders>
              <w:right w:val="single" w:color="000000" w:sz="4" w:space="0"/>
              <w:tl2br w:val="nil"/>
              <w:tr2bl w:val="nil"/>
            </w:tcBorders>
            <w:vAlign w:val="center"/>
          </w:tcPr>
          <w:p>
            <w:pPr>
              <w:jc w:val="center"/>
              <w:rPr>
                <w:rFonts w:ascii="宋体" w:hAnsi="宋体" w:cs="宋体"/>
                <w:kern w:val="0"/>
              </w:rPr>
            </w:pPr>
            <w:r>
              <w:rPr>
                <w:rFonts w:hint="eastAsia" w:ascii="宋体" w:hAnsi="宋体" w:cs="宋体"/>
                <w:kern w:val="0"/>
              </w:rPr>
              <w:t>14</w:t>
            </w:r>
          </w:p>
        </w:tc>
        <w:tc>
          <w:tcPr>
            <w:tcW w:w="1164" w:type="dxa"/>
            <w:vMerge w:val="continue"/>
            <w:tcBorders>
              <w:left w:val="single" w:color="000000" w:sz="4" w:space="0"/>
              <w:right w:val="single" w:color="000000" w:sz="4" w:space="0"/>
              <w:tl2br w:val="nil"/>
              <w:tr2bl w:val="nil"/>
            </w:tcBorders>
          </w:tcPr>
          <w:p>
            <w:pPr>
              <w:jc w:val="left"/>
              <w:rPr>
                <w:rFonts w:ascii="宋体" w:cs="宋体"/>
                <w:kern w:val="0"/>
              </w:rPr>
            </w:pPr>
          </w:p>
        </w:tc>
        <w:tc>
          <w:tcPr>
            <w:tcW w:w="5589"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rFonts w:ascii="宋体" w:hAnsi="宋体" w:cs="宋体"/>
                <w:kern w:val="0"/>
              </w:rPr>
            </w:pPr>
            <w:r>
              <w:rPr>
                <w:rFonts w:hint="eastAsia" w:ascii="宋体" w:hAnsi="宋体" w:cs="宋体"/>
                <w:kern w:val="0"/>
              </w:rPr>
              <w:t>一个矿井同时回采的采煤工作面个数不得超过</w:t>
            </w:r>
            <w:r>
              <w:rPr>
                <w:rFonts w:ascii="宋体" w:hAnsi="宋体" w:cs="宋体"/>
                <w:kern w:val="0"/>
              </w:rPr>
              <w:t>3个，煤（半煤岩）巷掘进工作面个数不得超过9个。严禁以掘代采。</w:t>
            </w:r>
          </w:p>
        </w:tc>
        <w:tc>
          <w:tcPr>
            <w:tcW w:w="2275" w:type="dxa"/>
            <w:tcBorders>
              <w:left w:val="single" w:color="000000" w:sz="4" w:space="0"/>
              <w:tl2br w:val="nil"/>
              <w:tr2bl w:val="nil"/>
            </w:tcBorders>
          </w:tcPr>
          <w:p>
            <w:pPr>
              <w:jc w:val="left"/>
              <w:rPr>
                <w:rFonts w:ascii="宋体" w:hAnsi="宋体" w:cs="宋体"/>
                <w:kern w:val="0"/>
              </w:rPr>
            </w:pPr>
            <w:r>
              <w:rPr>
                <w:rFonts w:hint="eastAsia" w:ascii="宋体" w:hAnsi="宋体" w:cs="宋体"/>
                <w:kern w:val="0"/>
              </w:rPr>
              <w:t>《煤矿安全规程》第九十五条第一款。</w:t>
            </w:r>
          </w:p>
        </w:tc>
        <w:tc>
          <w:tcPr>
            <w:tcW w:w="1345" w:type="dxa"/>
            <w:tcBorders>
              <w:tl2br w:val="nil"/>
              <w:tr2bl w:val="nil"/>
            </w:tcBorders>
          </w:tcPr>
          <w:p>
            <w:pPr>
              <w:jc w:val="left"/>
              <w:rPr>
                <w:rFonts w:ascii="宋体" w:cs="宋体"/>
                <w:kern w:val="0"/>
              </w:rPr>
            </w:pPr>
          </w:p>
        </w:tc>
        <w:tc>
          <w:tcPr>
            <w:tcW w:w="1345" w:type="dxa"/>
            <w:tcBorders>
              <w:tl2br w:val="nil"/>
              <w:tr2bl w:val="nil"/>
            </w:tcBorders>
          </w:tcPr>
          <w:p>
            <w:pPr>
              <w:jc w:val="left"/>
              <w:rPr>
                <w:rFonts w:ascii="宋体" w:cs="宋体"/>
                <w:kern w:val="0"/>
              </w:rPr>
            </w:pPr>
          </w:p>
        </w:tc>
        <w:tc>
          <w:tcPr>
            <w:tcW w:w="1316" w:type="dxa"/>
            <w:tcBorders>
              <w:tl2br w:val="nil"/>
              <w:tr2bl w:val="nil"/>
            </w:tcBorders>
          </w:tcPr>
          <w:p>
            <w:pPr>
              <w:jc w:val="left"/>
              <w:rPr>
                <w:rFonts w:ascii="宋体" w:cs="宋体"/>
                <w:kern w:val="0"/>
              </w:rPr>
            </w:pPr>
          </w:p>
        </w:tc>
      </w:tr>
    </w:tbl>
    <w:p/>
    <w:p>
      <w:r>
        <w:rPr>
          <w:rFonts w:hint="eastAsia" w:ascii="黑体" w:hAnsi="黑体" w:eastAsia="黑体" w:cs="黑体"/>
          <w:sz w:val="28"/>
          <w:szCs w:val="28"/>
          <w:lang w:val="en-US" w:eastAsia="zh-CN"/>
        </w:rPr>
        <w:t>六</w:t>
      </w:r>
      <w:r>
        <w:rPr>
          <w:rFonts w:hint="eastAsia" w:ascii="黑体" w:hAnsi="黑体" w:eastAsia="黑体" w:cs="黑体"/>
          <w:sz w:val="28"/>
          <w:szCs w:val="28"/>
        </w:rPr>
        <w:t>、采掘单元（41</w:t>
      </w:r>
      <w:r>
        <w:rPr>
          <w:rFonts w:ascii="黑体" w:hAnsi="黑体" w:eastAsia="黑体" w:cs="黑体"/>
          <w:sz w:val="28"/>
          <w:szCs w:val="28"/>
        </w:rPr>
        <w:t>）</w:t>
      </w:r>
    </w:p>
    <w:tbl>
      <w:tblPr>
        <w:tblStyle w:val="23"/>
        <w:tblW w:w="13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129"/>
        <w:gridCol w:w="5540"/>
        <w:gridCol w:w="2355"/>
        <w:gridCol w:w="1307"/>
        <w:gridCol w:w="130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69" w:type="dxa"/>
            <w:vAlign w:val="center"/>
          </w:tcPr>
          <w:p>
            <w:pPr>
              <w:jc w:val="center"/>
              <w:rPr>
                <w:rFonts w:ascii="黑体" w:hAnsi="黑体" w:eastAsia="黑体" w:cs="宋体"/>
                <w:bCs/>
                <w:kern w:val="0"/>
              </w:rPr>
            </w:pPr>
            <w:r>
              <w:rPr>
                <w:rFonts w:hint="eastAsia" w:ascii="黑体" w:hAnsi="黑体" w:eastAsia="黑体" w:cs="宋体"/>
                <w:bCs/>
                <w:kern w:val="0"/>
              </w:rPr>
              <w:t>序号</w:t>
            </w:r>
          </w:p>
        </w:tc>
        <w:tc>
          <w:tcPr>
            <w:tcW w:w="1129" w:type="dxa"/>
            <w:vAlign w:val="center"/>
          </w:tcPr>
          <w:p>
            <w:pPr>
              <w:jc w:val="center"/>
              <w:rPr>
                <w:rFonts w:ascii="黑体" w:hAnsi="黑体" w:eastAsia="黑体" w:cs="宋体"/>
                <w:bCs/>
                <w:kern w:val="0"/>
              </w:rPr>
            </w:pPr>
            <w:r>
              <w:rPr>
                <w:rFonts w:hint="eastAsia" w:ascii="黑体" w:hAnsi="黑体" w:eastAsia="黑体" w:cs="宋体"/>
                <w:bCs/>
                <w:kern w:val="0"/>
              </w:rPr>
              <w:t>检查项目</w:t>
            </w:r>
          </w:p>
        </w:tc>
        <w:tc>
          <w:tcPr>
            <w:tcW w:w="5540" w:type="dxa"/>
            <w:vAlign w:val="center"/>
          </w:tcPr>
          <w:p>
            <w:pPr>
              <w:jc w:val="center"/>
              <w:rPr>
                <w:rFonts w:ascii="黑体" w:hAnsi="黑体" w:eastAsia="黑体" w:cs="宋体"/>
                <w:bCs/>
                <w:kern w:val="0"/>
              </w:rPr>
            </w:pPr>
            <w:r>
              <w:rPr>
                <w:rFonts w:hint="eastAsia" w:ascii="黑体" w:hAnsi="黑体" w:eastAsia="黑体" w:cs="宋体"/>
                <w:bCs/>
                <w:kern w:val="0"/>
              </w:rPr>
              <w:t>检查内容</w:t>
            </w:r>
          </w:p>
        </w:tc>
        <w:tc>
          <w:tcPr>
            <w:tcW w:w="2355" w:type="dxa"/>
            <w:vAlign w:val="center"/>
          </w:tcPr>
          <w:p>
            <w:pPr>
              <w:jc w:val="center"/>
              <w:rPr>
                <w:rFonts w:ascii="黑体" w:hAnsi="黑体" w:eastAsia="黑体" w:cs="宋体"/>
                <w:bCs/>
                <w:kern w:val="0"/>
              </w:rPr>
            </w:pPr>
            <w:r>
              <w:rPr>
                <w:rFonts w:hint="eastAsia" w:ascii="黑体" w:hAnsi="黑体" w:eastAsia="黑体" w:cs="宋体"/>
                <w:bCs/>
                <w:kern w:val="0"/>
              </w:rPr>
              <w:t>检查依据</w:t>
            </w:r>
          </w:p>
        </w:tc>
        <w:tc>
          <w:tcPr>
            <w:tcW w:w="1307" w:type="dxa"/>
            <w:vAlign w:val="center"/>
          </w:tcPr>
          <w:p>
            <w:pPr>
              <w:jc w:val="center"/>
              <w:rPr>
                <w:rFonts w:ascii="黑体" w:hAnsi="黑体" w:eastAsia="黑体" w:cs="宋体"/>
                <w:bCs/>
                <w:kern w:val="0"/>
              </w:rPr>
            </w:pPr>
            <w:r>
              <w:rPr>
                <w:rFonts w:hint="eastAsia" w:ascii="黑体" w:hAnsi="黑体" w:eastAsia="黑体" w:cs="宋体"/>
                <w:bCs/>
                <w:kern w:val="0"/>
              </w:rPr>
              <w:t>现状描述</w:t>
            </w:r>
          </w:p>
        </w:tc>
        <w:tc>
          <w:tcPr>
            <w:tcW w:w="1307" w:type="dxa"/>
            <w:vAlign w:val="center"/>
          </w:tcPr>
          <w:p>
            <w:pPr>
              <w:jc w:val="center"/>
              <w:rPr>
                <w:rFonts w:ascii="黑体" w:hAnsi="黑体" w:eastAsia="黑体" w:cs="宋体"/>
                <w:bCs/>
                <w:kern w:val="0"/>
              </w:rPr>
            </w:pPr>
            <w:r>
              <w:rPr>
                <w:rFonts w:hint="eastAsia" w:ascii="黑体" w:hAnsi="黑体" w:eastAsia="黑体" w:cs="宋体"/>
                <w:bCs/>
                <w:kern w:val="0"/>
              </w:rPr>
              <w:t>存在问题</w:t>
            </w:r>
          </w:p>
        </w:tc>
        <w:tc>
          <w:tcPr>
            <w:tcW w:w="1330" w:type="dxa"/>
            <w:vAlign w:val="center"/>
          </w:tcPr>
          <w:p>
            <w:pPr>
              <w:jc w:val="center"/>
              <w:rPr>
                <w:rFonts w:ascii="黑体" w:hAnsi="黑体" w:eastAsia="黑体" w:cs="宋体"/>
                <w:bCs/>
                <w:kern w:val="0"/>
              </w:rPr>
            </w:pPr>
            <w:r>
              <w:rPr>
                <w:rFonts w:hint="eastAsia" w:ascii="黑体" w:hAnsi="黑体" w:eastAsia="黑体" w:cs="宋体"/>
                <w:bCs/>
                <w:kern w:val="0"/>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37" w:type="dxa"/>
            <w:gridSpan w:val="7"/>
          </w:tcPr>
          <w:p>
            <w:pPr>
              <w:jc w:val="left"/>
              <w:rPr>
                <w:rFonts w:ascii="宋体" w:cs="宋体"/>
              </w:rPr>
            </w:pPr>
            <w:r>
              <w:rPr>
                <w:rFonts w:hint="eastAsia" w:ascii="黑体" w:hAnsi="黑体" w:eastAsia="黑体" w:cs="黑体"/>
                <w:kern w:val="0"/>
              </w:rPr>
              <w:t>（一）一般规定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1</w:t>
            </w:r>
          </w:p>
        </w:tc>
        <w:tc>
          <w:tcPr>
            <w:tcW w:w="1129" w:type="dxa"/>
            <w:vAlign w:val="center"/>
          </w:tcPr>
          <w:p>
            <w:pPr>
              <w:jc w:val="left"/>
              <w:textAlignment w:val="center"/>
              <w:rPr>
                <w:rFonts w:ascii="宋体" w:cs="宋体"/>
              </w:rPr>
            </w:pPr>
            <w:r>
              <w:rPr>
                <w:rFonts w:hint="eastAsia" w:ascii="宋体" w:hAnsi="宋体" w:cs="宋体"/>
                <w:kern w:val="0"/>
              </w:rPr>
              <w:t>生产计划</w:t>
            </w:r>
          </w:p>
        </w:tc>
        <w:tc>
          <w:tcPr>
            <w:tcW w:w="5540" w:type="dxa"/>
            <w:vAlign w:val="center"/>
          </w:tcPr>
          <w:p>
            <w:pPr>
              <w:jc w:val="left"/>
              <w:textAlignment w:val="center"/>
              <w:rPr>
                <w:rFonts w:ascii="宋体" w:hAnsi="宋体" w:cs="宋体"/>
                <w:kern w:val="0"/>
              </w:rPr>
            </w:pPr>
            <w:r>
              <w:rPr>
                <w:rFonts w:hint="eastAsia" w:ascii="宋体" w:hAnsi="宋体" w:cs="宋体"/>
                <w:kern w:val="0"/>
              </w:rPr>
              <w:t>编制年度生产建设计划时，必须编制安全技术和安全技术措施计划。安全技术措施所需费用、材料和设备等必须列入企业财务、供应计划。</w:t>
            </w:r>
          </w:p>
          <w:p>
            <w:pPr>
              <w:jc w:val="left"/>
              <w:textAlignment w:val="center"/>
              <w:rPr>
                <w:rFonts w:ascii="宋体" w:cs="宋体"/>
              </w:rPr>
            </w:pPr>
            <w:r>
              <w:rPr>
                <w:rFonts w:hint="eastAsia" w:ascii="宋体" w:hAnsi="宋体" w:cs="宋体"/>
                <w:kern w:val="0"/>
              </w:rPr>
              <w:t>煤矿应当按照均衡生产原则，安排年度、季度、月度生产计划。</w:t>
            </w:r>
          </w:p>
        </w:tc>
        <w:tc>
          <w:tcPr>
            <w:tcW w:w="2355" w:type="dxa"/>
            <w:vAlign w:val="center"/>
          </w:tcPr>
          <w:p>
            <w:pPr>
              <w:jc w:val="left"/>
              <w:textAlignment w:val="center"/>
              <w:rPr>
                <w:rFonts w:ascii="宋体" w:cs="宋体"/>
              </w:rPr>
            </w:pPr>
            <w:r>
              <w:rPr>
                <w:rFonts w:hint="eastAsia" w:ascii="宋体" w:hAnsi="宋体" w:cs="宋体"/>
                <w:kern w:val="0"/>
              </w:rPr>
              <w:t>《煤矿安全规程》第十一条。《煤矿生产能力管理办法》第十八条。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2</w:t>
            </w:r>
          </w:p>
        </w:tc>
        <w:tc>
          <w:tcPr>
            <w:tcW w:w="1129" w:type="dxa"/>
            <w:vAlign w:val="center"/>
          </w:tcPr>
          <w:p>
            <w:pPr>
              <w:jc w:val="left"/>
              <w:textAlignment w:val="center"/>
              <w:rPr>
                <w:rFonts w:ascii="宋体" w:cs="宋体"/>
              </w:rPr>
            </w:pPr>
            <w:r>
              <w:rPr>
                <w:rFonts w:hint="eastAsia" w:ascii="宋体" w:hAnsi="宋体" w:cs="宋体"/>
                <w:kern w:val="0"/>
              </w:rPr>
              <w:t>采区设计</w:t>
            </w:r>
          </w:p>
        </w:tc>
        <w:tc>
          <w:tcPr>
            <w:tcW w:w="5540" w:type="dxa"/>
            <w:vAlign w:val="center"/>
          </w:tcPr>
          <w:p>
            <w:pPr>
              <w:jc w:val="left"/>
              <w:textAlignment w:val="center"/>
              <w:rPr>
                <w:rFonts w:ascii="宋体" w:cs="宋体"/>
                <w:kern w:val="0"/>
              </w:rPr>
            </w:pPr>
            <w:r>
              <w:rPr>
                <w:rFonts w:hint="eastAsia" w:ascii="宋体" w:hAnsi="宋体" w:cs="宋体"/>
                <w:kern w:val="0"/>
              </w:rPr>
              <w:t>采掘作业布置在采矿许可证规定的范围之内，严禁超层越界开采。</w:t>
            </w:r>
          </w:p>
          <w:p>
            <w:pPr>
              <w:jc w:val="left"/>
              <w:textAlignment w:val="center"/>
              <w:rPr>
                <w:rFonts w:ascii="宋体" w:cs="宋体"/>
              </w:rPr>
            </w:pPr>
            <w:r>
              <w:rPr>
                <w:rFonts w:hint="eastAsia" w:ascii="宋体" w:hAnsi="宋体" w:cs="宋体"/>
                <w:kern w:val="0"/>
              </w:rPr>
              <w:t>采（盘）区开采前必须按照生产布局和资源回收合理的要求编制采（盘）区设计，并严格按照采（盘）区设计组织施工，情况发生变化时及时修改设计。采区地质条件、巷道布置、通风、排水、供电系统、安全设施设计等内容是否符合规定。</w:t>
            </w:r>
          </w:p>
        </w:tc>
        <w:tc>
          <w:tcPr>
            <w:tcW w:w="2355" w:type="dxa"/>
            <w:vAlign w:val="center"/>
          </w:tcPr>
          <w:p>
            <w:pPr>
              <w:jc w:val="left"/>
              <w:textAlignment w:val="center"/>
              <w:rPr>
                <w:rFonts w:ascii="宋体" w:cs="宋体"/>
                <w:kern w:val="0"/>
              </w:rPr>
            </w:pPr>
            <w:r>
              <w:rPr>
                <w:rFonts w:hint="eastAsia" w:ascii="宋体" w:hAnsi="宋体" w:cs="宋体"/>
                <w:kern w:val="0"/>
              </w:rPr>
              <w:t>《煤炭法》第二十六条</w:t>
            </w:r>
          </w:p>
          <w:p>
            <w:pPr>
              <w:jc w:val="left"/>
              <w:textAlignment w:val="center"/>
              <w:rPr>
                <w:rFonts w:ascii="宋体" w:cs="宋体"/>
              </w:rPr>
            </w:pPr>
            <w:r>
              <w:rPr>
                <w:rFonts w:hint="eastAsia" w:ascii="宋体" w:hAnsi="宋体" w:cs="宋体"/>
                <w:kern w:val="0"/>
              </w:rPr>
              <w:t>《煤矿安全规程》第九十五条。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3</w:t>
            </w:r>
          </w:p>
        </w:tc>
        <w:tc>
          <w:tcPr>
            <w:tcW w:w="1129" w:type="dxa"/>
            <w:vAlign w:val="center"/>
          </w:tcPr>
          <w:p>
            <w:pPr>
              <w:jc w:val="left"/>
              <w:textAlignment w:val="center"/>
              <w:rPr>
                <w:rFonts w:ascii="宋体" w:cs="宋体"/>
              </w:rPr>
            </w:pPr>
            <w:r>
              <w:rPr>
                <w:rFonts w:hint="eastAsia" w:ascii="宋体" w:hAnsi="宋体" w:cs="宋体"/>
                <w:kern w:val="0"/>
              </w:rPr>
              <w:t>水平及采区安全出口</w:t>
            </w:r>
          </w:p>
        </w:tc>
        <w:tc>
          <w:tcPr>
            <w:tcW w:w="5540" w:type="dxa"/>
            <w:vAlign w:val="center"/>
          </w:tcPr>
          <w:p>
            <w:pPr>
              <w:jc w:val="left"/>
              <w:textAlignment w:val="center"/>
              <w:rPr>
                <w:rFonts w:ascii="宋体" w:cs="宋体"/>
              </w:rPr>
            </w:pPr>
            <w:r>
              <w:rPr>
                <w:rFonts w:hint="eastAsia" w:ascii="宋体" w:hAnsi="宋体" w:cs="宋体"/>
                <w:kern w:val="0"/>
              </w:rPr>
              <w:t>井下每一个水平到上一个水平和各个采</w:t>
            </w:r>
            <w:r>
              <w:rPr>
                <w:rFonts w:ascii="宋体" w:hAnsi="宋体" w:cs="宋体"/>
                <w:kern w:val="0"/>
              </w:rPr>
              <w:t>(</w:t>
            </w:r>
            <w:r>
              <w:rPr>
                <w:rFonts w:hint="eastAsia" w:ascii="宋体" w:hAnsi="宋体" w:cs="宋体"/>
                <w:kern w:val="0"/>
              </w:rPr>
              <w:t>盘</w:t>
            </w:r>
            <w:r>
              <w:rPr>
                <w:rFonts w:ascii="宋体" w:hAnsi="宋体" w:cs="宋体"/>
                <w:kern w:val="0"/>
              </w:rPr>
              <w:t>)</w:t>
            </w:r>
            <w:r>
              <w:rPr>
                <w:rFonts w:hint="eastAsia" w:ascii="宋体" w:hAnsi="宋体" w:cs="宋体"/>
                <w:kern w:val="0"/>
              </w:rPr>
              <w:t>区都必须至少有</w:t>
            </w:r>
            <w:r>
              <w:rPr>
                <w:rFonts w:ascii="宋体" w:hAnsi="宋体" w:cs="宋体"/>
                <w:kern w:val="0"/>
              </w:rPr>
              <w:t>2</w:t>
            </w:r>
            <w:r>
              <w:rPr>
                <w:rFonts w:hint="eastAsia" w:ascii="宋体" w:hAnsi="宋体" w:cs="宋体"/>
                <w:kern w:val="0"/>
              </w:rPr>
              <w:t>个便于行人的安全出口，并与通达地面的安全出口相连。未建成</w:t>
            </w:r>
            <w:r>
              <w:rPr>
                <w:rFonts w:ascii="宋体" w:hAnsi="宋体" w:cs="宋体"/>
                <w:kern w:val="0"/>
              </w:rPr>
              <w:t>2</w:t>
            </w:r>
            <w:r>
              <w:rPr>
                <w:rFonts w:hint="eastAsia" w:ascii="宋体" w:hAnsi="宋体" w:cs="宋体"/>
                <w:kern w:val="0"/>
              </w:rPr>
              <w:t>个安全出口的水平或者采</w:t>
            </w:r>
            <w:r>
              <w:rPr>
                <w:rFonts w:ascii="宋体" w:hAnsi="宋体" w:cs="宋体"/>
                <w:kern w:val="0"/>
              </w:rPr>
              <w:t>(</w:t>
            </w:r>
            <w:r>
              <w:rPr>
                <w:rFonts w:hint="eastAsia" w:ascii="宋体" w:hAnsi="宋体" w:cs="宋体"/>
                <w:kern w:val="0"/>
              </w:rPr>
              <w:t>盘</w:t>
            </w:r>
            <w:r>
              <w:rPr>
                <w:rFonts w:ascii="宋体" w:hAnsi="宋体" w:cs="宋体"/>
                <w:kern w:val="0"/>
              </w:rPr>
              <w:t xml:space="preserve">) </w:t>
            </w:r>
            <w:r>
              <w:rPr>
                <w:rFonts w:hint="eastAsia" w:ascii="宋体" w:hAnsi="宋体" w:cs="宋体"/>
                <w:kern w:val="0"/>
              </w:rPr>
              <w:t>区严禁回采。井巷交岔点，必须设置路标，标明所在地点，指明通往安全出口的方向。通达地面的安全出口和</w:t>
            </w:r>
            <w:r>
              <w:rPr>
                <w:rFonts w:ascii="宋体" w:hAnsi="宋体" w:cs="宋体"/>
                <w:kern w:val="0"/>
              </w:rPr>
              <w:t>2</w:t>
            </w:r>
            <w:r>
              <w:rPr>
                <w:rFonts w:hint="eastAsia" w:ascii="宋体" w:hAnsi="宋体" w:cs="宋体"/>
                <w:kern w:val="0"/>
              </w:rPr>
              <w:t>个水平之间的安全出口必须按规定设置人行道，并根据倾角大小和实际需要设置扶手、台阶或者梯道。安全出口应当经常清理、维护，保持畅通。</w:t>
            </w:r>
          </w:p>
        </w:tc>
        <w:tc>
          <w:tcPr>
            <w:tcW w:w="2355" w:type="dxa"/>
            <w:vAlign w:val="center"/>
          </w:tcPr>
          <w:p>
            <w:pPr>
              <w:jc w:val="left"/>
              <w:textAlignment w:val="center"/>
              <w:rPr>
                <w:rFonts w:ascii="宋体" w:cs="宋体"/>
              </w:rPr>
            </w:pPr>
            <w:r>
              <w:rPr>
                <w:rFonts w:hint="eastAsia" w:ascii="宋体" w:hAnsi="宋体" w:cs="宋体"/>
                <w:kern w:val="0"/>
              </w:rPr>
              <w:t>《煤矿安全规程》第八十八条。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4</w:t>
            </w:r>
          </w:p>
        </w:tc>
        <w:tc>
          <w:tcPr>
            <w:tcW w:w="1129" w:type="dxa"/>
            <w:vAlign w:val="center"/>
          </w:tcPr>
          <w:p>
            <w:pPr>
              <w:jc w:val="left"/>
              <w:textAlignment w:val="center"/>
              <w:rPr>
                <w:rFonts w:ascii="宋体" w:cs="宋体"/>
              </w:rPr>
            </w:pPr>
            <w:r>
              <w:rPr>
                <w:rFonts w:hint="eastAsia" w:ascii="宋体" w:hAnsi="宋体" w:cs="宋体"/>
                <w:kern w:val="0"/>
              </w:rPr>
              <w:t>巷道断面</w:t>
            </w:r>
          </w:p>
        </w:tc>
        <w:tc>
          <w:tcPr>
            <w:tcW w:w="5540" w:type="dxa"/>
            <w:vAlign w:val="center"/>
          </w:tcPr>
          <w:p>
            <w:pPr>
              <w:jc w:val="left"/>
              <w:textAlignment w:val="center"/>
              <w:rPr>
                <w:rFonts w:ascii="宋体" w:hAnsi="宋体" w:cs="宋体"/>
                <w:kern w:val="0"/>
              </w:rPr>
            </w:pPr>
            <w:r>
              <w:rPr>
                <w:rFonts w:hint="eastAsia" w:ascii="宋体" w:hAnsi="宋体" w:cs="宋体"/>
                <w:kern w:val="0"/>
              </w:rPr>
              <w:t>巷道净断面必须满足行人、运输、通风和安全设施及设备安装、检修、施工的需要。采用轨道机车运输的巷道净高，自轨面起不得低于</w:t>
            </w:r>
            <w:r>
              <w:rPr>
                <w:rFonts w:ascii="宋体" w:hAnsi="宋体" w:cs="宋体"/>
                <w:kern w:val="0"/>
              </w:rPr>
              <w:t>2m</w:t>
            </w:r>
            <w:r>
              <w:rPr>
                <w:rFonts w:hint="eastAsia" w:ascii="宋体" w:hAnsi="宋体" w:cs="宋体"/>
                <w:kern w:val="0"/>
              </w:rPr>
              <w:t>。架线电机车运输巷道的净高，在井底车场内、从井底到乘车场，不小于</w:t>
            </w:r>
            <w:r>
              <w:rPr>
                <w:rFonts w:ascii="宋体" w:hAnsi="宋体" w:cs="宋体"/>
                <w:kern w:val="0"/>
              </w:rPr>
              <w:t>2.4m</w:t>
            </w:r>
            <w:r>
              <w:rPr>
                <w:rFonts w:hint="eastAsia" w:ascii="宋体" w:hAnsi="宋体" w:cs="宋体"/>
                <w:kern w:val="0"/>
              </w:rPr>
              <w:t>；其他地点，行人的不小于</w:t>
            </w:r>
            <w:r>
              <w:rPr>
                <w:rFonts w:ascii="宋体" w:hAnsi="宋体" w:cs="宋体"/>
                <w:kern w:val="0"/>
              </w:rPr>
              <w:t>2.2m</w:t>
            </w:r>
            <w:r>
              <w:rPr>
                <w:rFonts w:hint="eastAsia" w:ascii="宋体" w:hAnsi="宋体" w:cs="宋体"/>
                <w:kern w:val="0"/>
              </w:rPr>
              <w:t>，不行人的不小于</w:t>
            </w:r>
            <w:r>
              <w:rPr>
                <w:rFonts w:ascii="宋体" w:hAnsi="宋体" w:cs="宋体"/>
                <w:kern w:val="0"/>
              </w:rPr>
              <w:t>2.1m</w:t>
            </w:r>
            <w:r>
              <w:rPr>
                <w:rFonts w:hint="eastAsia" w:ascii="宋体" w:hAnsi="宋体" w:cs="宋体"/>
                <w:kern w:val="0"/>
              </w:rPr>
              <w:t>。采</w:t>
            </w:r>
            <w:r>
              <w:rPr>
                <w:rFonts w:ascii="宋体" w:hAnsi="宋体" w:cs="宋体"/>
                <w:kern w:val="0"/>
              </w:rPr>
              <w:t>(</w:t>
            </w:r>
            <w:r>
              <w:rPr>
                <w:rFonts w:hint="eastAsia" w:ascii="宋体" w:hAnsi="宋体" w:cs="宋体"/>
                <w:kern w:val="0"/>
              </w:rPr>
              <w:t>盘</w:t>
            </w:r>
            <w:r>
              <w:rPr>
                <w:rFonts w:ascii="宋体" w:hAnsi="宋体" w:cs="宋体"/>
                <w:kern w:val="0"/>
              </w:rPr>
              <w:t>)</w:t>
            </w:r>
            <w:r>
              <w:rPr>
                <w:rFonts w:hint="eastAsia" w:ascii="宋体" w:hAnsi="宋体" w:cs="宋体"/>
                <w:kern w:val="0"/>
              </w:rPr>
              <w:t>区内的上山、下山和平巷的净高不得低于</w:t>
            </w:r>
            <w:r>
              <w:rPr>
                <w:rFonts w:ascii="宋体" w:hAnsi="宋体" w:cs="宋体"/>
                <w:kern w:val="0"/>
              </w:rPr>
              <w:t>2m</w:t>
            </w:r>
            <w:r>
              <w:rPr>
                <w:rFonts w:hint="eastAsia" w:ascii="宋体" w:hAnsi="宋体" w:cs="宋体"/>
                <w:kern w:val="0"/>
              </w:rPr>
              <w:t>，薄煤层内的不得低于</w:t>
            </w:r>
            <w:r>
              <w:rPr>
                <w:rFonts w:ascii="宋体" w:hAnsi="宋体" w:cs="宋体"/>
                <w:kern w:val="0"/>
              </w:rPr>
              <w:t>1.8m</w:t>
            </w:r>
            <w:r>
              <w:rPr>
                <w:rFonts w:hint="eastAsia" w:ascii="宋体" w:hAnsi="宋体" w:cs="宋体"/>
                <w:kern w:val="0"/>
              </w:rPr>
              <w:t>。运输巷</w:t>
            </w:r>
            <w:r>
              <w:rPr>
                <w:rFonts w:ascii="宋体" w:hAnsi="宋体" w:cs="宋体"/>
                <w:kern w:val="0"/>
              </w:rPr>
              <w:t>(</w:t>
            </w:r>
            <w:r>
              <w:rPr>
                <w:rFonts w:hint="eastAsia" w:ascii="宋体" w:hAnsi="宋体" w:cs="宋体"/>
                <w:kern w:val="0"/>
              </w:rPr>
              <w:t>包括管、线、电缆</w:t>
            </w:r>
            <w:r>
              <w:rPr>
                <w:rFonts w:ascii="宋体" w:hAnsi="宋体" w:cs="宋体"/>
                <w:kern w:val="0"/>
              </w:rPr>
              <w:t>)</w:t>
            </w:r>
            <w:r>
              <w:rPr>
                <w:rFonts w:hint="eastAsia" w:ascii="宋体" w:hAnsi="宋体" w:cs="宋体"/>
                <w:kern w:val="0"/>
              </w:rPr>
              <w:t>与运输设备最突出部分之间的最小间距，应当符合规程要求。</w:t>
            </w:r>
          </w:p>
          <w:p>
            <w:pPr>
              <w:jc w:val="left"/>
              <w:textAlignment w:val="center"/>
              <w:rPr>
                <w:rFonts w:ascii="宋体" w:cs="宋体"/>
              </w:rPr>
            </w:pPr>
            <w:r>
              <w:rPr>
                <w:rFonts w:hint="eastAsia" w:ascii="宋体" w:hAnsi="宋体" w:cs="宋体"/>
                <w:kern w:val="0"/>
              </w:rPr>
              <w:t>巷道净断面的设计，必须按支护最大允许变形后的断面计算。</w:t>
            </w:r>
          </w:p>
        </w:tc>
        <w:tc>
          <w:tcPr>
            <w:tcW w:w="2355" w:type="dxa"/>
            <w:vAlign w:val="center"/>
          </w:tcPr>
          <w:p>
            <w:pPr>
              <w:jc w:val="left"/>
              <w:textAlignment w:val="center"/>
              <w:rPr>
                <w:rFonts w:ascii="宋体" w:cs="宋体"/>
              </w:rPr>
            </w:pPr>
            <w:r>
              <w:rPr>
                <w:rFonts w:hint="eastAsia" w:ascii="宋体" w:hAnsi="宋体" w:cs="宋体"/>
                <w:kern w:val="0"/>
              </w:rPr>
              <w:t>《煤矿安全规程》九十条。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37" w:type="dxa"/>
            <w:gridSpan w:val="7"/>
          </w:tcPr>
          <w:p>
            <w:pPr>
              <w:jc w:val="left"/>
              <w:rPr>
                <w:rFonts w:ascii="宋体" w:cs="宋体"/>
              </w:rPr>
            </w:pPr>
            <w:r>
              <w:rPr>
                <w:rFonts w:hint="eastAsia" w:ascii="黑体" w:hAnsi="黑体" w:eastAsia="黑体" w:cs="黑体"/>
                <w:kern w:val="0"/>
              </w:rPr>
              <w:t>（二）采掘（采煤工作面）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5</w:t>
            </w:r>
          </w:p>
        </w:tc>
        <w:tc>
          <w:tcPr>
            <w:tcW w:w="1129" w:type="dxa"/>
            <w:vAlign w:val="center"/>
          </w:tcPr>
          <w:p>
            <w:pPr>
              <w:jc w:val="left"/>
              <w:textAlignment w:val="center"/>
              <w:rPr>
                <w:rFonts w:ascii="宋体" w:cs="宋体"/>
              </w:rPr>
            </w:pPr>
            <w:r>
              <w:rPr>
                <w:rFonts w:hint="eastAsia" w:ascii="宋体" w:hAnsi="宋体" w:cs="宋体"/>
                <w:kern w:val="0"/>
              </w:rPr>
              <w:t>采煤工作面规程措施</w:t>
            </w:r>
          </w:p>
        </w:tc>
        <w:tc>
          <w:tcPr>
            <w:tcW w:w="5540" w:type="dxa"/>
            <w:vAlign w:val="center"/>
          </w:tcPr>
          <w:p>
            <w:pPr>
              <w:jc w:val="left"/>
              <w:textAlignment w:val="center"/>
              <w:rPr>
                <w:rFonts w:ascii="宋体" w:cs="宋体"/>
              </w:rPr>
            </w:pPr>
            <w:r>
              <w:rPr>
                <w:rFonts w:hint="eastAsia" w:ascii="宋体" w:hAnsi="宋体" w:cs="宋体"/>
                <w:kern w:val="0"/>
              </w:rPr>
              <w:t>采煤工作面回采前必须编制作业规程，情况发生变化时</w:t>
            </w:r>
            <w:r>
              <w:rPr>
                <w:rFonts w:ascii="宋体" w:hAnsi="宋体" w:cs="宋体"/>
                <w:kern w:val="0"/>
              </w:rPr>
              <w:t>,</w:t>
            </w:r>
            <w:r>
              <w:rPr>
                <w:rFonts w:hint="eastAsia" w:ascii="宋体" w:hAnsi="宋体" w:cs="宋体"/>
                <w:kern w:val="0"/>
              </w:rPr>
              <w:t>必须及时修改作业规程，按规定制定安全措施或者补充安全措施。</w:t>
            </w:r>
          </w:p>
        </w:tc>
        <w:tc>
          <w:tcPr>
            <w:tcW w:w="2355" w:type="dxa"/>
            <w:vAlign w:val="center"/>
          </w:tcPr>
          <w:p>
            <w:pPr>
              <w:jc w:val="left"/>
              <w:textAlignment w:val="center"/>
              <w:rPr>
                <w:rFonts w:ascii="宋体" w:cs="宋体"/>
              </w:rPr>
            </w:pPr>
            <w:r>
              <w:rPr>
                <w:rFonts w:hint="eastAsia" w:ascii="宋体" w:hAnsi="宋体" w:cs="宋体"/>
                <w:kern w:val="0"/>
              </w:rPr>
              <w:t>《煤矿安全规程》第九十六、第九十八、第一百、第一百零一、第一百零五、第一百零七、第一百零八、第一百一十条。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hAnsi="宋体" w:cs="宋体"/>
                <w:kern w:val="0"/>
              </w:rPr>
            </w:pPr>
            <w:r>
              <w:rPr>
                <w:rFonts w:ascii="宋体" w:hAnsi="宋体" w:cs="宋体"/>
                <w:kern w:val="0"/>
              </w:rPr>
              <w:t>6</w:t>
            </w:r>
          </w:p>
        </w:tc>
        <w:tc>
          <w:tcPr>
            <w:tcW w:w="1129" w:type="dxa"/>
            <w:vAlign w:val="center"/>
          </w:tcPr>
          <w:p>
            <w:pPr>
              <w:jc w:val="left"/>
              <w:textAlignment w:val="center"/>
              <w:rPr>
                <w:rFonts w:ascii="宋体" w:cs="宋体"/>
              </w:rPr>
            </w:pPr>
            <w:r>
              <w:rPr>
                <w:rFonts w:hint="eastAsia" w:ascii="宋体" w:hAnsi="宋体" w:cs="宋体"/>
                <w:kern w:val="0"/>
              </w:rPr>
              <w:t>采煤方法</w:t>
            </w:r>
          </w:p>
        </w:tc>
        <w:tc>
          <w:tcPr>
            <w:tcW w:w="5540" w:type="dxa"/>
            <w:vAlign w:val="center"/>
          </w:tcPr>
          <w:p>
            <w:pPr>
              <w:jc w:val="left"/>
              <w:textAlignment w:val="center"/>
              <w:rPr>
                <w:rFonts w:ascii="宋体" w:cs="宋体"/>
              </w:rPr>
            </w:pPr>
            <w:r>
              <w:rPr>
                <w:rFonts w:hint="eastAsia" w:ascii="宋体" w:hAnsi="宋体" w:cs="宋体"/>
                <w:kern w:val="0"/>
              </w:rPr>
              <w:t>采煤工作面必须正规开采，严禁采用国家明令禁止的采煤方法。高瓦斯、突出、有容易自燃或者自燃煤层的矿井，不得采用前进式采煤方法。</w:t>
            </w:r>
          </w:p>
        </w:tc>
        <w:tc>
          <w:tcPr>
            <w:tcW w:w="2355" w:type="dxa"/>
            <w:vAlign w:val="center"/>
          </w:tcPr>
          <w:p>
            <w:pPr>
              <w:jc w:val="left"/>
              <w:textAlignment w:val="center"/>
              <w:rPr>
                <w:rFonts w:ascii="宋体" w:cs="宋体"/>
              </w:rPr>
            </w:pPr>
            <w:r>
              <w:rPr>
                <w:rFonts w:hint="eastAsia" w:ascii="宋体" w:hAnsi="宋体" w:cs="宋体"/>
                <w:kern w:val="0"/>
              </w:rPr>
              <w:t>《煤矿安全规程》第九十七条。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7</w:t>
            </w:r>
          </w:p>
        </w:tc>
        <w:tc>
          <w:tcPr>
            <w:tcW w:w="1129" w:type="dxa"/>
            <w:vAlign w:val="center"/>
          </w:tcPr>
          <w:p>
            <w:pPr>
              <w:jc w:val="left"/>
              <w:textAlignment w:val="center"/>
              <w:rPr>
                <w:rFonts w:ascii="宋体" w:cs="宋体"/>
              </w:rPr>
            </w:pPr>
            <w:r>
              <w:rPr>
                <w:rFonts w:hint="eastAsia" w:ascii="宋体" w:hAnsi="宋体" w:cs="宋体"/>
                <w:kern w:val="0"/>
              </w:rPr>
              <w:t>采煤工作面安全出口管理</w:t>
            </w:r>
          </w:p>
        </w:tc>
        <w:tc>
          <w:tcPr>
            <w:tcW w:w="5540" w:type="dxa"/>
            <w:vAlign w:val="center"/>
          </w:tcPr>
          <w:p>
            <w:pPr>
              <w:jc w:val="left"/>
              <w:textAlignment w:val="center"/>
              <w:rPr>
                <w:rFonts w:ascii="宋体" w:cs="宋体"/>
              </w:rPr>
            </w:pPr>
            <w:r>
              <w:rPr>
                <w:rFonts w:hint="eastAsia" w:ascii="宋体" w:hAnsi="宋体" w:cs="宋体"/>
                <w:kern w:val="0"/>
              </w:rPr>
              <w:t>采煤工作面必须保持至少</w:t>
            </w:r>
            <w:r>
              <w:rPr>
                <w:rFonts w:ascii="宋体" w:hAnsi="宋体" w:cs="宋体"/>
                <w:kern w:val="0"/>
              </w:rPr>
              <w:t>2</w:t>
            </w:r>
            <w:r>
              <w:rPr>
                <w:rFonts w:hint="eastAsia" w:ascii="宋体" w:hAnsi="宋体" w:cs="宋体"/>
                <w:kern w:val="0"/>
              </w:rPr>
              <w:t>个畅通的安全出口，一个通到进风巷道，另一个通到回风巷道。</w:t>
            </w:r>
          </w:p>
        </w:tc>
        <w:tc>
          <w:tcPr>
            <w:tcW w:w="2355" w:type="dxa"/>
            <w:vAlign w:val="center"/>
          </w:tcPr>
          <w:p>
            <w:pPr>
              <w:jc w:val="left"/>
              <w:textAlignment w:val="center"/>
              <w:rPr>
                <w:rFonts w:ascii="宋体" w:cs="宋体"/>
              </w:rPr>
            </w:pPr>
            <w:r>
              <w:rPr>
                <w:rFonts w:hint="eastAsia" w:ascii="宋体" w:hAnsi="宋体" w:cs="宋体"/>
                <w:kern w:val="0"/>
              </w:rPr>
              <w:t>《煤矿安全规程》第九十七条。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8</w:t>
            </w:r>
          </w:p>
        </w:tc>
        <w:tc>
          <w:tcPr>
            <w:tcW w:w="1129" w:type="dxa"/>
            <w:vAlign w:val="center"/>
          </w:tcPr>
          <w:p>
            <w:pPr>
              <w:jc w:val="left"/>
              <w:textAlignment w:val="center"/>
              <w:rPr>
                <w:rFonts w:ascii="宋体" w:cs="宋体"/>
              </w:rPr>
            </w:pPr>
            <w:r>
              <w:rPr>
                <w:rFonts w:hint="eastAsia" w:ascii="宋体" w:hAnsi="宋体" w:cs="宋体"/>
                <w:kern w:val="0"/>
              </w:rPr>
              <w:t>顶板管理</w:t>
            </w:r>
          </w:p>
        </w:tc>
        <w:tc>
          <w:tcPr>
            <w:tcW w:w="5540" w:type="dxa"/>
            <w:vAlign w:val="center"/>
          </w:tcPr>
          <w:p>
            <w:pPr>
              <w:jc w:val="left"/>
              <w:textAlignment w:val="center"/>
              <w:rPr>
                <w:rFonts w:ascii="宋体" w:cs="宋体"/>
              </w:rPr>
            </w:pPr>
            <w:r>
              <w:rPr>
                <w:rFonts w:hint="eastAsia" w:ascii="宋体" w:hAnsi="宋体" w:cs="宋体"/>
                <w:kern w:val="0"/>
              </w:rPr>
              <w:t>近距离煤层群开采下一煤层时，必须制定控制顶板的安全措施。采用分层垮落法回采时，下一分层的采煤工作面必须在上一分层顶板垮落的稳定区域内进行回采，并经行业专家论证。</w:t>
            </w:r>
          </w:p>
        </w:tc>
        <w:tc>
          <w:tcPr>
            <w:tcW w:w="2355" w:type="dxa"/>
            <w:vAlign w:val="center"/>
          </w:tcPr>
          <w:p>
            <w:pPr>
              <w:jc w:val="left"/>
              <w:textAlignment w:val="center"/>
              <w:rPr>
                <w:rFonts w:ascii="宋体" w:cs="宋体"/>
              </w:rPr>
            </w:pPr>
            <w:r>
              <w:rPr>
                <w:rFonts w:hint="eastAsia" w:ascii="宋体" w:hAnsi="宋体" w:cs="宋体"/>
                <w:kern w:val="0"/>
              </w:rPr>
              <w:t>《煤矿安全规程》第一百一十条。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9</w:t>
            </w:r>
          </w:p>
        </w:tc>
        <w:tc>
          <w:tcPr>
            <w:tcW w:w="1129" w:type="dxa"/>
            <w:vMerge w:val="restart"/>
            <w:vAlign w:val="center"/>
          </w:tcPr>
          <w:p>
            <w:pPr>
              <w:jc w:val="left"/>
              <w:textAlignment w:val="center"/>
              <w:rPr>
                <w:rFonts w:ascii="宋体" w:cs="宋体"/>
              </w:rPr>
            </w:pPr>
            <w:r>
              <w:rPr>
                <w:rFonts w:hint="eastAsia" w:ascii="宋体" w:hAnsi="宋体" w:cs="宋体"/>
                <w:kern w:val="0"/>
              </w:rPr>
              <w:t>掘进工作面作业规程</w:t>
            </w:r>
          </w:p>
        </w:tc>
        <w:tc>
          <w:tcPr>
            <w:tcW w:w="5540" w:type="dxa"/>
            <w:vAlign w:val="center"/>
          </w:tcPr>
          <w:p>
            <w:pPr>
              <w:jc w:val="left"/>
              <w:textAlignment w:val="center"/>
              <w:rPr>
                <w:rFonts w:ascii="宋体" w:cs="宋体"/>
              </w:rPr>
            </w:pPr>
            <w:r>
              <w:rPr>
                <w:rFonts w:hint="eastAsia" w:ascii="宋体" w:hAnsi="宋体" w:cs="宋体"/>
                <w:kern w:val="0"/>
              </w:rPr>
              <w:t>必须编制作业规程，通风、供电、运输、防尘、安全监控、巷道支护等内容符合规定，并组织相关人员学习。情况发生变化时</w:t>
            </w:r>
            <w:r>
              <w:rPr>
                <w:rFonts w:ascii="宋体" w:hAnsi="宋体" w:cs="宋体"/>
                <w:kern w:val="0"/>
              </w:rPr>
              <w:t>,</w:t>
            </w:r>
            <w:r>
              <w:rPr>
                <w:rFonts w:hint="eastAsia" w:ascii="宋体" w:hAnsi="宋体" w:cs="宋体"/>
                <w:kern w:val="0"/>
              </w:rPr>
              <w:t>必须及时修改作业规程，按规定制定安全措施或者补充安全措施。</w:t>
            </w:r>
          </w:p>
        </w:tc>
        <w:tc>
          <w:tcPr>
            <w:tcW w:w="2355" w:type="dxa"/>
            <w:vAlign w:val="center"/>
          </w:tcPr>
          <w:p>
            <w:pPr>
              <w:jc w:val="left"/>
              <w:textAlignment w:val="center"/>
              <w:rPr>
                <w:rFonts w:ascii="宋体" w:cs="宋体"/>
              </w:rPr>
            </w:pPr>
            <w:r>
              <w:rPr>
                <w:rFonts w:hint="eastAsia" w:ascii="宋体" w:hAnsi="宋体" w:cs="宋体"/>
                <w:kern w:val="0"/>
              </w:rPr>
              <w:t>《煤矿安全规程》第五十六、五十七、八十、九十三、一百六十二、四百八十八条。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10</w:t>
            </w:r>
          </w:p>
        </w:tc>
        <w:tc>
          <w:tcPr>
            <w:tcW w:w="1129" w:type="dxa"/>
            <w:vMerge w:val="continue"/>
            <w:vAlign w:val="center"/>
          </w:tcPr>
          <w:p>
            <w:pPr>
              <w:jc w:val="left"/>
              <w:rPr>
                <w:rFonts w:ascii="宋体" w:cs="宋体"/>
              </w:rPr>
            </w:pPr>
          </w:p>
        </w:tc>
        <w:tc>
          <w:tcPr>
            <w:tcW w:w="5540" w:type="dxa"/>
            <w:vAlign w:val="center"/>
          </w:tcPr>
          <w:p>
            <w:pPr>
              <w:jc w:val="left"/>
              <w:textAlignment w:val="center"/>
              <w:rPr>
                <w:rFonts w:ascii="宋体" w:cs="宋体"/>
              </w:rPr>
            </w:pPr>
            <w:r>
              <w:rPr>
                <w:rFonts w:hint="eastAsia" w:ascii="宋体" w:hAnsi="宋体" w:cs="宋体"/>
                <w:kern w:val="0"/>
              </w:rPr>
              <w:t>临时和永久支护距掘进工作面的距离</w:t>
            </w:r>
            <w:r>
              <w:rPr>
                <w:rFonts w:ascii="宋体" w:hAnsi="宋体" w:cs="宋体"/>
                <w:kern w:val="0"/>
              </w:rPr>
              <w:t xml:space="preserve"> ,</w:t>
            </w:r>
            <w:r>
              <w:rPr>
                <w:rFonts w:hint="eastAsia" w:ascii="宋体" w:hAnsi="宋体" w:cs="宋体"/>
                <w:kern w:val="0"/>
              </w:rPr>
              <w:t>必须根据地质、水文地质条件和施工工艺在作业规程中明确</w:t>
            </w:r>
            <w:r>
              <w:rPr>
                <w:rFonts w:ascii="宋体" w:hAnsi="宋体" w:cs="宋体"/>
                <w:kern w:val="0"/>
              </w:rPr>
              <w:t>,</w:t>
            </w:r>
            <w:r>
              <w:rPr>
                <w:rFonts w:hint="eastAsia" w:ascii="宋体" w:hAnsi="宋体" w:cs="宋体"/>
                <w:kern w:val="0"/>
              </w:rPr>
              <w:t>并制定防止冒顶、片帮的安全措施。</w:t>
            </w:r>
          </w:p>
        </w:tc>
        <w:tc>
          <w:tcPr>
            <w:tcW w:w="2355" w:type="dxa"/>
            <w:vAlign w:val="center"/>
          </w:tcPr>
          <w:p>
            <w:pPr>
              <w:jc w:val="left"/>
              <w:textAlignment w:val="center"/>
              <w:rPr>
                <w:rFonts w:ascii="宋体" w:cs="宋体"/>
              </w:rPr>
            </w:pPr>
            <w:r>
              <w:rPr>
                <w:rFonts w:hint="eastAsia" w:ascii="宋体" w:hAnsi="宋体" w:cs="宋体"/>
                <w:kern w:val="0"/>
              </w:rPr>
              <w:t>《煤矿安全规程》第五十八条。</w:t>
            </w:r>
          </w:p>
        </w:tc>
        <w:tc>
          <w:tcPr>
            <w:tcW w:w="1307" w:type="dxa"/>
          </w:tcPr>
          <w:p>
            <w:pPr>
              <w:jc w:val="left"/>
              <w:rPr>
                <w:rFonts w:ascii="宋体" w:cs="宋体"/>
              </w:rPr>
            </w:pPr>
          </w:p>
        </w:tc>
        <w:tc>
          <w:tcPr>
            <w:tcW w:w="1307" w:type="dxa"/>
          </w:tcPr>
          <w:p>
            <w:pPr>
              <w:jc w:val="left"/>
              <w:rPr>
                <w:rFonts w:ascii="宋体" w:cs="宋体"/>
              </w:rPr>
            </w:pPr>
          </w:p>
        </w:tc>
        <w:tc>
          <w:tcPr>
            <w:tcW w:w="1330" w:type="dxa"/>
          </w:tcPr>
          <w:p>
            <w:pPr>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11</w:t>
            </w:r>
          </w:p>
        </w:tc>
        <w:tc>
          <w:tcPr>
            <w:tcW w:w="1129" w:type="dxa"/>
            <w:vAlign w:val="center"/>
          </w:tcPr>
          <w:p>
            <w:pPr>
              <w:jc w:val="left"/>
              <w:textAlignment w:val="center"/>
              <w:rPr>
                <w:rFonts w:ascii="宋体" w:cs="宋体"/>
              </w:rPr>
            </w:pPr>
            <w:r>
              <w:rPr>
                <w:rFonts w:hint="eastAsia" w:ascii="宋体" w:hAnsi="宋体" w:cs="宋体"/>
                <w:kern w:val="0"/>
              </w:rPr>
              <w:t>掘进工作面顶板管理</w:t>
            </w:r>
          </w:p>
        </w:tc>
        <w:tc>
          <w:tcPr>
            <w:tcW w:w="5540" w:type="dxa"/>
            <w:vAlign w:val="center"/>
          </w:tcPr>
          <w:p>
            <w:pPr>
              <w:jc w:val="left"/>
              <w:textAlignment w:val="center"/>
              <w:rPr>
                <w:rFonts w:ascii="宋体" w:cs="宋体"/>
              </w:rPr>
            </w:pPr>
            <w:r>
              <w:rPr>
                <w:rFonts w:hint="eastAsia" w:ascii="宋体" w:hAnsi="宋体" w:cs="宋体"/>
                <w:kern w:val="0"/>
              </w:rPr>
              <w:t>掘进工作面严禁空顶作业。临时和永久支护符合作业规程规定。在松软的煤</w:t>
            </w:r>
            <w:r>
              <w:rPr>
                <w:rFonts w:ascii="宋体" w:hAnsi="宋体" w:cs="宋体"/>
                <w:kern w:val="0"/>
              </w:rPr>
              <w:t>(</w:t>
            </w:r>
            <w:r>
              <w:rPr>
                <w:rFonts w:hint="eastAsia" w:ascii="宋体" w:hAnsi="宋体" w:cs="宋体"/>
                <w:kern w:val="0"/>
              </w:rPr>
              <w:t>岩</w:t>
            </w:r>
            <w:r>
              <w:rPr>
                <w:rFonts w:ascii="宋体" w:hAnsi="宋体" w:cs="宋体"/>
                <w:kern w:val="0"/>
              </w:rPr>
              <w:t>)</w:t>
            </w:r>
            <w:r>
              <w:rPr>
                <w:rFonts w:hint="eastAsia" w:ascii="宋体" w:hAnsi="宋体" w:cs="宋体"/>
                <w:kern w:val="0"/>
              </w:rPr>
              <w:t>层、流砂性地层或者破碎带中掘进巷道时</w:t>
            </w:r>
            <w:r>
              <w:rPr>
                <w:rFonts w:ascii="宋体" w:hAnsi="宋体" w:cs="宋体"/>
                <w:kern w:val="0"/>
              </w:rPr>
              <w:t xml:space="preserve">, </w:t>
            </w:r>
            <w:r>
              <w:rPr>
                <w:rFonts w:hint="eastAsia" w:ascii="宋体" w:hAnsi="宋体" w:cs="宋体"/>
                <w:kern w:val="0"/>
              </w:rPr>
              <w:t>必须采取超前支护或者其他措施。</w:t>
            </w:r>
          </w:p>
        </w:tc>
        <w:tc>
          <w:tcPr>
            <w:tcW w:w="2355" w:type="dxa"/>
            <w:vAlign w:val="center"/>
          </w:tcPr>
          <w:p>
            <w:pPr>
              <w:jc w:val="left"/>
              <w:textAlignment w:val="center"/>
              <w:rPr>
                <w:rFonts w:ascii="宋体" w:cs="宋体"/>
              </w:rPr>
            </w:pPr>
            <w:r>
              <w:rPr>
                <w:rFonts w:hint="eastAsia" w:ascii="宋体" w:hAnsi="宋体" w:cs="宋体"/>
                <w:kern w:val="0"/>
              </w:rPr>
              <w:t>《煤矿安全规程》第五十八条。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rPr>
                <w:rFonts w:ascii="宋体" w:hAnsi="宋体" w:cs="宋体"/>
              </w:rPr>
            </w:pPr>
            <w:r>
              <w:rPr>
                <w:rFonts w:ascii="宋体" w:hAnsi="宋体" w:cs="宋体"/>
              </w:rPr>
              <w:t>12</w:t>
            </w:r>
          </w:p>
        </w:tc>
        <w:tc>
          <w:tcPr>
            <w:tcW w:w="1129" w:type="dxa"/>
            <w:vAlign w:val="center"/>
          </w:tcPr>
          <w:p>
            <w:pPr>
              <w:jc w:val="left"/>
              <w:textAlignment w:val="center"/>
              <w:rPr>
                <w:rFonts w:ascii="宋体" w:cs="宋体"/>
              </w:rPr>
            </w:pPr>
            <w:r>
              <w:rPr>
                <w:rFonts w:hint="eastAsia" w:ascii="宋体" w:hAnsi="宋体" w:cs="宋体"/>
                <w:kern w:val="0"/>
              </w:rPr>
              <w:t>掘进工作面安全防护</w:t>
            </w:r>
          </w:p>
        </w:tc>
        <w:tc>
          <w:tcPr>
            <w:tcW w:w="5540" w:type="dxa"/>
            <w:vAlign w:val="center"/>
          </w:tcPr>
          <w:p>
            <w:pPr>
              <w:jc w:val="left"/>
              <w:textAlignment w:val="center"/>
              <w:rPr>
                <w:rFonts w:ascii="宋体" w:cs="宋体"/>
              </w:rPr>
            </w:pPr>
            <w:r>
              <w:rPr>
                <w:rFonts w:hint="eastAsia" w:ascii="宋体" w:hAnsi="宋体" w:cs="宋体"/>
                <w:kern w:val="0"/>
              </w:rPr>
              <w:t>采掘工作面应当按照规定安设压风、供水、通信线路及装置。</w:t>
            </w:r>
          </w:p>
        </w:tc>
        <w:tc>
          <w:tcPr>
            <w:tcW w:w="2355" w:type="dxa"/>
            <w:vAlign w:val="center"/>
          </w:tcPr>
          <w:p>
            <w:pPr>
              <w:jc w:val="left"/>
              <w:textAlignment w:val="center"/>
              <w:rPr>
                <w:rFonts w:ascii="宋体" w:cs="宋体"/>
              </w:rPr>
            </w:pPr>
            <w:r>
              <w:rPr>
                <w:rFonts w:hint="eastAsia" w:ascii="宋体" w:hAnsi="宋体" w:cs="宋体"/>
                <w:kern w:val="0"/>
              </w:rPr>
              <w:t>《煤矿重大事故隐患判定标准》第十八条第九项。</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13</w:t>
            </w:r>
          </w:p>
        </w:tc>
        <w:tc>
          <w:tcPr>
            <w:tcW w:w="1129" w:type="dxa"/>
            <w:vAlign w:val="center"/>
          </w:tcPr>
          <w:p>
            <w:pPr>
              <w:jc w:val="left"/>
              <w:textAlignment w:val="center"/>
              <w:rPr>
                <w:rFonts w:ascii="宋体" w:cs="宋体"/>
              </w:rPr>
            </w:pPr>
            <w:r>
              <w:rPr>
                <w:rFonts w:hint="eastAsia" w:ascii="宋体" w:hAnsi="宋体" w:cs="宋体"/>
                <w:kern w:val="0"/>
              </w:rPr>
              <w:t>巷道维修</w:t>
            </w:r>
          </w:p>
        </w:tc>
        <w:tc>
          <w:tcPr>
            <w:tcW w:w="5540" w:type="dxa"/>
            <w:vAlign w:val="center"/>
          </w:tcPr>
          <w:p>
            <w:pPr>
              <w:jc w:val="left"/>
              <w:textAlignment w:val="center"/>
              <w:rPr>
                <w:rFonts w:ascii="宋体" w:cs="宋体"/>
              </w:rPr>
            </w:pPr>
            <w:r>
              <w:rPr>
                <w:rFonts w:hint="eastAsia" w:ascii="宋体" w:hAnsi="宋体" w:cs="宋体"/>
                <w:kern w:val="0"/>
              </w:rPr>
              <w:t>掘进工作面后部巷道或者独头巷道维修（着火点、高温点处理）时，维修（处理）点以里不得继续掘进或者有人员进入。</w:t>
            </w:r>
          </w:p>
        </w:tc>
        <w:tc>
          <w:tcPr>
            <w:tcW w:w="2355" w:type="dxa"/>
            <w:vAlign w:val="center"/>
          </w:tcPr>
          <w:p>
            <w:pPr>
              <w:jc w:val="left"/>
              <w:textAlignment w:val="center"/>
              <w:rPr>
                <w:rFonts w:ascii="宋体" w:cs="宋体"/>
              </w:rPr>
            </w:pPr>
            <w:r>
              <w:rPr>
                <w:rFonts w:hint="eastAsia" w:ascii="宋体" w:hAnsi="宋体" w:cs="宋体"/>
                <w:kern w:val="0"/>
              </w:rPr>
              <w:t>《煤矿重大事故隐患判定标准》第十八条第九项。</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hAnsi="宋体" w:cs="宋体"/>
                <w:kern w:val="0"/>
              </w:rPr>
            </w:pPr>
            <w:r>
              <w:rPr>
                <w:rFonts w:hint="eastAsia" w:ascii="宋体" w:hAnsi="宋体" w:cs="宋体"/>
                <w:kern w:val="0"/>
              </w:rPr>
              <w:t>14</w:t>
            </w:r>
          </w:p>
        </w:tc>
        <w:tc>
          <w:tcPr>
            <w:tcW w:w="1129" w:type="dxa"/>
            <w:vMerge w:val="restart"/>
            <w:vAlign w:val="center"/>
          </w:tcPr>
          <w:p>
            <w:pPr>
              <w:jc w:val="left"/>
              <w:textAlignment w:val="center"/>
              <w:rPr>
                <w:rFonts w:ascii="宋体" w:hAnsi="宋体" w:cs="宋体"/>
                <w:kern w:val="0"/>
              </w:rPr>
            </w:pPr>
            <w:r>
              <w:rPr>
                <w:rFonts w:hint="eastAsia" w:ascii="宋体" w:hAnsi="宋体" w:cs="宋体"/>
                <w:kern w:val="0"/>
              </w:rPr>
              <w:t>爆破作业</w:t>
            </w:r>
          </w:p>
        </w:tc>
        <w:tc>
          <w:tcPr>
            <w:tcW w:w="5540" w:type="dxa"/>
            <w:vAlign w:val="center"/>
          </w:tcPr>
          <w:p>
            <w:pPr>
              <w:jc w:val="left"/>
              <w:textAlignment w:val="center"/>
              <w:rPr>
                <w:rFonts w:ascii="宋体" w:hAnsi="宋体" w:cs="宋体"/>
                <w:kern w:val="0"/>
              </w:rPr>
            </w:pPr>
            <w:r>
              <w:rPr>
                <w:rFonts w:hint="eastAsia"/>
              </w:rPr>
              <w:t>采用爆破作业的采掘作业规程必须编制爆破作业说明书，炮眼布置、爆破方法、炸药、雷管的品种、装药量，封泥长度，连线方法和起爆顺序等符合要求，并及时修改补充。</w:t>
            </w:r>
          </w:p>
        </w:tc>
        <w:tc>
          <w:tcPr>
            <w:tcW w:w="2355" w:type="dxa"/>
            <w:vAlign w:val="center"/>
          </w:tcPr>
          <w:p>
            <w:pPr>
              <w:jc w:val="left"/>
              <w:textAlignment w:val="center"/>
              <w:rPr>
                <w:rFonts w:ascii="宋体" w:hAnsi="宋体" w:cs="宋体"/>
                <w:kern w:val="0"/>
              </w:rPr>
            </w:pPr>
            <w:r>
              <w:rPr>
                <w:rFonts w:hint="eastAsia"/>
              </w:rPr>
              <w:t>《煤矿安全规程》(原应急管理部令第8号）第三百四十八条。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hAnsi="宋体" w:cs="宋体"/>
                <w:kern w:val="0"/>
              </w:rPr>
            </w:pPr>
            <w:r>
              <w:rPr>
                <w:rFonts w:hint="eastAsia" w:ascii="宋体" w:hAnsi="宋体" w:cs="宋体"/>
                <w:kern w:val="0"/>
              </w:rPr>
              <w:t>15</w:t>
            </w:r>
          </w:p>
        </w:tc>
        <w:tc>
          <w:tcPr>
            <w:tcW w:w="1129" w:type="dxa"/>
            <w:vMerge w:val="continue"/>
            <w:vAlign w:val="center"/>
          </w:tcPr>
          <w:p>
            <w:pPr>
              <w:jc w:val="left"/>
              <w:textAlignment w:val="center"/>
              <w:rPr>
                <w:rFonts w:ascii="宋体" w:hAnsi="宋体" w:cs="宋体"/>
                <w:kern w:val="0"/>
              </w:rPr>
            </w:pPr>
          </w:p>
        </w:tc>
        <w:tc>
          <w:tcPr>
            <w:tcW w:w="5540" w:type="dxa"/>
            <w:vAlign w:val="center"/>
          </w:tcPr>
          <w:p>
            <w:pPr>
              <w:jc w:val="left"/>
              <w:textAlignment w:val="center"/>
            </w:pPr>
            <w:r>
              <w:rPr>
                <w:rFonts w:hint="eastAsia"/>
              </w:rPr>
              <w:t>爆破作业必须执行“一炮三检”和“三人连锁爆破”制度，并在起爆前检查起爆地点的甲烷浓度。</w:t>
            </w:r>
          </w:p>
          <w:p>
            <w:pPr>
              <w:jc w:val="left"/>
              <w:textAlignment w:val="center"/>
              <w:rPr>
                <w:rFonts w:ascii="宋体" w:hAnsi="宋体" w:cs="宋体"/>
                <w:kern w:val="0"/>
              </w:rPr>
            </w:pPr>
            <w:r>
              <w:rPr>
                <w:rFonts w:hint="eastAsia"/>
              </w:rPr>
              <w:t>放炮器钥匙在非放炮期间由瓦斯检查工保管。</w:t>
            </w:r>
          </w:p>
        </w:tc>
        <w:tc>
          <w:tcPr>
            <w:tcW w:w="2355" w:type="dxa"/>
            <w:vAlign w:val="center"/>
          </w:tcPr>
          <w:p>
            <w:pPr>
              <w:jc w:val="left"/>
              <w:textAlignment w:val="center"/>
              <w:rPr>
                <w:rFonts w:ascii="宋体" w:hAnsi="宋体" w:cs="宋体"/>
                <w:kern w:val="0"/>
              </w:rPr>
            </w:pPr>
            <w:r>
              <w:rPr>
                <w:rFonts w:hint="eastAsia"/>
              </w:rPr>
              <w:t>《煤矿安全规程》(原应急管理部令第8号）第三百四十七条。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hAnsi="宋体" w:cs="宋体"/>
                <w:kern w:val="0"/>
              </w:rPr>
            </w:pPr>
            <w:r>
              <w:rPr>
                <w:rFonts w:hint="eastAsia" w:ascii="宋体" w:hAnsi="宋体" w:cs="宋体"/>
                <w:kern w:val="0"/>
              </w:rPr>
              <w:t>16</w:t>
            </w:r>
          </w:p>
        </w:tc>
        <w:tc>
          <w:tcPr>
            <w:tcW w:w="1129" w:type="dxa"/>
            <w:vMerge w:val="continue"/>
            <w:vAlign w:val="center"/>
          </w:tcPr>
          <w:p>
            <w:pPr>
              <w:jc w:val="left"/>
              <w:textAlignment w:val="center"/>
              <w:rPr>
                <w:rFonts w:ascii="宋体" w:hAnsi="宋体" w:cs="宋体"/>
                <w:kern w:val="0"/>
              </w:rPr>
            </w:pPr>
          </w:p>
        </w:tc>
        <w:tc>
          <w:tcPr>
            <w:tcW w:w="5540" w:type="dxa"/>
            <w:vAlign w:val="center"/>
          </w:tcPr>
          <w:p>
            <w:pPr>
              <w:jc w:val="left"/>
              <w:textAlignment w:val="center"/>
              <w:rPr>
                <w:rFonts w:ascii="宋体" w:hAnsi="宋体" w:cs="宋体"/>
                <w:kern w:val="0"/>
              </w:rPr>
            </w:pPr>
            <w:r>
              <w:rPr>
                <w:rFonts w:hint="eastAsia"/>
              </w:rPr>
              <w:t>装配起爆药卷时，必须在顶板完好、支护完整，避开电气设备和导电体的爆破工作地点附近进行。严禁坐在爆炸物品箱上装配起爆药卷。装配起爆药卷必须采取措施防止折断、损坏脚线。电雷管必须由药卷的顶部装入，严禁用电雷管扎眼。电雷管必须全部插入药卷内。严禁将电雷管斜插在药卷的中部或者捆在药卷上。电雷管插入药卷后，必须用脚线将药卷缠住，并将电雷管脚线扭结成短路。</w:t>
            </w:r>
          </w:p>
        </w:tc>
        <w:tc>
          <w:tcPr>
            <w:tcW w:w="2355" w:type="dxa"/>
            <w:vAlign w:val="center"/>
          </w:tcPr>
          <w:p>
            <w:pPr>
              <w:jc w:val="left"/>
              <w:textAlignment w:val="center"/>
              <w:rPr>
                <w:rFonts w:ascii="宋体" w:hAnsi="宋体" w:cs="宋体"/>
                <w:kern w:val="0"/>
              </w:rPr>
            </w:pPr>
            <w:r>
              <w:rPr>
                <w:rFonts w:hint="eastAsia"/>
              </w:rPr>
              <w:t>《煤矿安全规程》(原应急管理部令第8号）第三百五十六条。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hAnsi="宋体" w:cs="宋体"/>
                <w:kern w:val="0"/>
              </w:rPr>
            </w:pPr>
            <w:r>
              <w:rPr>
                <w:rFonts w:hint="eastAsia" w:ascii="宋体" w:hAnsi="宋体" w:cs="宋体"/>
                <w:kern w:val="0"/>
              </w:rPr>
              <w:t>17</w:t>
            </w:r>
          </w:p>
        </w:tc>
        <w:tc>
          <w:tcPr>
            <w:tcW w:w="1129" w:type="dxa"/>
            <w:vMerge w:val="continue"/>
            <w:vAlign w:val="center"/>
          </w:tcPr>
          <w:p>
            <w:pPr>
              <w:jc w:val="left"/>
              <w:textAlignment w:val="center"/>
              <w:rPr>
                <w:rFonts w:ascii="宋体" w:hAnsi="宋体" w:cs="宋体"/>
                <w:kern w:val="0"/>
              </w:rPr>
            </w:pPr>
          </w:p>
        </w:tc>
        <w:tc>
          <w:tcPr>
            <w:tcW w:w="5540" w:type="dxa"/>
            <w:vAlign w:val="center"/>
          </w:tcPr>
          <w:p>
            <w:pPr>
              <w:jc w:val="left"/>
              <w:textAlignment w:val="center"/>
              <w:rPr>
                <w:rFonts w:ascii="宋体" w:hAnsi="宋体" w:cs="宋体"/>
                <w:kern w:val="0"/>
              </w:rPr>
            </w:pPr>
            <w:r>
              <w:rPr>
                <w:rFonts w:hint="eastAsia"/>
              </w:rPr>
              <w:t>炮眼封泥必须使用水炮泥，水炮泥外剩余的炮眼部分应当用黏土炮泥或者用不燃性、可塑性松散材料制成的炮泥封实。严禁用煤粉、块状材料或者其他可燃性材料作炮眼封泥。无封泥、封泥不足或者不实的炮眼，严禁爆破。严禁裸露爆破。</w:t>
            </w:r>
          </w:p>
        </w:tc>
        <w:tc>
          <w:tcPr>
            <w:tcW w:w="2355" w:type="dxa"/>
            <w:vAlign w:val="center"/>
          </w:tcPr>
          <w:p>
            <w:pPr>
              <w:jc w:val="left"/>
              <w:textAlignment w:val="center"/>
              <w:rPr>
                <w:rFonts w:ascii="宋体" w:hAnsi="宋体" w:cs="宋体"/>
                <w:kern w:val="0"/>
              </w:rPr>
            </w:pPr>
            <w:r>
              <w:rPr>
                <w:rFonts w:hint="eastAsia"/>
              </w:rPr>
              <w:t>《煤矿安全规程》(原应急管理部令第8号）第三百五十八条。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hAnsi="宋体" w:cs="宋体"/>
                <w:kern w:val="0"/>
              </w:rPr>
            </w:pPr>
            <w:r>
              <w:rPr>
                <w:rFonts w:hint="eastAsia" w:ascii="宋体" w:hAnsi="宋体" w:cs="宋体"/>
                <w:kern w:val="0"/>
              </w:rPr>
              <w:t>18</w:t>
            </w:r>
          </w:p>
        </w:tc>
        <w:tc>
          <w:tcPr>
            <w:tcW w:w="1129" w:type="dxa"/>
            <w:vMerge w:val="continue"/>
            <w:vAlign w:val="center"/>
          </w:tcPr>
          <w:p>
            <w:pPr>
              <w:jc w:val="left"/>
              <w:textAlignment w:val="center"/>
              <w:rPr>
                <w:rFonts w:ascii="宋体" w:hAnsi="宋体" w:cs="宋体"/>
                <w:kern w:val="0"/>
              </w:rPr>
            </w:pPr>
          </w:p>
        </w:tc>
        <w:tc>
          <w:tcPr>
            <w:tcW w:w="5540" w:type="dxa"/>
            <w:vAlign w:val="center"/>
          </w:tcPr>
          <w:p>
            <w:pPr>
              <w:jc w:val="left"/>
              <w:textAlignment w:val="center"/>
              <w:rPr>
                <w:rFonts w:ascii="宋体" w:hAnsi="宋体" w:cs="宋体"/>
                <w:kern w:val="0"/>
              </w:rPr>
            </w:pPr>
            <w:r>
              <w:rPr>
                <w:rFonts w:hint="eastAsia"/>
              </w:rPr>
              <w:t>炮眼深度和炮眼的封泥长度应当符合要求。</w:t>
            </w:r>
          </w:p>
        </w:tc>
        <w:tc>
          <w:tcPr>
            <w:tcW w:w="2355" w:type="dxa"/>
            <w:vAlign w:val="center"/>
          </w:tcPr>
          <w:p>
            <w:pPr>
              <w:jc w:val="left"/>
              <w:textAlignment w:val="center"/>
              <w:rPr>
                <w:rFonts w:ascii="宋体" w:hAnsi="宋体" w:cs="宋体"/>
                <w:kern w:val="0"/>
              </w:rPr>
            </w:pPr>
            <w:r>
              <w:rPr>
                <w:rFonts w:hint="eastAsia"/>
              </w:rPr>
              <w:t>《煤矿安全规程》(原应急管理部令第8号）第三百五十九条。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37" w:type="dxa"/>
            <w:gridSpan w:val="7"/>
          </w:tcPr>
          <w:p>
            <w:pPr>
              <w:jc w:val="left"/>
              <w:rPr>
                <w:rFonts w:ascii="黑体" w:hAnsi="黑体" w:eastAsia="黑体"/>
              </w:rPr>
            </w:pPr>
            <w:r>
              <w:rPr>
                <w:rFonts w:hint="eastAsia" w:ascii="黑体" w:hAnsi="黑体" w:eastAsia="黑体" w:cs="黑体"/>
                <w:kern w:val="0"/>
              </w:rPr>
              <w:t>（三）采掘工作面机电运输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1</w:t>
            </w:r>
            <w:r>
              <w:rPr>
                <w:rFonts w:hint="eastAsia" w:ascii="宋体" w:hAnsi="宋体" w:cs="宋体"/>
                <w:kern w:val="0"/>
              </w:rPr>
              <w:t>9</w:t>
            </w:r>
          </w:p>
        </w:tc>
        <w:tc>
          <w:tcPr>
            <w:tcW w:w="1129" w:type="dxa"/>
            <w:vAlign w:val="center"/>
          </w:tcPr>
          <w:p>
            <w:pPr>
              <w:jc w:val="left"/>
              <w:textAlignment w:val="center"/>
              <w:rPr>
                <w:rFonts w:ascii="宋体" w:cs="宋体"/>
              </w:rPr>
            </w:pPr>
            <w:r>
              <w:rPr>
                <w:rFonts w:hint="eastAsia" w:ascii="宋体" w:hAnsi="宋体" w:cs="宋体"/>
                <w:kern w:val="0"/>
              </w:rPr>
              <w:t>滚筒式采煤机</w:t>
            </w:r>
          </w:p>
        </w:tc>
        <w:tc>
          <w:tcPr>
            <w:tcW w:w="5540" w:type="dxa"/>
            <w:vAlign w:val="center"/>
          </w:tcPr>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一</w:t>
            </w:r>
            <w:r>
              <w:rPr>
                <w:rFonts w:ascii="宋体" w:hAnsi="宋体" w:cs="宋体"/>
                <w:kern w:val="0"/>
              </w:rPr>
              <w:t>)</w:t>
            </w:r>
            <w:r>
              <w:rPr>
                <w:rFonts w:hint="eastAsia" w:ascii="宋体" w:hAnsi="宋体" w:cs="宋体"/>
                <w:kern w:val="0"/>
              </w:rPr>
              <w:t>采煤机上装有能停止工作面刮板输送机运行的闭锁装置</w:t>
            </w:r>
            <w:r>
              <w:rPr>
                <w:rFonts w:ascii="宋体" w:hAnsi="宋体" w:cs="宋体"/>
                <w:kern w:val="0"/>
              </w:rPr>
              <w:t>.</w:t>
            </w:r>
            <w:r>
              <w:rPr>
                <w:rFonts w:hint="eastAsia" w:ascii="宋体" w:hAnsi="宋体" w:cs="宋体"/>
                <w:kern w:val="0"/>
              </w:rPr>
              <w:t>启动采煤机前</w:t>
            </w:r>
            <w:r>
              <w:rPr>
                <w:rFonts w:ascii="宋体" w:hAnsi="宋体" w:cs="宋体"/>
                <w:kern w:val="0"/>
              </w:rPr>
              <w:t>,</w:t>
            </w:r>
            <w:r>
              <w:rPr>
                <w:rFonts w:hint="eastAsia" w:ascii="宋体" w:hAnsi="宋体" w:cs="宋体"/>
                <w:kern w:val="0"/>
              </w:rPr>
              <w:t>必须先巡视采煤机四周</w:t>
            </w:r>
            <w:r>
              <w:rPr>
                <w:rFonts w:ascii="宋体" w:hAnsi="宋体" w:cs="宋体"/>
                <w:kern w:val="0"/>
              </w:rPr>
              <w:t>,</w:t>
            </w:r>
            <w:r>
              <w:rPr>
                <w:rFonts w:hint="eastAsia" w:ascii="宋体" w:hAnsi="宋体" w:cs="宋体"/>
                <w:kern w:val="0"/>
              </w:rPr>
              <w:t>发出预警信号</w:t>
            </w:r>
            <w:r>
              <w:rPr>
                <w:rFonts w:ascii="宋体" w:hAnsi="宋体" w:cs="宋体"/>
                <w:kern w:val="0"/>
              </w:rPr>
              <w:t>,</w:t>
            </w:r>
            <w:r>
              <w:rPr>
                <w:rFonts w:hint="eastAsia" w:ascii="宋体" w:hAnsi="宋体" w:cs="宋体"/>
                <w:kern w:val="0"/>
              </w:rPr>
              <w:t>确认人员无危险后</w:t>
            </w:r>
            <w:r>
              <w:rPr>
                <w:rFonts w:ascii="宋体" w:hAnsi="宋体" w:cs="宋体"/>
                <w:kern w:val="0"/>
              </w:rPr>
              <w:t>,</w:t>
            </w:r>
            <w:r>
              <w:rPr>
                <w:rFonts w:hint="eastAsia" w:ascii="宋体" w:hAnsi="宋体" w:cs="宋体"/>
                <w:kern w:val="0"/>
              </w:rPr>
              <w:t>方可接通电源</w:t>
            </w:r>
            <w:r>
              <w:rPr>
                <w:rFonts w:ascii="宋体" w:hAnsi="宋体" w:cs="宋体"/>
                <w:kern w:val="0"/>
              </w:rPr>
              <w:t>.</w:t>
            </w:r>
            <w:r>
              <w:rPr>
                <w:rFonts w:hint="eastAsia" w:ascii="宋体" w:hAnsi="宋体" w:cs="宋体"/>
                <w:kern w:val="0"/>
              </w:rPr>
              <w:t>采煤机因故暂停时</w:t>
            </w:r>
            <w:r>
              <w:rPr>
                <w:rFonts w:ascii="宋体" w:hAnsi="宋体" w:cs="宋体"/>
                <w:kern w:val="0"/>
              </w:rPr>
              <w:t>,</w:t>
            </w:r>
            <w:r>
              <w:rPr>
                <w:rFonts w:hint="eastAsia" w:ascii="宋体" w:hAnsi="宋体" w:cs="宋体"/>
                <w:kern w:val="0"/>
              </w:rPr>
              <w:t>必须打开隔离开关和离合器</w:t>
            </w:r>
            <w:r>
              <w:rPr>
                <w:rFonts w:ascii="宋体" w:hAnsi="宋体" w:cs="宋体"/>
                <w:kern w:val="0"/>
              </w:rPr>
              <w:t>.</w:t>
            </w:r>
            <w:r>
              <w:rPr>
                <w:rFonts w:hint="eastAsia" w:ascii="宋体" w:hAnsi="宋体" w:cs="宋体"/>
                <w:kern w:val="0"/>
              </w:rPr>
              <w:t>采煤机停止工作或者检修时</w:t>
            </w:r>
            <w:r>
              <w:rPr>
                <w:rFonts w:ascii="宋体" w:hAnsi="宋体" w:cs="宋体"/>
                <w:kern w:val="0"/>
              </w:rPr>
              <w:t>,</w:t>
            </w:r>
            <w:r>
              <w:rPr>
                <w:rFonts w:hint="eastAsia" w:ascii="宋体" w:hAnsi="宋体" w:cs="宋体"/>
                <w:kern w:val="0"/>
              </w:rPr>
              <w:t>必须切断采煤机前级供电开关电源并断开其隔离开关</w:t>
            </w:r>
            <w:r>
              <w:rPr>
                <w:rFonts w:ascii="宋体" w:hAnsi="宋体" w:cs="宋体"/>
                <w:kern w:val="0"/>
              </w:rPr>
              <w:t>,</w:t>
            </w:r>
            <w:r>
              <w:rPr>
                <w:rFonts w:hint="eastAsia" w:ascii="宋体" w:hAnsi="宋体" w:cs="宋体"/>
                <w:kern w:val="0"/>
              </w:rPr>
              <w:t>断开采煤机隔离开关</w:t>
            </w:r>
            <w:r>
              <w:rPr>
                <w:rFonts w:ascii="宋体" w:hAnsi="宋体" w:cs="宋体"/>
                <w:kern w:val="0"/>
              </w:rPr>
              <w:t>,</w:t>
            </w:r>
            <w:r>
              <w:rPr>
                <w:rFonts w:hint="eastAsia" w:ascii="宋体" w:hAnsi="宋体" w:cs="宋体"/>
                <w:kern w:val="0"/>
              </w:rPr>
              <w:t>打开截割部离合器</w:t>
            </w:r>
            <w:r>
              <w:rPr>
                <w:rFonts w:ascii="宋体" w:hAnsi="宋体" w:cs="宋体"/>
                <w:kern w:val="0"/>
              </w:rPr>
              <w:t>.</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二</w:t>
            </w:r>
            <w:r>
              <w:rPr>
                <w:rFonts w:ascii="宋体" w:hAnsi="宋体" w:cs="宋体"/>
                <w:kern w:val="0"/>
              </w:rPr>
              <w:t>)</w:t>
            </w:r>
            <w:r>
              <w:rPr>
                <w:rFonts w:hint="eastAsia" w:ascii="宋体" w:hAnsi="宋体" w:cs="宋体"/>
                <w:kern w:val="0"/>
              </w:rPr>
              <w:t>工作面遇有坚硬夹矸或者黄铁矿结核时</w:t>
            </w:r>
            <w:r>
              <w:rPr>
                <w:rFonts w:ascii="宋体" w:hAnsi="宋体" w:cs="宋体"/>
                <w:kern w:val="0"/>
              </w:rPr>
              <w:t>,</w:t>
            </w:r>
            <w:r>
              <w:rPr>
                <w:rFonts w:hint="eastAsia" w:ascii="宋体" w:hAnsi="宋体" w:cs="宋体"/>
                <w:kern w:val="0"/>
              </w:rPr>
              <w:t>应当采取松动爆破处理措施</w:t>
            </w:r>
            <w:r>
              <w:rPr>
                <w:rFonts w:ascii="宋体" w:hAnsi="宋体" w:cs="宋体"/>
                <w:kern w:val="0"/>
              </w:rPr>
              <w:t>,</w:t>
            </w:r>
            <w:r>
              <w:rPr>
                <w:rFonts w:hint="eastAsia" w:ascii="宋体" w:hAnsi="宋体" w:cs="宋体"/>
                <w:kern w:val="0"/>
              </w:rPr>
              <w:t>严禁用采煤机强行截割</w:t>
            </w:r>
            <w:r>
              <w:rPr>
                <w:rFonts w:ascii="宋体" w:hAnsi="宋体" w:cs="宋体"/>
                <w:kern w:val="0"/>
              </w:rPr>
              <w:t>.</w:t>
            </w:r>
          </w:p>
          <w:p>
            <w:pPr>
              <w:jc w:val="left"/>
              <w:textAlignment w:val="center"/>
              <w:rPr>
                <w:rFonts w:ascii="宋体" w:hAnsi="宋体" w:cs="宋体"/>
                <w:spacing w:val="-6"/>
                <w:kern w:val="0"/>
              </w:rPr>
            </w:pPr>
            <w:r>
              <w:rPr>
                <w:rFonts w:ascii="宋体" w:hAnsi="宋体" w:cs="宋体"/>
                <w:kern w:val="0"/>
              </w:rPr>
              <w:t>(</w:t>
            </w:r>
            <w:r>
              <w:rPr>
                <w:rFonts w:hint="eastAsia" w:ascii="宋体" w:hAnsi="宋体" w:cs="宋体"/>
                <w:kern w:val="0"/>
              </w:rPr>
              <w:t>三</w:t>
            </w:r>
            <w:r>
              <w:rPr>
                <w:rFonts w:ascii="宋体" w:hAnsi="宋体" w:cs="宋体"/>
                <w:kern w:val="0"/>
              </w:rPr>
              <w:t>)</w:t>
            </w:r>
            <w:r>
              <w:rPr>
                <w:rFonts w:hint="eastAsia" w:ascii="宋体" w:hAnsi="宋体" w:cs="宋体"/>
                <w:spacing w:val="-6"/>
                <w:kern w:val="0"/>
              </w:rPr>
              <w:t>工作面倾角在１５°以上时</w:t>
            </w:r>
            <w:r>
              <w:rPr>
                <w:rFonts w:ascii="宋体" w:hAnsi="宋体" w:cs="宋体"/>
                <w:spacing w:val="-6"/>
                <w:kern w:val="0"/>
              </w:rPr>
              <w:t>,</w:t>
            </w:r>
            <w:r>
              <w:rPr>
                <w:rFonts w:hint="eastAsia" w:ascii="宋体" w:hAnsi="宋体" w:cs="宋体"/>
                <w:spacing w:val="-6"/>
                <w:kern w:val="0"/>
              </w:rPr>
              <w:t>必须有可靠的防滑装置</w:t>
            </w:r>
            <w:r>
              <w:rPr>
                <w:rFonts w:ascii="宋体" w:hAnsi="宋体" w:cs="宋体"/>
                <w:spacing w:val="-6"/>
                <w:kern w:val="0"/>
              </w:rPr>
              <w:t>.</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四</w:t>
            </w:r>
            <w:r>
              <w:rPr>
                <w:rFonts w:ascii="宋体" w:hAnsi="宋体" w:cs="宋体"/>
                <w:kern w:val="0"/>
              </w:rPr>
              <w:t>)</w:t>
            </w:r>
            <w:r>
              <w:rPr>
                <w:rFonts w:hint="eastAsia" w:ascii="宋体" w:hAnsi="宋体" w:cs="宋体"/>
                <w:kern w:val="0"/>
              </w:rPr>
              <w:t>使用有链牵引采煤机时</w:t>
            </w:r>
            <w:r>
              <w:rPr>
                <w:rFonts w:ascii="宋体" w:hAnsi="宋体" w:cs="宋体"/>
                <w:kern w:val="0"/>
              </w:rPr>
              <w:t>,</w:t>
            </w:r>
            <w:r>
              <w:rPr>
                <w:rFonts w:hint="eastAsia" w:ascii="宋体" w:hAnsi="宋体" w:cs="宋体"/>
                <w:kern w:val="0"/>
              </w:rPr>
              <w:t>在开机和改变牵引方向前</w:t>
            </w:r>
            <w:r>
              <w:rPr>
                <w:rFonts w:ascii="宋体" w:hAnsi="宋体" w:cs="宋体"/>
                <w:kern w:val="0"/>
              </w:rPr>
              <w:t>,</w:t>
            </w:r>
            <w:r>
              <w:rPr>
                <w:rFonts w:hint="eastAsia" w:ascii="宋体" w:hAnsi="宋体" w:cs="宋体"/>
                <w:kern w:val="0"/>
              </w:rPr>
              <w:t>必须发出信号</w:t>
            </w:r>
            <w:r>
              <w:rPr>
                <w:rFonts w:ascii="宋体" w:hAnsi="宋体" w:cs="宋体"/>
                <w:kern w:val="0"/>
              </w:rPr>
              <w:t>.</w:t>
            </w:r>
            <w:r>
              <w:rPr>
                <w:rFonts w:hint="eastAsia" w:ascii="宋体" w:hAnsi="宋体" w:cs="宋体"/>
                <w:kern w:val="0"/>
              </w:rPr>
              <w:t>只有在收到返向信号后</w:t>
            </w:r>
            <w:r>
              <w:rPr>
                <w:rFonts w:ascii="宋体" w:hAnsi="宋体" w:cs="宋体"/>
                <w:kern w:val="0"/>
              </w:rPr>
              <w:t>,</w:t>
            </w:r>
            <w:r>
              <w:rPr>
                <w:rFonts w:hint="eastAsia" w:ascii="宋体" w:hAnsi="宋体" w:cs="宋体"/>
                <w:kern w:val="0"/>
              </w:rPr>
              <w:t>才能开机或者改变牵引方向</w:t>
            </w:r>
            <w:r>
              <w:rPr>
                <w:rFonts w:ascii="宋体" w:hAnsi="宋体" w:cs="宋体"/>
                <w:kern w:val="0"/>
              </w:rPr>
              <w:t>,</w:t>
            </w:r>
            <w:r>
              <w:rPr>
                <w:rFonts w:hint="eastAsia" w:ascii="宋体" w:hAnsi="宋体" w:cs="宋体"/>
                <w:kern w:val="0"/>
              </w:rPr>
              <w:t>防止牵引链跳动或者断链伤人</w:t>
            </w:r>
            <w:r>
              <w:rPr>
                <w:rFonts w:ascii="宋体" w:hAnsi="宋体" w:cs="宋体"/>
                <w:kern w:val="0"/>
              </w:rPr>
              <w:t>.</w:t>
            </w:r>
            <w:r>
              <w:rPr>
                <w:rFonts w:hint="eastAsia" w:ascii="宋体" w:hAnsi="宋体" w:cs="宋体"/>
                <w:kern w:val="0"/>
              </w:rPr>
              <w:t>必须经常检查牵引链及其两端的固定连接件</w:t>
            </w:r>
            <w:r>
              <w:rPr>
                <w:rFonts w:ascii="宋体" w:hAnsi="宋体" w:cs="宋体"/>
                <w:kern w:val="0"/>
              </w:rPr>
              <w:t>,</w:t>
            </w:r>
            <w:r>
              <w:rPr>
                <w:rFonts w:hint="eastAsia" w:ascii="宋体" w:hAnsi="宋体" w:cs="宋体"/>
                <w:kern w:val="0"/>
              </w:rPr>
              <w:t>发现问题</w:t>
            </w:r>
            <w:r>
              <w:rPr>
                <w:rFonts w:ascii="宋体" w:hAnsi="宋体" w:cs="宋体"/>
                <w:kern w:val="0"/>
              </w:rPr>
              <w:t>,</w:t>
            </w:r>
            <w:r>
              <w:rPr>
                <w:rFonts w:hint="eastAsia" w:ascii="宋体" w:hAnsi="宋体" w:cs="宋体"/>
                <w:kern w:val="0"/>
              </w:rPr>
              <w:t>及时处理</w:t>
            </w:r>
            <w:r>
              <w:rPr>
                <w:rFonts w:ascii="宋体" w:hAnsi="宋体" w:cs="宋体"/>
                <w:kern w:val="0"/>
              </w:rPr>
              <w:t>.</w:t>
            </w:r>
            <w:r>
              <w:rPr>
                <w:rFonts w:hint="eastAsia" w:ascii="宋体" w:hAnsi="宋体" w:cs="宋体"/>
                <w:kern w:val="0"/>
              </w:rPr>
              <w:t>采煤机运行时</w:t>
            </w:r>
            <w:r>
              <w:rPr>
                <w:rFonts w:ascii="宋体" w:hAnsi="宋体" w:cs="宋体"/>
                <w:kern w:val="0"/>
              </w:rPr>
              <w:t>,</w:t>
            </w:r>
            <w:r>
              <w:rPr>
                <w:rFonts w:hint="eastAsia" w:ascii="宋体" w:hAnsi="宋体" w:cs="宋体"/>
                <w:kern w:val="0"/>
              </w:rPr>
              <w:t>所有人员必须避开牵引链</w:t>
            </w:r>
            <w:r>
              <w:rPr>
                <w:rFonts w:ascii="宋体" w:hAnsi="宋体" w:cs="宋体"/>
                <w:kern w:val="0"/>
              </w:rPr>
              <w:t>.</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五</w:t>
            </w:r>
            <w:r>
              <w:rPr>
                <w:rFonts w:ascii="宋体" w:hAnsi="宋体" w:cs="宋体"/>
                <w:kern w:val="0"/>
              </w:rPr>
              <w:t>)</w:t>
            </w:r>
            <w:r>
              <w:rPr>
                <w:rFonts w:hint="eastAsia" w:ascii="宋体" w:hAnsi="宋体" w:cs="宋体"/>
                <w:kern w:val="0"/>
              </w:rPr>
              <w:t>更换截齿和滚筒时</w:t>
            </w:r>
            <w:r>
              <w:rPr>
                <w:rFonts w:ascii="宋体" w:hAnsi="宋体" w:cs="宋体"/>
                <w:kern w:val="0"/>
              </w:rPr>
              <w:t>,</w:t>
            </w:r>
            <w:r>
              <w:rPr>
                <w:rFonts w:hint="eastAsia" w:ascii="宋体" w:hAnsi="宋体" w:cs="宋体"/>
                <w:kern w:val="0"/>
              </w:rPr>
              <w:t>采煤机上下３</w:t>
            </w:r>
            <w:r>
              <w:rPr>
                <w:rFonts w:ascii="宋体" w:hAnsi="宋体" w:cs="宋体"/>
                <w:kern w:val="0"/>
              </w:rPr>
              <w:t xml:space="preserve">m </w:t>
            </w:r>
            <w:r>
              <w:rPr>
                <w:rFonts w:hint="eastAsia" w:ascii="宋体" w:hAnsi="宋体" w:cs="宋体"/>
                <w:kern w:val="0"/>
              </w:rPr>
              <w:t>范围内</w:t>
            </w:r>
            <w:r>
              <w:rPr>
                <w:rFonts w:ascii="宋体" w:hAnsi="宋体" w:cs="宋体"/>
                <w:kern w:val="0"/>
              </w:rPr>
              <w:t>,</w:t>
            </w:r>
            <w:r>
              <w:rPr>
                <w:rFonts w:hint="eastAsia" w:ascii="宋体" w:hAnsi="宋体" w:cs="宋体"/>
                <w:kern w:val="0"/>
              </w:rPr>
              <w:t>必须护帮护顶</w:t>
            </w:r>
            <w:r>
              <w:rPr>
                <w:rFonts w:ascii="宋体" w:hAnsi="宋体" w:cs="宋体"/>
                <w:kern w:val="0"/>
              </w:rPr>
              <w:t>,</w:t>
            </w:r>
            <w:r>
              <w:rPr>
                <w:rFonts w:hint="eastAsia" w:ascii="宋体" w:hAnsi="宋体" w:cs="宋体"/>
                <w:kern w:val="0"/>
              </w:rPr>
              <w:t>禁止操作液压支架</w:t>
            </w:r>
            <w:r>
              <w:rPr>
                <w:rFonts w:ascii="宋体" w:hAnsi="宋体" w:cs="宋体"/>
                <w:kern w:val="0"/>
              </w:rPr>
              <w:t>.</w:t>
            </w:r>
            <w:r>
              <w:rPr>
                <w:rFonts w:hint="eastAsia" w:ascii="宋体" w:hAnsi="宋体" w:cs="宋体"/>
                <w:kern w:val="0"/>
              </w:rPr>
              <w:t>必须切断采煤机前级供电开关电源并断开其隔离开关</w:t>
            </w:r>
            <w:r>
              <w:rPr>
                <w:rFonts w:ascii="宋体" w:hAnsi="宋体" w:cs="宋体"/>
                <w:kern w:val="0"/>
              </w:rPr>
              <w:t>,</w:t>
            </w:r>
            <w:r>
              <w:rPr>
                <w:rFonts w:hint="eastAsia" w:ascii="宋体" w:hAnsi="宋体" w:cs="宋体"/>
                <w:kern w:val="0"/>
              </w:rPr>
              <w:t>断开采煤机隔离开关</w:t>
            </w:r>
            <w:r>
              <w:rPr>
                <w:rFonts w:ascii="宋体" w:hAnsi="宋体" w:cs="宋体"/>
                <w:kern w:val="0"/>
              </w:rPr>
              <w:t>,</w:t>
            </w:r>
            <w:r>
              <w:rPr>
                <w:rFonts w:hint="eastAsia" w:ascii="宋体" w:hAnsi="宋体" w:cs="宋体"/>
                <w:kern w:val="0"/>
              </w:rPr>
              <w:t>打开截割部离合器</w:t>
            </w:r>
            <w:r>
              <w:rPr>
                <w:rFonts w:ascii="宋体" w:hAnsi="宋体" w:cs="宋体"/>
                <w:kern w:val="0"/>
              </w:rPr>
              <w:t>,</w:t>
            </w:r>
            <w:r>
              <w:rPr>
                <w:rFonts w:hint="eastAsia" w:ascii="宋体" w:hAnsi="宋体" w:cs="宋体"/>
                <w:kern w:val="0"/>
              </w:rPr>
              <w:t>并对工作面输送机施行闭锁</w:t>
            </w:r>
            <w:r>
              <w:rPr>
                <w:rFonts w:ascii="宋体" w:hAnsi="宋体" w:cs="宋体"/>
                <w:kern w:val="0"/>
              </w:rPr>
              <w:t>.</w:t>
            </w:r>
          </w:p>
          <w:p>
            <w:pPr>
              <w:jc w:val="left"/>
              <w:textAlignment w:val="center"/>
              <w:rPr>
                <w:rFonts w:ascii="宋体" w:cs="宋体"/>
              </w:rPr>
            </w:pPr>
            <w:r>
              <w:rPr>
                <w:rFonts w:ascii="宋体" w:hAnsi="宋体" w:cs="宋体"/>
                <w:kern w:val="0"/>
              </w:rPr>
              <w:t xml:space="preserve"> (</w:t>
            </w:r>
            <w:r>
              <w:rPr>
                <w:rFonts w:hint="eastAsia" w:ascii="宋体" w:hAnsi="宋体" w:cs="宋体"/>
                <w:kern w:val="0"/>
              </w:rPr>
              <w:t>六</w:t>
            </w:r>
            <w:r>
              <w:rPr>
                <w:rFonts w:ascii="宋体" w:hAnsi="宋体" w:cs="宋体"/>
                <w:kern w:val="0"/>
              </w:rPr>
              <w:t>)</w:t>
            </w:r>
            <w:r>
              <w:rPr>
                <w:rFonts w:hint="eastAsia" w:ascii="宋体" w:hAnsi="宋体" w:cs="宋体"/>
                <w:kern w:val="0"/>
              </w:rPr>
              <w:t>采煤机用刮板输送机作轨道时</w:t>
            </w:r>
            <w:r>
              <w:rPr>
                <w:rFonts w:ascii="宋体" w:hAnsi="宋体" w:cs="宋体"/>
                <w:kern w:val="0"/>
              </w:rPr>
              <w:t>,</w:t>
            </w:r>
            <w:r>
              <w:rPr>
                <w:rFonts w:hint="eastAsia" w:ascii="宋体" w:hAnsi="宋体" w:cs="宋体"/>
                <w:kern w:val="0"/>
              </w:rPr>
              <w:t>必须经常检查刮板输送机的溜槽、挡煤板导向管的连接情况</w:t>
            </w:r>
            <w:r>
              <w:rPr>
                <w:rFonts w:ascii="宋体" w:hAnsi="宋体" w:cs="宋体"/>
                <w:kern w:val="0"/>
              </w:rPr>
              <w:t>,</w:t>
            </w:r>
            <w:r>
              <w:rPr>
                <w:rFonts w:hint="eastAsia" w:ascii="宋体" w:hAnsi="宋体" w:cs="宋体"/>
                <w:kern w:val="0"/>
              </w:rPr>
              <w:t>防止采煤机牵引链因过载而断链</w:t>
            </w:r>
            <w:r>
              <w:rPr>
                <w:rFonts w:ascii="宋体" w:hAnsi="宋体" w:cs="宋体"/>
                <w:kern w:val="0"/>
              </w:rPr>
              <w:t>;</w:t>
            </w:r>
            <w:r>
              <w:rPr>
                <w:rFonts w:hint="eastAsia" w:ascii="宋体" w:hAnsi="宋体" w:cs="宋体"/>
                <w:kern w:val="0"/>
              </w:rPr>
              <w:t>采煤机为无链牵引时</w:t>
            </w:r>
            <w:r>
              <w:rPr>
                <w:rFonts w:ascii="宋体" w:hAnsi="宋体" w:cs="宋体"/>
                <w:kern w:val="0"/>
              </w:rPr>
              <w:t>,</w:t>
            </w:r>
            <w:r>
              <w:rPr>
                <w:rFonts w:hint="eastAsia" w:ascii="宋体" w:hAnsi="宋体" w:cs="宋体"/>
                <w:kern w:val="0"/>
              </w:rPr>
              <w:t>齿</w:t>
            </w:r>
            <w:r>
              <w:rPr>
                <w:rFonts w:ascii="宋体" w:hAnsi="宋体" w:cs="宋体"/>
                <w:kern w:val="0"/>
              </w:rPr>
              <w:t>(</w:t>
            </w:r>
            <w:r>
              <w:rPr>
                <w:rFonts w:hint="eastAsia" w:ascii="宋体" w:hAnsi="宋体" w:cs="宋体"/>
                <w:kern w:val="0"/>
              </w:rPr>
              <w:t>销、链</w:t>
            </w:r>
            <w:r>
              <w:rPr>
                <w:rFonts w:ascii="宋体" w:hAnsi="宋体" w:cs="宋体"/>
                <w:kern w:val="0"/>
              </w:rPr>
              <w:t>)</w:t>
            </w:r>
            <w:r>
              <w:rPr>
                <w:rFonts w:hint="eastAsia" w:ascii="宋体" w:hAnsi="宋体" w:cs="宋体"/>
                <w:kern w:val="0"/>
              </w:rPr>
              <w:t>轨的安设必须紧固、完好</w:t>
            </w:r>
            <w:r>
              <w:rPr>
                <w:rFonts w:ascii="宋体" w:hAnsi="宋体" w:cs="宋体"/>
                <w:kern w:val="0"/>
              </w:rPr>
              <w:t>,</w:t>
            </w:r>
            <w:r>
              <w:rPr>
                <w:rFonts w:hint="eastAsia" w:ascii="宋体" w:hAnsi="宋体" w:cs="宋体"/>
                <w:kern w:val="0"/>
              </w:rPr>
              <w:t>并经常检查</w:t>
            </w:r>
            <w:r>
              <w:rPr>
                <w:rFonts w:ascii="宋体" w:hAnsi="宋体" w:cs="宋体"/>
                <w:kern w:val="0"/>
              </w:rPr>
              <w:t>.</w:t>
            </w:r>
          </w:p>
        </w:tc>
        <w:tc>
          <w:tcPr>
            <w:tcW w:w="2355" w:type="dxa"/>
            <w:vAlign w:val="center"/>
          </w:tcPr>
          <w:p>
            <w:pPr>
              <w:jc w:val="left"/>
              <w:textAlignment w:val="center"/>
              <w:rPr>
                <w:rFonts w:ascii="宋体" w:cs="宋体"/>
              </w:rPr>
            </w:pPr>
            <w:r>
              <w:rPr>
                <w:rFonts w:hint="eastAsia" w:ascii="宋体" w:hAnsi="宋体" w:cs="宋体"/>
                <w:kern w:val="0"/>
              </w:rPr>
              <w:t>《煤矿安全规程》第一百一十七条。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hint="eastAsia" w:ascii="宋体" w:hAnsi="宋体" w:cs="宋体"/>
                <w:kern w:val="0"/>
              </w:rPr>
              <w:t>20</w:t>
            </w:r>
          </w:p>
        </w:tc>
        <w:tc>
          <w:tcPr>
            <w:tcW w:w="1129" w:type="dxa"/>
            <w:vAlign w:val="center"/>
          </w:tcPr>
          <w:p>
            <w:pPr>
              <w:jc w:val="left"/>
              <w:textAlignment w:val="center"/>
              <w:rPr>
                <w:rFonts w:ascii="宋体" w:cs="宋体"/>
              </w:rPr>
            </w:pPr>
            <w:r>
              <w:rPr>
                <w:rFonts w:hint="eastAsia" w:ascii="宋体" w:hAnsi="宋体" w:cs="宋体"/>
                <w:kern w:val="0"/>
              </w:rPr>
              <w:t>刨煤机采煤</w:t>
            </w:r>
          </w:p>
        </w:tc>
        <w:tc>
          <w:tcPr>
            <w:tcW w:w="5540" w:type="dxa"/>
            <w:vAlign w:val="center"/>
          </w:tcPr>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一</w:t>
            </w:r>
            <w:r>
              <w:rPr>
                <w:rFonts w:ascii="宋体" w:hAnsi="宋体" w:cs="宋体"/>
                <w:kern w:val="0"/>
              </w:rPr>
              <w:t>)</w:t>
            </w:r>
            <w:r>
              <w:rPr>
                <w:rFonts w:hint="eastAsia" w:ascii="宋体" w:hAnsi="宋体" w:cs="宋体"/>
                <w:kern w:val="0"/>
              </w:rPr>
              <w:t>工作面至少每隔３０</w:t>
            </w:r>
            <w:r>
              <w:rPr>
                <w:rFonts w:ascii="宋体" w:hAnsi="宋体" w:cs="宋体"/>
                <w:kern w:val="0"/>
              </w:rPr>
              <w:t xml:space="preserve">m </w:t>
            </w:r>
            <w:r>
              <w:rPr>
                <w:rFonts w:hint="eastAsia" w:ascii="宋体" w:hAnsi="宋体" w:cs="宋体"/>
                <w:kern w:val="0"/>
              </w:rPr>
              <w:t>装设能随时停止刨头和刮板输送机的装置</w:t>
            </w:r>
            <w:r>
              <w:rPr>
                <w:rFonts w:ascii="宋体" w:hAnsi="宋体" w:cs="宋体"/>
                <w:kern w:val="0"/>
              </w:rPr>
              <w:t>,</w:t>
            </w:r>
            <w:r>
              <w:rPr>
                <w:rFonts w:hint="eastAsia" w:ascii="宋体" w:hAnsi="宋体" w:cs="宋体"/>
                <w:kern w:val="0"/>
              </w:rPr>
              <w:t>或者装设向刨煤机司机发送信号的装置</w:t>
            </w:r>
            <w:r>
              <w:rPr>
                <w:rFonts w:ascii="宋体" w:hAnsi="宋体" w:cs="宋体"/>
                <w:kern w:val="0"/>
              </w:rPr>
              <w:t>.</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二</w:t>
            </w:r>
            <w:r>
              <w:rPr>
                <w:rFonts w:ascii="宋体" w:hAnsi="宋体" w:cs="宋体"/>
                <w:kern w:val="0"/>
              </w:rPr>
              <w:t>)</w:t>
            </w:r>
            <w:r>
              <w:rPr>
                <w:rFonts w:hint="eastAsia" w:ascii="宋体" w:hAnsi="宋体" w:cs="宋体"/>
                <w:kern w:val="0"/>
              </w:rPr>
              <w:t>刨煤机应当有刨头位置指示器</w:t>
            </w:r>
            <w:r>
              <w:rPr>
                <w:rFonts w:ascii="宋体" w:hAnsi="宋体" w:cs="宋体"/>
                <w:kern w:val="0"/>
              </w:rPr>
              <w:t>;</w:t>
            </w:r>
            <w:r>
              <w:rPr>
                <w:rFonts w:hint="eastAsia" w:ascii="宋体" w:hAnsi="宋体" w:cs="宋体"/>
                <w:kern w:val="0"/>
              </w:rPr>
              <w:t>必须在刮板输送机两端设置明显标志</w:t>
            </w:r>
            <w:r>
              <w:rPr>
                <w:rFonts w:ascii="宋体" w:hAnsi="宋体" w:cs="宋体"/>
                <w:kern w:val="0"/>
              </w:rPr>
              <w:t>,</w:t>
            </w:r>
            <w:r>
              <w:rPr>
                <w:rFonts w:hint="eastAsia" w:ascii="宋体" w:hAnsi="宋体" w:cs="宋体"/>
                <w:kern w:val="0"/>
              </w:rPr>
              <w:t>防止刨头与刮板输送机机头撞击</w:t>
            </w:r>
            <w:r>
              <w:rPr>
                <w:rFonts w:ascii="宋体" w:hAnsi="宋体" w:cs="宋体"/>
                <w:kern w:val="0"/>
              </w:rPr>
              <w:t>.</w:t>
            </w:r>
          </w:p>
          <w:p>
            <w:pPr>
              <w:jc w:val="left"/>
              <w:textAlignment w:val="center"/>
              <w:rPr>
                <w:rFonts w:ascii="宋体" w:cs="宋体"/>
              </w:rPr>
            </w:pPr>
            <w:r>
              <w:rPr>
                <w:rFonts w:ascii="宋体" w:hAnsi="宋体" w:cs="宋体"/>
                <w:kern w:val="0"/>
              </w:rPr>
              <w:t>(</w:t>
            </w:r>
            <w:r>
              <w:rPr>
                <w:rFonts w:hint="eastAsia" w:ascii="宋体" w:hAnsi="宋体" w:cs="宋体"/>
                <w:kern w:val="0"/>
              </w:rPr>
              <w:t>三</w:t>
            </w:r>
            <w:r>
              <w:rPr>
                <w:rFonts w:ascii="宋体" w:hAnsi="宋体" w:cs="宋体"/>
                <w:kern w:val="0"/>
              </w:rPr>
              <w:t>)</w:t>
            </w:r>
            <w:r>
              <w:rPr>
                <w:rFonts w:hint="eastAsia" w:ascii="宋体" w:hAnsi="宋体" w:cs="宋体"/>
                <w:kern w:val="0"/>
              </w:rPr>
              <w:t>工作面倾角在１２°以上时</w:t>
            </w:r>
            <w:r>
              <w:rPr>
                <w:rFonts w:ascii="宋体" w:hAnsi="宋体" w:cs="宋体"/>
                <w:kern w:val="0"/>
              </w:rPr>
              <w:t>,</w:t>
            </w:r>
            <w:r>
              <w:rPr>
                <w:rFonts w:hint="eastAsia" w:ascii="宋体" w:hAnsi="宋体" w:cs="宋体"/>
                <w:kern w:val="0"/>
              </w:rPr>
              <w:t>配套的刮板输送机必须装设防滑、锚固装置</w:t>
            </w:r>
            <w:r>
              <w:rPr>
                <w:rFonts w:ascii="宋体" w:hAnsi="宋体" w:cs="宋体"/>
                <w:kern w:val="0"/>
              </w:rPr>
              <w:t>.</w:t>
            </w:r>
          </w:p>
        </w:tc>
        <w:tc>
          <w:tcPr>
            <w:tcW w:w="2355" w:type="dxa"/>
            <w:vAlign w:val="center"/>
          </w:tcPr>
          <w:p>
            <w:pPr>
              <w:jc w:val="left"/>
              <w:textAlignment w:val="center"/>
              <w:rPr>
                <w:rFonts w:ascii="宋体" w:cs="宋体"/>
              </w:rPr>
            </w:pPr>
            <w:r>
              <w:rPr>
                <w:rFonts w:hint="eastAsia" w:ascii="宋体" w:hAnsi="宋体" w:cs="宋体"/>
                <w:kern w:val="0"/>
              </w:rPr>
              <w:t>《煤矿安全规程》第一百一十八条。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hint="eastAsia" w:ascii="宋体" w:hAnsi="宋体" w:cs="宋体"/>
                <w:kern w:val="0"/>
              </w:rPr>
              <w:t>21</w:t>
            </w:r>
          </w:p>
        </w:tc>
        <w:tc>
          <w:tcPr>
            <w:tcW w:w="1129" w:type="dxa"/>
            <w:vAlign w:val="center"/>
          </w:tcPr>
          <w:p>
            <w:pPr>
              <w:jc w:val="left"/>
              <w:textAlignment w:val="center"/>
              <w:rPr>
                <w:rFonts w:ascii="宋体" w:cs="宋体"/>
              </w:rPr>
            </w:pPr>
            <w:r>
              <w:rPr>
                <w:rFonts w:hint="eastAsia" w:ascii="宋体" w:hAnsi="宋体" w:cs="宋体"/>
                <w:kern w:val="0"/>
              </w:rPr>
              <w:t>刮板输送机</w:t>
            </w:r>
          </w:p>
        </w:tc>
        <w:tc>
          <w:tcPr>
            <w:tcW w:w="5540" w:type="dxa"/>
            <w:vAlign w:val="center"/>
          </w:tcPr>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一</w:t>
            </w:r>
            <w:r>
              <w:rPr>
                <w:rFonts w:ascii="宋体" w:hAnsi="宋体" w:cs="宋体"/>
                <w:kern w:val="0"/>
              </w:rPr>
              <w:t>)</w:t>
            </w:r>
            <w:r>
              <w:rPr>
                <w:rFonts w:hint="eastAsia" w:ascii="宋体" w:hAnsi="宋体" w:cs="宋体"/>
                <w:kern w:val="0"/>
              </w:rPr>
              <w:t>采煤工作面刮板输送机必须安设能发出停止、启动信号和通讯的装置</w:t>
            </w:r>
            <w:r>
              <w:rPr>
                <w:rFonts w:ascii="宋体" w:hAnsi="宋体" w:cs="宋体"/>
                <w:kern w:val="0"/>
              </w:rPr>
              <w:t>,</w:t>
            </w:r>
            <w:r>
              <w:rPr>
                <w:rFonts w:hint="eastAsia" w:ascii="宋体" w:hAnsi="宋体" w:cs="宋体"/>
                <w:kern w:val="0"/>
              </w:rPr>
              <w:t>发出信号点的间距不得超过１５</w:t>
            </w:r>
            <w:r>
              <w:rPr>
                <w:rFonts w:ascii="宋体" w:hAnsi="宋体" w:cs="宋体"/>
                <w:kern w:val="0"/>
              </w:rPr>
              <w:t>m.</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二</w:t>
            </w:r>
            <w:r>
              <w:rPr>
                <w:rFonts w:ascii="宋体" w:hAnsi="宋体" w:cs="宋体"/>
                <w:kern w:val="0"/>
              </w:rPr>
              <w:t>)</w:t>
            </w:r>
            <w:r>
              <w:rPr>
                <w:rFonts w:hint="eastAsia" w:ascii="宋体" w:hAnsi="宋体" w:cs="宋体"/>
                <w:kern w:val="0"/>
              </w:rPr>
              <w:t>刮板输送机使用的液力耦</w:t>
            </w:r>
            <w:bookmarkStart w:id="2" w:name="_GoBack"/>
            <w:bookmarkEnd w:id="2"/>
            <w:r>
              <w:rPr>
                <w:rFonts w:hint="eastAsia" w:ascii="宋体" w:hAnsi="宋体" w:cs="宋体"/>
                <w:kern w:val="0"/>
              </w:rPr>
              <w:t>合器</w:t>
            </w:r>
            <w:r>
              <w:rPr>
                <w:rFonts w:ascii="宋体" w:hAnsi="宋体" w:cs="宋体"/>
                <w:kern w:val="0"/>
              </w:rPr>
              <w:t>,</w:t>
            </w:r>
            <w:r>
              <w:rPr>
                <w:rFonts w:hint="eastAsia" w:ascii="宋体" w:hAnsi="宋体" w:cs="宋体"/>
                <w:kern w:val="0"/>
              </w:rPr>
              <w:t>必须按所传递的功率大小</w:t>
            </w:r>
            <w:r>
              <w:rPr>
                <w:rFonts w:ascii="宋体" w:hAnsi="宋体" w:cs="宋体"/>
                <w:kern w:val="0"/>
              </w:rPr>
              <w:t>,</w:t>
            </w:r>
            <w:r>
              <w:rPr>
                <w:rFonts w:hint="eastAsia" w:ascii="宋体" w:hAnsi="宋体" w:cs="宋体"/>
                <w:kern w:val="0"/>
              </w:rPr>
              <w:t>注入规定量的难燃液</w:t>
            </w:r>
            <w:r>
              <w:rPr>
                <w:rFonts w:ascii="宋体" w:hAnsi="宋体" w:cs="宋体"/>
                <w:kern w:val="0"/>
              </w:rPr>
              <w:t>,</w:t>
            </w:r>
            <w:r>
              <w:rPr>
                <w:rFonts w:hint="eastAsia" w:ascii="宋体" w:hAnsi="宋体" w:cs="宋体"/>
                <w:kern w:val="0"/>
              </w:rPr>
              <w:t>并经常检查有无漏失</w:t>
            </w:r>
            <w:r>
              <w:rPr>
                <w:rFonts w:ascii="宋体" w:hAnsi="宋体" w:cs="宋体"/>
                <w:kern w:val="0"/>
              </w:rPr>
              <w:t>.</w:t>
            </w:r>
            <w:r>
              <w:rPr>
                <w:rFonts w:hint="eastAsia" w:ascii="宋体" w:hAnsi="宋体" w:cs="宋体"/>
                <w:kern w:val="0"/>
              </w:rPr>
              <w:t>易熔合金塞必须符合标准</w:t>
            </w:r>
            <w:r>
              <w:rPr>
                <w:rFonts w:ascii="宋体" w:hAnsi="宋体" w:cs="宋体"/>
                <w:kern w:val="0"/>
              </w:rPr>
              <w:t>,</w:t>
            </w:r>
            <w:r>
              <w:rPr>
                <w:rFonts w:hint="eastAsia" w:ascii="宋体" w:hAnsi="宋体" w:cs="宋体"/>
                <w:kern w:val="0"/>
              </w:rPr>
              <w:t>并设专人检查、清除塞内污物</w:t>
            </w:r>
            <w:r>
              <w:rPr>
                <w:rFonts w:ascii="宋体" w:hAnsi="宋体" w:cs="宋体"/>
                <w:kern w:val="0"/>
              </w:rPr>
              <w:t>;</w:t>
            </w:r>
            <w:r>
              <w:rPr>
                <w:rFonts w:hint="eastAsia" w:ascii="宋体" w:hAnsi="宋体" w:cs="宋体"/>
                <w:kern w:val="0"/>
              </w:rPr>
              <w:t>严禁使用不符合标准的物品代替</w:t>
            </w:r>
            <w:r>
              <w:rPr>
                <w:rFonts w:ascii="宋体" w:hAnsi="宋体" w:cs="宋体"/>
                <w:kern w:val="0"/>
              </w:rPr>
              <w:t>.</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三</w:t>
            </w:r>
            <w:r>
              <w:rPr>
                <w:rFonts w:ascii="宋体" w:hAnsi="宋体" w:cs="宋体"/>
                <w:kern w:val="0"/>
              </w:rPr>
              <w:t>)</w:t>
            </w:r>
            <w:r>
              <w:rPr>
                <w:rFonts w:hint="eastAsia" w:ascii="宋体" w:hAnsi="宋体" w:cs="宋体"/>
                <w:kern w:val="0"/>
              </w:rPr>
              <w:t>刮板输送机严禁乘人</w:t>
            </w:r>
            <w:r>
              <w:rPr>
                <w:rFonts w:ascii="宋体" w:hAnsi="宋体" w:cs="宋体"/>
                <w:kern w:val="0"/>
              </w:rPr>
              <w:t>.</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四</w:t>
            </w:r>
            <w:r>
              <w:rPr>
                <w:rFonts w:ascii="宋体" w:hAnsi="宋体" w:cs="宋体"/>
                <w:kern w:val="0"/>
              </w:rPr>
              <w:t>)</w:t>
            </w:r>
            <w:r>
              <w:rPr>
                <w:rFonts w:hint="eastAsia" w:ascii="宋体" w:hAnsi="宋体" w:cs="宋体"/>
                <w:kern w:val="0"/>
              </w:rPr>
              <w:t>用刮板输送机运送物料时</w:t>
            </w:r>
            <w:r>
              <w:rPr>
                <w:rFonts w:ascii="宋体" w:hAnsi="宋体" w:cs="宋体"/>
                <w:kern w:val="0"/>
              </w:rPr>
              <w:t>,</w:t>
            </w:r>
            <w:r>
              <w:rPr>
                <w:rFonts w:hint="eastAsia" w:ascii="宋体" w:hAnsi="宋体" w:cs="宋体"/>
                <w:kern w:val="0"/>
              </w:rPr>
              <w:t>必须有防止顶人和顶倒支架的安全措施</w:t>
            </w:r>
            <w:r>
              <w:rPr>
                <w:rFonts w:ascii="宋体" w:hAnsi="宋体" w:cs="宋体"/>
                <w:kern w:val="0"/>
              </w:rPr>
              <w:t>.</w:t>
            </w:r>
          </w:p>
          <w:p>
            <w:pPr>
              <w:jc w:val="left"/>
              <w:textAlignment w:val="center"/>
              <w:rPr>
                <w:rFonts w:ascii="宋体" w:cs="宋体"/>
              </w:rPr>
            </w:pPr>
            <w:r>
              <w:rPr>
                <w:rFonts w:ascii="宋体" w:hAnsi="宋体" w:cs="宋体"/>
                <w:kern w:val="0"/>
              </w:rPr>
              <w:t>(</w:t>
            </w:r>
            <w:r>
              <w:rPr>
                <w:rFonts w:hint="eastAsia" w:ascii="宋体" w:hAnsi="宋体" w:cs="宋体"/>
                <w:kern w:val="0"/>
              </w:rPr>
              <w:t>五</w:t>
            </w:r>
            <w:r>
              <w:rPr>
                <w:rFonts w:ascii="宋体" w:hAnsi="宋体" w:cs="宋体"/>
                <w:kern w:val="0"/>
              </w:rPr>
              <w:t>)</w:t>
            </w:r>
            <w:r>
              <w:rPr>
                <w:rFonts w:hint="eastAsia" w:ascii="宋体" w:hAnsi="宋体" w:cs="宋体"/>
                <w:kern w:val="0"/>
              </w:rPr>
              <w:t>移动刮板输送机时</w:t>
            </w:r>
            <w:r>
              <w:rPr>
                <w:rFonts w:ascii="宋体" w:hAnsi="宋体" w:cs="宋体"/>
                <w:kern w:val="0"/>
              </w:rPr>
              <w:t>,</w:t>
            </w:r>
            <w:r>
              <w:rPr>
                <w:rFonts w:hint="eastAsia" w:ascii="宋体" w:hAnsi="宋体" w:cs="宋体"/>
                <w:kern w:val="0"/>
              </w:rPr>
              <w:t>必须有防止冒顶、顶伤人员和损坏设备的安全措施</w:t>
            </w:r>
            <w:r>
              <w:rPr>
                <w:rFonts w:ascii="宋体" w:hAnsi="宋体" w:cs="宋体"/>
                <w:kern w:val="0"/>
              </w:rPr>
              <w:t>.</w:t>
            </w:r>
          </w:p>
        </w:tc>
        <w:tc>
          <w:tcPr>
            <w:tcW w:w="2355" w:type="dxa"/>
            <w:vAlign w:val="center"/>
          </w:tcPr>
          <w:p>
            <w:pPr>
              <w:jc w:val="left"/>
              <w:textAlignment w:val="center"/>
              <w:rPr>
                <w:rFonts w:ascii="宋体" w:cs="宋体"/>
              </w:rPr>
            </w:pPr>
            <w:r>
              <w:rPr>
                <w:rFonts w:hint="eastAsia" w:ascii="宋体" w:hAnsi="宋体" w:cs="宋体"/>
                <w:kern w:val="0"/>
              </w:rPr>
              <w:t>《煤矿安全规程》第一百二十一条。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hint="eastAsia" w:ascii="宋体" w:hAnsi="宋体" w:cs="宋体"/>
                <w:kern w:val="0"/>
              </w:rPr>
              <w:t>22</w:t>
            </w:r>
          </w:p>
        </w:tc>
        <w:tc>
          <w:tcPr>
            <w:tcW w:w="1129" w:type="dxa"/>
            <w:vAlign w:val="center"/>
          </w:tcPr>
          <w:p>
            <w:pPr>
              <w:jc w:val="left"/>
              <w:textAlignment w:val="center"/>
              <w:rPr>
                <w:rFonts w:ascii="宋体" w:cs="宋体"/>
              </w:rPr>
            </w:pPr>
            <w:r>
              <w:rPr>
                <w:rFonts w:hint="eastAsia" w:ascii="宋体" w:hAnsi="宋体" w:cs="宋体"/>
                <w:kern w:val="0"/>
              </w:rPr>
              <w:t>后配套设备</w:t>
            </w:r>
          </w:p>
        </w:tc>
        <w:tc>
          <w:tcPr>
            <w:tcW w:w="5540" w:type="dxa"/>
            <w:vAlign w:val="center"/>
          </w:tcPr>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一</w:t>
            </w:r>
            <w:r>
              <w:rPr>
                <w:rFonts w:ascii="宋体" w:hAnsi="宋体" w:cs="宋体"/>
                <w:kern w:val="0"/>
              </w:rPr>
              <w:t>)</w:t>
            </w:r>
            <w:r>
              <w:rPr>
                <w:rFonts w:hint="eastAsia" w:ascii="宋体" w:hAnsi="宋体" w:cs="宋体"/>
                <w:kern w:val="0"/>
              </w:rPr>
              <w:t>所有安装机载照明的后配套设备启动前必须开启照明</w:t>
            </w:r>
            <w:r>
              <w:rPr>
                <w:rFonts w:ascii="宋体" w:hAnsi="宋体" w:cs="宋体"/>
                <w:kern w:val="0"/>
              </w:rPr>
              <w:t>,</w:t>
            </w:r>
            <w:r>
              <w:rPr>
                <w:rFonts w:hint="eastAsia" w:ascii="宋体" w:hAnsi="宋体" w:cs="宋体"/>
                <w:kern w:val="0"/>
              </w:rPr>
              <w:t>发出开机信号</w:t>
            </w:r>
            <w:r>
              <w:rPr>
                <w:rFonts w:ascii="宋体" w:hAnsi="宋体" w:cs="宋体"/>
                <w:kern w:val="0"/>
              </w:rPr>
              <w:t>,</w:t>
            </w:r>
            <w:r>
              <w:rPr>
                <w:rFonts w:hint="eastAsia" w:ascii="宋体" w:hAnsi="宋体" w:cs="宋体"/>
                <w:kern w:val="0"/>
              </w:rPr>
              <w:t>确认人员离开</w:t>
            </w:r>
            <w:r>
              <w:rPr>
                <w:rFonts w:ascii="宋体" w:hAnsi="宋体" w:cs="宋体"/>
                <w:kern w:val="0"/>
              </w:rPr>
              <w:t>,</w:t>
            </w:r>
            <w:r>
              <w:rPr>
                <w:rFonts w:hint="eastAsia" w:ascii="宋体" w:hAnsi="宋体" w:cs="宋体"/>
                <w:kern w:val="0"/>
              </w:rPr>
              <w:t>再开机运行</w:t>
            </w:r>
            <w:r>
              <w:rPr>
                <w:rFonts w:ascii="宋体" w:hAnsi="宋体" w:cs="宋体"/>
                <w:kern w:val="0"/>
              </w:rPr>
              <w:t>.</w:t>
            </w:r>
            <w:r>
              <w:rPr>
                <w:rFonts w:hint="eastAsia" w:ascii="宋体" w:hAnsi="宋体" w:cs="宋体"/>
                <w:kern w:val="0"/>
              </w:rPr>
              <w:t>设备停机、检修或者处理故障时</w:t>
            </w:r>
            <w:r>
              <w:rPr>
                <w:rFonts w:ascii="宋体" w:hAnsi="宋体" w:cs="宋体"/>
                <w:kern w:val="0"/>
              </w:rPr>
              <w:t>,</w:t>
            </w:r>
            <w:r>
              <w:rPr>
                <w:rFonts w:hint="eastAsia" w:ascii="宋体" w:hAnsi="宋体" w:cs="宋体"/>
                <w:kern w:val="0"/>
              </w:rPr>
              <w:t>必须停电闭锁</w:t>
            </w:r>
            <w:r>
              <w:rPr>
                <w:rFonts w:ascii="宋体" w:hAnsi="宋体" w:cs="宋体"/>
                <w:kern w:val="0"/>
              </w:rPr>
              <w:t>.</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二</w:t>
            </w:r>
            <w:r>
              <w:rPr>
                <w:rFonts w:ascii="宋体" w:hAnsi="宋体" w:cs="宋体"/>
                <w:kern w:val="0"/>
              </w:rPr>
              <w:t>)</w:t>
            </w:r>
            <w:r>
              <w:rPr>
                <w:rFonts w:hint="eastAsia" w:ascii="宋体" w:hAnsi="宋体" w:cs="宋体"/>
                <w:kern w:val="0"/>
              </w:rPr>
              <w:t>带电移动的设备电缆应当有防拔脱装置</w:t>
            </w:r>
            <w:r>
              <w:rPr>
                <w:rFonts w:ascii="宋体" w:hAnsi="宋体" w:cs="宋体"/>
                <w:kern w:val="0"/>
              </w:rPr>
              <w:t>.</w:t>
            </w:r>
            <w:r>
              <w:rPr>
                <w:rFonts w:hint="eastAsia" w:ascii="宋体" w:hAnsi="宋体" w:cs="宋体"/>
                <w:kern w:val="0"/>
              </w:rPr>
              <w:t>电缆必须连接牢固、可靠</w:t>
            </w:r>
            <w:r>
              <w:rPr>
                <w:rFonts w:ascii="宋体" w:hAnsi="宋体" w:cs="宋体"/>
                <w:kern w:val="0"/>
              </w:rPr>
              <w:t>,</w:t>
            </w:r>
            <w:r>
              <w:rPr>
                <w:rFonts w:hint="eastAsia" w:ascii="宋体" w:hAnsi="宋体" w:cs="宋体"/>
                <w:kern w:val="0"/>
              </w:rPr>
              <w:t>电缆收放装置必须完好</w:t>
            </w:r>
            <w:r>
              <w:rPr>
                <w:rFonts w:ascii="宋体" w:hAnsi="宋体" w:cs="宋体"/>
                <w:kern w:val="0"/>
              </w:rPr>
              <w:t>.</w:t>
            </w:r>
            <w:r>
              <w:rPr>
                <w:rFonts w:hint="eastAsia" w:ascii="宋体" w:hAnsi="宋体" w:cs="宋体"/>
                <w:kern w:val="0"/>
              </w:rPr>
              <w:t>操作电缆卷筒时</w:t>
            </w:r>
            <w:r>
              <w:rPr>
                <w:rFonts w:ascii="宋体" w:hAnsi="宋体" w:cs="宋体"/>
                <w:kern w:val="0"/>
              </w:rPr>
              <w:t>,</w:t>
            </w:r>
            <w:r>
              <w:rPr>
                <w:rFonts w:hint="eastAsia" w:ascii="宋体" w:hAnsi="宋体" w:cs="宋体"/>
                <w:kern w:val="0"/>
              </w:rPr>
              <w:t>人员不得骑跨或者踩踏电缆</w:t>
            </w:r>
            <w:r>
              <w:rPr>
                <w:rFonts w:ascii="宋体" w:hAnsi="宋体" w:cs="宋体"/>
                <w:kern w:val="0"/>
              </w:rPr>
              <w:t>.</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三</w:t>
            </w:r>
            <w:r>
              <w:rPr>
                <w:rFonts w:ascii="宋体" w:hAnsi="宋体" w:cs="宋体"/>
                <w:kern w:val="0"/>
              </w:rPr>
              <w:t>)</w:t>
            </w:r>
            <w:r>
              <w:rPr>
                <w:rFonts w:hint="eastAsia" w:ascii="宋体" w:hAnsi="宋体" w:cs="宋体"/>
                <w:kern w:val="0"/>
              </w:rPr>
              <w:t>运煤车、铲车、梭车制动装置必须齐全、可靠</w:t>
            </w:r>
            <w:r>
              <w:rPr>
                <w:rFonts w:ascii="宋体" w:hAnsi="宋体" w:cs="宋体"/>
                <w:kern w:val="0"/>
              </w:rPr>
              <w:t>.</w:t>
            </w:r>
            <w:r>
              <w:rPr>
                <w:rFonts w:hint="eastAsia" w:ascii="宋体" w:hAnsi="宋体" w:cs="宋体"/>
                <w:kern w:val="0"/>
              </w:rPr>
              <w:t>作业时</w:t>
            </w:r>
            <w:r>
              <w:rPr>
                <w:rFonts w:ascii="宋体" w:hAnsi="宋体" w:cs="宋体"/>
                <w:kern w:val="0"/>
              </w:rPr>
              <w:t>,</w:t>
            </w:r>
            <w:r>
              <w:rPr>
                <w:rFonts w:hint="eastAsia" w:ascii="宋体" w:hAnsi="宋体" w:cs="宋体"/>
                <w:kern w:val="0"/>
              </w:rPr>
              <w:t>行驶区间严禁人员进入</w:t>
            </w:r>
            <w:r>
              <w:rPr>
                <w:rFonts w:ascii="宋体" w:hAnsi="宋体" w:cs="宋体"/>
                <w:kern w:val="0"/>
              </w:rPr>
              <w:t xml:space="preserve">; </w:t>
            </w:r>
            <w:r>
              <w:rPr>
                <w:rFonts w:hint="eastAsia" w:ascii="宋体" w:hAnsi="宋体" w:cs="宋体"/>
                <w:kern w:val="0"/>
              </w:rPr>
              <w:t>检修时</w:t>
            </w:r>
            <w:r>
              <w:rPr>
                <w:rFonts w:ascii="宋体" w:hAnsi="宋体" w:cs="宋体"/>
                <w:kern w:val="0"/>
              </w:rPr>
              <w:t xml:space="preserve">, </w:t>
            </w:r>
            <w:r>
              <w:rPr>
                <w:rFonts w:hint="eastAsia" w:ascii="宋体" w:hAnsi="宋体" w:cs="宋体"/>
                <w:kern w:val="0"/>
              </w:rPr>
              <w:t>铰接处必须使用限位装置</w:t>
            </w:r>
            <w:r>
              <w:rPr>
                <w:rFonts w:ascii="宋体" w:hAnsi="宋体" w:cs="宋体"/>
                <w:kern w:val="0"/>
              </w:rPr>
              <w:t>.</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四</w:t>
            </w:r>
            <w:r>
              <w:rPr>
                <w:rFonts w:ascii="宋体" w:hAnsi="宋体" w:cs="宋体"/>
                <w:kern w:val="0"/>
              </w:rPr>
              <w:t>)</w:t>
            </w:r>
            <w:r>
              <w:rPr>
                <w:rFonts w:hint="eastAsia" w:ascii="宋体" w:hAnsi="宋体" w:cs="宋体"/>
                <w:kern w:val="0"/>
              </w:rPr>
              <w:t>给料破碎机与输送机之间应当设联锁装置</w:t>
            </w:r>
            <w:r>
              <w:rPr>
                <w:rFonts w:ascii="宋体" w:hAnsi="宋体" w:cs="宋体"/>
                <w:kern w:val="0"/>
              </w:rPr>
              <w:t>.</w:t>
            </w:r>
            <w:r>
              <w:rPr>
                <w:rFonts w:hint="eastAsia" w:ascii="宋体" w:hAnsi="宋体" w:cs="宋体"/>
                <w:kern w:val="0"/>
              </w:rPr>
              <w:t>给料破碎机行走时两侧严禁站人</w:t>
            </w:r>
            <w:r>
              <w:rPr>
                <w:rFonts w:ascii="宋体" w:hAnsi="宋体" w:cs="宋体"/>
                <w:kern w:val="0"/>
              </w:rPr>
              <w:t>.</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五</w:t>
            </w:r>
            <w:r>
              <w:rPr>
                <w:rFonts w:ascii="宋体" w:hAnsi="宋体" w:cs="宋体"/>
                <w:kern w:val="0"/>
              </w:rPr>
              <w:t>)</w:t>
            </w:r>
            <w:r>
              <w:rPr>
                <w:rFonts w:hint="eastAsia" w:ascii="宋体" w:hAnsi="宋体" w:cs="宋体"/>
                <w:kern w:val="0"/>
              </w:rPr>
              <w:t>连续运输系统或者桥式转载机运行时</w:t>
            </w:r>
            <w:r>
              <w:rPr>
                <w:rFonts w:ascii="宋体" w:hAnsi="宋体" w:cs="宋体"/>
                <w:kern w:val="0"/>
              </w:rPr>
              <w:t>,</w:t>
            </w:r>
            <w:r>
              <w:rPr>
                <w:rFonts w:hint="eastAsia" w:ascii="宋体" w:hAnsi="宋体" w:cs="宋体"/>
                <w:kern w:val="0"/>
              </w:rPr>
              <w:t>严禁在非行人侧行走或者作业</w:t>
            </w:r>
            <w:r>
              <w:rPr>
                <w:rFonts w:ascii="宋体" w:hAnsi="宋体" w:cs="宋体"/>
                <w:kern w:val="0"/>
              </w:rPr>
              <w:t>.</w:t>
            </w:r>
          </w:p>
          <w:p>
            <w:pPr>
              <w:jc w:val="left"/>
              <w:textAlignment w:val="center"/>
              <w:rPr>
                <w:rFonts w:ascii="宋体" w:hAnsi="宋体" w:cs="宋体"/>
                <w:kern w:val="0"/>
              </w:rPr>
            </w:pPr>
            <w:r>
              <w:rPr>
                <w:rFonts w:ascii="宋体" w:hAnsi="宋体" w:cs="宋体"/>
                <w:kern w:val="0"/>
              </w:rPr>
              <w:t>(</w:t>
            </w:r>
            <w:r>
              <w:rPr>
                <w:rFonts w:hint="eastAsia" w:ascii="宋体" w:hAnsi="宋体" w:cs="宋体"/>
                <w:kern w:val="0"/>
              </w:rPr>
              <w:t>六</w:t>
            </w:r>
            <w:r>
              <w:rPr>
                <w:rFonts w:ascii="宋体" w:hAnsi="宋体" w:cs="宋体"/>
                <w:kern w:val="0"/>
              </w:rPr>
              <w:t>)</w:t>
            </w:r>
            <w:r>
              <w:rPr>
                <w:rFonts w:hint="eastAsia" w:ascii="宋体" w:hAnsi="宋体" w:cs="宋体"/>
                <w:kern w:val="0"/>
              </w:rPr>
              <w:t>锚杆钻车作业时必须有防护操作台</w:t>
            </w:r>
            <w:r>
              <w:rPr>
                <w:rFonts w:ascii="宋体" w:hAnsi="宋体" w:cs="宋体"/>
                <w:kern w:val="0"/>
              </w:rPr>
              <w:t>,</w:t>
            </w:r>
            <w:r>
              <w:rPr>
                <w:rFonts w:hint="eastAsia" w:ascii="宋体" w:hAnsi="宋体" w:cs="宋体"/>
                <w:kern w:val="0"/>
              </w:rPr>
              <w:t>支护作业时必须将临时支护顶棚升至顶板</w:t>
            </w:r>
            <w:r>
              <w:rPr>
                <w:rFonts w:ascii="宋体" w:hAnsi="宋体" w:cs="宋体"/>
                <w:kern w:val="0"/>
              </w:rPr>
              <w:t>.</w:t>
            </w:r>
            <w:r>
              <w:rPr>
                <w:rFonts w:hint="eastAsia" w:ascii="宋体" w:hAnsi="宋体" w:cs="宋体"/>
                <w:kern w:val="0"/>
              </w:rPr>
              <w:t>非操作人员严禁在锚杆钻车周围停留或者作业</w:t>
            </w:r>
            <w:r>
              <w:rPr>
                <w:rFonts w:ascii="宋体" w:hAnsi="宋体" w:cs="宋体"/>
                <w:kern w:val="0"/>
              </w:rPr>
              <w:t>.</w:t>
            </w:r>
          </w:p>
          <w:p>
            <w:pPr>
              <w:jc w:val="left"/>
              <w:textAlignment w:val="center"/>
              <w:rPr>
                <w:rFonts w:ascii="宋体" w:cs="宋体"/>
              </w:rPr>
            </w:pPr>
            <w:r>
              <w:rPr>
                <w:rFonts w:ascii="宋体" w:hAnsi="宋体" w:cs="宋体"/>
                <w:kern w:val="0"/>
              </w:rPr>
              <w:t>(</w:t>
            </w:r>
            <w:r>
              <w:rPr>
                <w:rFonts w:hint="eastAsia" w:ascii="宋体" w:hAnsi="宋体" w:cs="宋体"/>
                <w:kern w:val="0"/>
              </w:rPr>
              <w:t>七</w:t>
            </w:r>
            <w:r>
              <w:rPr>
                <w:rFonts w:ascii="宋体" w:hAnsi="宋体" w:cs="宋体"/>
                <w:kern w:val="0"/>
              </w:rPr>
              <w:t>)</w:t>
            </w:r>
            <w:r>
              <w:rPr>
                <w:rFonts w:hint="eastAsia" w:ascii="宋体" w:hAnsi="宋体" w:cs="宋体"/>
                <w:kern w:val="0"/>
              </w:rPr>
              <w:t>履带行走式支架应当具有预警延时启动装置、系统压力实时显示装置</w:t>
            </w:r>
            <w:r>
              <w:rPr>
                <w:rFonts w:ascii="宋体" w:hAnsi="宋体" w:cs="宋体"/>
                <w:kern w:val="0"/>
              </w:rPr>
              <w:t>,</w:t>
            </w:r>
            <w:r>
              <w:rPr>
                <w:rFonts w:hint="eastAsia" w:ascii="宋体" w:hAnsi="宋体" w:cs="宋体"/>
                <w:kern w:val="0"/>
              </w:rPr>
              <w:t>以及自救、逃逸功能</w:t>
            </w:r>
            <w:r>
              <w:rPr>
                <w:rFonts w:ascii="宋体" w:hAnsi="宋体" w:cs="宋体"/>
                <w:kern w:val="0"/>
              </w:rPr>
              <w:t>.</w:t>
            </w:r>
          </w:p>
        </w:tc>
        <w:tc>
          <w:tcPr>
            <w:tcW w:w="2355" w:type="dxa"/>
            <w:vAlign w:val="center"/>
          </w:tcPr>
          <w:p>
            <w:pPr>
              <w:jc w:val="left"/>
              <w:textAlignment w:val="center"/>
              <w:rPr>
                <w:rFonts w:ascii="宋体" w:cs="宋体"/>
              </w:rPr>
            </w:pPr>
            <w:r>
              <w:rPr>
                <w:rFonts w:hint="eastAsia" w:ascii="宋体" w:hAnsi="宋体" w:cs="宋体"/>
                <w:kern w:val="0"/>
              </w:rPr>
              <w:t>《煤矿安全规程》第一百二十条。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hint="eastAsia" w:ascii="宋体" w:hAnsi="宋体" w:cs="宋体"/>
                <w:kern w:val="0"/>
              </w:rPr>
              <w:t>23</w:t>
            </w:r>
          </w:p>
        </w:tc>
        <w:tc>
          <w:tcPr>
            <w:tcW w:w="1129" w:type="dxa"/>
            <w:vAlign w:val="center"/>
          </w:tcPr>
          <w:p>
            <w:pPr>
              <w:jc w:val="left"/>
              <w:textAlignment w:val="center"/>
              <w:rPr>
                <w:rFonts w:ascii="宋体" w:cs="宋体"/>
              </w:rPr>
            </w:pPr>
            <w:r>
              <w:rPr>
                <w:rFonts w:hint="eastAsia" w:ascii="宋体" w:hAnsi="宋体" w:cs="宋体"/>
                <w:kern w:val="0"/>
              </w:rPr>
              <w:t>耙装机使用安全管理</w:t>
            </w:r>
          </w:p>
        </w:tc>
        <w:tc>
          <w:tcPr>
            <w:tcW w:w="5540" w:type="dxa"/>
            <w:vAlign w:val="center"/>
          </w:tcPr>
          <w:p>
            <w:pPr>
              <w:jc w:val="left"/>
              <w:textAlignment w:val="center"/>
              <w:rPr>
                <w:rFonts w:ascii="宋体" w:cs="宋体"/>
              </w:rPr>
            </w:pPr>
            <w:r>
              <w:rPr>
                <w:rFonts w:ascii="宋体" w:hAnsi="宋体" w:cs="宋体"/>
                <w:spacing w:val="-2"/>
              </w:rPr>
              <w:t>(</w:t>
            </w:r>
            <w:r>
              <w:rPr>
                <w:rFonts w:hint="eastAsia" w:ascii="宋体" w:hAnsi="宋体" w:cs="宋体"/>
                <w:spacing w:val="-2"/>
              </w:rPr>
              <w:t>一</w:t>
            </w:r>
            <w:r>
              <w:rPr>
                <w:rFonts w:ascii="宋体" w:hAnsi="宋体" w:cs="宋体"/>
                <w:spacing w:val="-2"/>
              </w:rPr>
              <w:t>)</w:t>
            </w:r>
            <w:r>
              <w:rPr>
                <w:rFonts w:hint="eastAsia" w:ascii="宋体" w:hAnsi="宋体" w:cs="宋体"/>
                <w:spacing w:val="-2"/>
              </w:rPr>
              <w:t>作业时必须有照明。</w:t>
            </w:r>
            <w:r>
              <w:rPr>
                <w:rFonts w:ascii="宋体" w:hAnsi="宋体" w:cs="宋体"/>
                <w:spacing w:val="-2"/>
              </w:rPr>
              <w:t>(</w:t>
            </w:r>
            <w:r>
              <w:rPr>
                <w:rFonts w:hint="eastAsia" w:ascii="宋体" w:hAnsi="宋体" w:cs="宋体"/>
                <w:spacing w:val="-2"/>
              </w:rPr>
              <w:t>二</w:t>
            </w:r>
            <w:r>
              <w:rPr>
                <w:rFonts w:ascii="宋体" w:hAnsi="宋体" w:cs="宋体"/>
                <w:spacing w:val="-2"/>
              </w:rPr>
              <w:t>)</w:t>
            </w:r>
            <w:r>
              <w:rPr>
                <w:rFonts w:hint="eastAsia" w:ascii="宋体" w:hAnsi="宋体" w:cs="宋体"/>
                <w:spacing w:val="-2"/>
              </w:rPr>
              <w:t>刹车装置必须完好、可靠。</w:t>
            </w:r>
            <w:r>
              <w:rPr>
                <w:rFonts w:ascii="宋体" w:hAnsi="宋体" w:cs="宋体"/>
                <w:spacing w:val="-2"/>
              </w:rPr>
              <w:t>(</w:t>
            </w:r>
            <w:r>
              <w:rPr>
                <w:rFonts w:hint="eastAsia" w:ascii="宋体" w:hAnsi="宋体" w:cs="宋体"/>
                <w:spacing w:val="-2"/>
              </w:rPr>
              <w:t>三</w:t>
            </w:r>
            <w:r>
              <w:rPr>
                <w:rFonts w:ascii="宋体" w:hAnsi="宋体" w:cs="宋体"/>
                <w:spacing w:val="-2"/>
              </w:rPr>
              <w:t>)</w:t>
            </w:r>
            <w:r>
              <w:rPr>
                <w:rFonts w:hint="eastAsia" w:ascii="宋体" w:hAnsi="宋体" w:cs="宋体"/>
                <w:spacing w:val="-2"/>
              </w:rPr>
              <w:t>必须装有封闭式金属挡绳栏和防耙斗出槽的护栏</w:t>
            </w:r>
            <w:r>
              <w:rPr>
                <w:rFonts w:ascii="宋体" w:hAnsi="宋体" w:cs="宋体"/>
                <w:spacing w:val="-2"/>
              </w:rPr>
              <w:t>;</w:t>
            </w:r>
            <w:r>
              <w:rPr>
                <w:rFonts w:hint="eastAsia" w:ascii="宋体" w:hAnsi="宋体" w:cs="宋体"/>
                <w:spacing w:val="-2"/>
              </w:rPr>
              <w:t>在巷道拐弯段装岩</w:t>
            </w:r>
            <w:r>
              <w:rPr>
                <w:rFonts w:ascii="宋体" w:hAnsi="宋体" w:cs="宋体"/>
                <w:spacing w:val="-2"/>
              </w:rPr>
              <w:t xml:space="preserve"> (</w:t>
            </w:r>
            <w:r>
              <w:rPr>
                <w:rFonts w:hint="eastAsia" w:ascii="宋体" w:hAnsi="宋体" w:cs="宋体"/>
                <w:spacing w:val="-2"/>
              </w:rPr>
              <w:t>煤</w:t>
            </w:r>
            <w:r>
              <w:rPr>
                <w:rFonts w:ascii="宋体" w:hAnsi="宋体" w:cs="宋体"/>
                <w:spacing w:val="-2"/>
              </w:rPr>
              <w:t>)</w:t>
            </w:r>
            <w:r>
              <w:rPr>
                <w:rFonts w:hint="eastAsia" w:ascii="宋体" w:hAnsi="宋体" w:cs="宋体"/>
                <w:spacing w:val="-2"/>
              </w:rPr>
              <w:t>时</w:t>
            </w:r>
            <w:r>
              <w:rPr>
                <w:rFonts w:ascii="宋体" w:hAnsi="宋体" w:cs="宋体"/>
                <w:spacing w:val="-2"/>
              </w:rPr>
              <w:t>,</w:t>
            </w:r>
            <w:r>
              <w:rPr>
                <w:rFonts w:hint="eastAsia" w:ascii="宋体" w:hAnsi="宋体" w:cs="宋体"/>
                <w:spacing w:val="-2"/>
              </w:rPr>
              <w:t>必须使用可靠的双向辅助导向轮</w:t>
            </w:r>
            <w:r>
              <w:rPr>
                <w:rFonts w:ascii="宋体" w:hAnsi="宋体" w:cs="宋体"/>
                <w:spacing w:val="-2"/>
              </w:rPr>
              <w:t>,</w:t>
            </w:r>
            <w:r>
              <w:rPr>
                <w:rFonts w:hint="eastAsia" w:ascii="宋体" w:hAnsi="宋体" w:cs="宋体"/>
                <w:spacing w:val="-2"/>
              </w:rPr>
              <w:t>清理好机道</w:t>
            </w:r>
            <w:r>
              <w:rPr>
                <w:rFonts w:ascii="宋体" w:hAnsi="宋体" w:cs="宋体"/>
                <w:spacing w:val="-2"/>
              </w:rPr>
              <w:t xml:space="preserve"> ,</w:t>
            </w:r>
            <w:r>
              <w:rPr>
                <w:rFonts w:hint="eastAsia" w:ascii="宋体" w:hAnsi="宋体" w:cs="宋体"/>
                <w:spacing w:val="-2"/>
              </w:rPr>
              <w:t>并有专人指挥和信号联系。</w:t>
            </w:r>
            <w:r>
              <w:rPr>
                <w:rFonts w:ascii="宋体" w:hAnsi="宋体" w:cs="宋体"/>
                <w:spacing w:val="-2"/>
              </w:rPr>
              <w:t>(</w:t>
            </w:r>
            <w:r>
              <w:rPr>
                <w:rFonts w:hint="eastAsia" w:ascii="宋体" w:hAnsi="宋体" w:cs="宋体"/>
                <w:spacing w:val="-2"/>
              </w:rPr>
              <w:t>四</w:t>
            </w:r>
            <w:r>
              <w:rPr>
                <w:rFonts w:ascii="宋体" w:hAnsi="宋体" w:cs="宋体"/>
                <w:spacing w:val="-2"/>
              </w:rPr>
              <w:t>)</w:t>
            </w:r>
            <w:r>
              <w:rPr>
                <w:rFonts w:hint="eastAsia" w:ascii="宋体" w:hAnsi="宋体" w:cs="宋体"/>
                <w:spacing w:val="-2"/>
              </w:rPr>
              <w:t>固定钢丝绳滑轮的锚桩及其孔深和牢固程度</w:t>
            </w:r>
            <w:r>
              <w:rPr>
                <w:rFonts w:ascii="宋体" w:hAnsi="宋体" w:cs="宋体"/>
                <w:spacing w:val="-2"/>
              </w:rPr>
              <w:t xml:space="preserve"> ,</w:t>
            </w:r>
            <w:r>
              <w:rPr>
                <w:rFonts w:hint="eastAsia" w:ascii="宋体" w:hAnsi="宋体" w:cs="宋体"/>
                <w:spacing w:val="-2"/>
              </w:rPr>
              <w:t>必须根据岩性条件在作业规程中明确。</w:t>
            </w:r>
            <w:r>
              <w:rPr>
                <w:rFonts w:ascii="宋体" w:hAnsi="宋体" w:cs="宋体"/>
                <w:spacing w:val="-2"/>
              </w:rPr>
              <w:t>(</w:t>
            </w:r>
            <w:r>
              <w:rPr>
                <w:rFonts w:hint="eastAsia" w:ascii="宋体" w:hAnsi="宋体" w:cs="宋体"/>
                <w:spacing w:val="-2"/>
              </w:rPr>
              <w:t>五</w:t>
            </w:r>
            <w:r>
              <w:rPr>
                <w:rFonts w:ascii="宋体" w:hAnsi="宋体" w:cs="宋体"/>
                <w:spacing w:val="-2"/>
              </w:rPr>
              <w:t>)</w:t>
            </w:r>
            <w:r>
              <w:rPr>
                <w:rFonts w:hint="eastAsia" w:ascii="宋体" w:hAnsi="宋体" w:cs="宋体"/>
                <w:spacing w:val="-2"/>
              </w:rPr>
              <w:t>在装岩</w:t>
            </w:r>
            <w:r>
              <w:rPr>
                <w:rFonts w:ascii="宋体" w:hAnsi="宋体" w:cs="宋体"/>
                <w:spacing w:val="-2"/>
              </w:rPr>
              <w:t xml:space="preserve"> (</w:t>
            </w:r>
            <w:r>
              <w:rPr>
                <w:rFonts w:hint="eastAsia" w:ascii="宋体" w:hAnsi="宋体" w:cs="宋体"/>
                <w:spacing w:val="-2"/>
              </w:rPr>
              <w:t>煤</w:t>
            </w:r>
            <w:r>
              <w:rPr>
                <w:rFonts w:ascii="宋体" w:hAnsi="宋体" w:cs="宋体"/>
                <w:spacing w:val="-2"/>
              </w:rPr>
              <w:t>)</w:t>
            </w:r>
            <w:r>
              <w:rPr>
                <w:rFonts w:hint="eastAsia" w:ascii="宋体" w:hAnsi="宋体" w:cs="宋体"/>
                <w:spacing w:val="-2"/>
              </w:rPr>
              <w:t>前</w:t>
            </w:r>
            <w:r>
              <w:rPr>
                <w:rFonts w:ascii="宋体" w:hAnsi="宋体" w:cs="宋体"/>
                <w:spacing w:val="-2"/>
              </w:rPr>
              <w:t>,</w:t>
            </w:r>
            <w:r>
              <w:rPr>
                <w:rFonts w:hint="eastAsia" w:ascii="宋体" w:hAnsi="宋体" w:cs="宋体"/>
                <w:spacing w:val="-2"/>
              </w:rPr>
              <w:t>必须将机身和尾轮固定牢靠</w:t>
            </w:r>
            <w:r>
              <w:rPr>
                <w:rFonts w:ascii="宋体" w:hAnsi="宋体" w:cs="宋体"/>
                <w:spacing w:val="-2"/>
              </w:rPr>
              <w:t xml:space="preserve"> .</w:t>
            </w:r>
            <w:r>
              <w:rPr>
                <w:rFonts w:hint="eastAsia" w:ascii="宋体" w:hAnsi="宋体" w:cs="宋体"/>
                <w:spacing w:val="-2"/>
              </w:rPr>
              <w:t>耙装机运行时</w:t>
            </w:r>
            <w:r>
              <w:rPr>
                <w:rFonts w:ascii="宋体" w:hAnsi="宋体" w:cs="宋体"/>
                <w:spacing w:val="-2"/>
              </w:rPr>
              <w:t>,</w:t>
            </w:r>
            <w:r>
              <w:rPr>
                <w:rFonts w:hint="eastAsia" w:ascii="宋体" w:hAnsi="宋体" w:cs="宋体"/>
                <w:spacing w:val="-2"/>
              </w:rPr>
              <w:t>严禁在耙斗运行范围内进行其他工作和行人</w:t>
            </w:r>
            <w:r>
              <w:rPr>
                <w:rFonts w:ascii="宋体" w:hAnsi="宋体" w:cs="宋体"/>
                <w:spacing w:val="-2"/>
              </w:rPr>
              <w:t xml:space="preserve"> .</w:t>
            </w:r>
            <w:r>
              <w:rPr>
                <w:rFonts w:hint="eastAsia" w:ascii="宋体" w:hAnsi="宋体" w:cs="宋体"/>
                <w:spacing w:val="-2"/>
              </w:rPr>
              <w:t>在倾斜井巷移动耙装机时</w:t>
            </w:r>
            <w:r>
              <w:rPr>
                <w:rFonts w:ascii="宋体" w:hAnsi="宋体" w:cs="宋体"/>
                <w:spacing w:val="-2"/>
              </w:rPr>
              <w:t xml:space="preserve"> ,</w:t>
            </w:r>
            <w:r>
              <w:rPr>
                <w:rFonts w:hint="eastAsia" w:ascii="宋体" w:hAnsi="宋体" w:cs="宋体"/>
                <w:spacing w:val="-2"/>
              </w:rPr>
              <w:t>下方不得有人，上山施工倾角大于２０°时</w:t>
            </w:r>
            <w:r>
              <w:rPr>
                <w:rFonts w:ascii="宋体" w:hAnsi="宋体" w:cs="宋体"/>
                <w:spacing w:val="-2"/>
              </w:rPr>
              <w:t>,</w:t>
            </w:r>
            <w:r>
              <w:rPr>
                <w:rFonts w:hint="eastAsia" w:ascii="宋体" w:hAnsi="宋体" w:cs="宋体"/>
                <w:spacing w:val="-2"/>
              </w:rPr>
              <w:t>在司机前方必须设护身柱或者挡板</w:t>
            </w:r>
            <w:r>
              <w:rPr>
                <w:rFonts w:ascii="宋体" w:hAnsi="宋体" w:cs="宋体"/>
                <w:spacing w:val="-2"/>
              </w:rPr>
              <w:t xml:space="preserve"> ,</w:t>
            </w:r>
            <w:r>
              <w:rPr>
                <w:rFonts w:hint="eastAsia" w:ascii="宋体" w:hAnsi="宋体" w:cs="宋体"/>
                <w:spacing w:val="-2"/>
              </w:rPr>
              <w:t>并在耙装机前方增设固定装置</w:t>
            </w:r>
            <w:r>
              <w:rPr>
                <w:rFonts w:ascii="宋体" w:hAnsi="宋体" w:cs="宋体"/>
                <w:spacing w:val="-2"/>
              </w:rPr>
              <w:t xml:space="preserve"> .</w:t>
            </w:r>
            <w:r>
              <w:rPr>
                <w:rFonts w:hint="eastAsia" w:ascii="宋体" w:hAnsi="宋体" w:cs="宋体"/>
                <w:spacing w:val="-2"/>
              </w:rPr>
              <w:t>倾斜井巷使用耙装机时</w:t>
            </w:r>
            <w:r>
              <w:rPr>
                <w:rFonts w:ascii="宋体" w:hAnsi="宋体" w:cs="宋体"/>
                <w:spacing w:val="-2"/>
              </w:rPr>
              <w:t xml:space="preserve"> ,</w:t>
            </w:r>
            <w:r>
              <w:rPr>
                <w:rFonts w:hint="eastAsia" w:ascii="宋体" w:hAnsi="宋体" w:cs="宋体"/>
                <w:spacing w:val="-2"/>
              </w:rPr>
              <w:t>必须有防止机身下滑的措施。</w:t>
            </w:r>
            <w:r>
              <w:rPr>
                <w:rFonts w:ascii="宋体" w:hAnsi="宋体" w:cs="宋体"/>
                <w:spacing w:val="-2"/>
              </w:rPr>
              <w:t>(</w:t>
            </w:r>
            <w:r>
              <w:rPr>
                <w:rFonts w:hint="eastAsia" w:ascii="宋体" w:hAnsi="宋体" w:cs="宋体"/>
                <w:spacing w:val="-2"/>
              </w:rPr>
              <w:t>六</w:t>
            </w:r>
            <w:r>
              <w:rPr>
                <w:rFonts w:ascii="宋体" w:hAnsi="宋体" w:cs="宋体"/>
                <w:spacing w:val="-2"/>
              </w:rPr>
              <w:t>)</w:t>
            </w:r>
            <w:r>
              <w:rPr>
                <w:rFonts w:hint="eastAsia" w:ascii="宋体" w:hAnsi="宋体" w:cs="宋体"/>
                <w:spacing w:val="-2"/>
              </w:rPr>
              <w:t>耙装机作业时</w:t>
            </w:r>
            <w:r>
              <w:rPr>
                <w:rFonts w:ascii="宋体" w:hAnsi="宋体" w:cs="宋体"/>
                <w:spacing w:val="-2"/>
              </w:rPr>
              <w:t xml:space="preserve"> ,</w:t>
            </w:r>
            <w:r>
              <w:rPr>
                <w:rFonts w:hint="eastAsia" w:ascii="宋体" w:hAnsi="宋体" w:cs="宋体"/>
                <w:spacing w:val="-2"/>
              </w:rPr>
              <w:t>其与掘进工作面的最大和最小允许距离必须在作业规程中明确。</w:t>
            </w:r>
            <w:r>
              <w:rPr>
                <w:rFonts w:ascii="宋体" w:hAnsi="宋体" w:cs="宋体"/>
                <w:spacing w:val="-2"/>
              </w:rPr>
              <w:t>(</w:t>
            </w:r>
            <w:r>
              <w:rPr>
                <w:rFonts w:hint="eastAsia" w:ascii="宋体" w:hAnsi="宋体" w:cs="宋体"/>
                <w:spacing w:val="-2"/>
              </w:rPr>
              <w:t>七</w:t>
            </w:r>
            <w:r>
              <w:rPr>
                <w:rFonts w:ascii="宋体" w:hAnsi="宋体" w:cs="宋体"/>
                <w:spacing w:val="-2"/>
              </w:rPr>
              <w:t>)</w:t>
            </w:r>
            <w:r>
              <w:rPr>
                <w:rFonts w:hint="eastAsia" w:ascii="宋体" w:hAnsi="宋体" w:cs="宋体"/>
                <w:spacing w:val="-2"/>
              </w:rPr>
              <w:t>高瓦斯、煤与瓦斯突出和有煤尘爆炸危险矿井的煤巷、半煤岩巷掘进工作面和石门揭煤工作面</w:t>
            </w:r>
            <w:r>
              <w:rPr>
                <w:rFonts w:ascii="宋体" w:hAnsi="宋体" w:cs="宋体"/>
                <w:spacing w:val="-2"/>
              </w:rPr>
              <w:t>,</w:t>
            </w:r>
            <w:r>
              <w:rPr>
                <w:rFonts w:hint="eastAsia" w:ascii="宋体" w:hAnsi="宋体" w:cs="宋体"/>
                <w:spacing w:val="-2"/>
              </w:rPr>
              <w:t>严禁使用钢丝绳牵引的耙装机。</w:t>
            </w:r>
          </w:p>
        </w:tc>
        <w:tc>
          <w:tcPr>
            <w:tcW w:w="2355" w:type="dxa"/>
            <w:vAlign w:val="center"/>
          </w:tcPr>
          <w:p>
            <w:pPr>
              <w:jc w:val="left"/>
              <w:textAlignment w:val="center"/>
              <w:rPr>
                <w:rFonts w:ascii="宋体" w:cs="宋体"/>
              </w:rPr>
            </w:pPr>
            <w:r>
              <w:rPr>
                <w:rFonts w:hint="eastAsia" w:ascii="宋体" w:hAnsi="宋体" w:cs="宋体"/>
                <w:kern w:val="0"/>
              </w:rPr>
              <w:t>《煤矿安全规程》第六十一条。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hint="eastAsia" w:ascii="宋体" w:hAnsi="宋体" w:cs="宋体"/>
                <w:kern w:val="0"/>
              </w:rPr>
              <w:t>24</w:t>
            </w:r>
          </w:p>
        </w:tc>
        <w:tc>
          <w:tcPr>
            <w:tcW w:w="1129" w:type="dxa"/>
            <w:vAlign w:val="center"/>
          </w:tcPr>
          <w:p>
            <w:pPr>
              <w:jc w:val="left"/>
              <w:textAlignment w:val="center"/>
              <w:rPr>
                <w:rFonts w:ascii="宋体" w:cs="宋体"/>
              </w:rPr>
            </w:pPr>
            <w:r>
              <w:rPr>
                <w:rFonts w:hint="eastAsia" w:ascii="宋体" w:hAnsi="宋体" w:cs="宋体"/>
                <w:kern w:val="0"/>
              </w:rPr>
              <w:t>移动变电站安全保护</w:t>
            </w:r>
          </w:p>
        </w:tc>
        <w:tc>
          <w:tcPr>
            <w:tcW w:w="5540" w:type="dxa"/>
            <w:vAlign w:val="center"/>
          </w:tcPr>
          <w:p>
            <w:pPr>
              <w:jc w:val="left"/>
              <w:textAlignment w:val="center"/>
              <w:rPr>
                <w:rFonts w:ascii="宋体" w:hAnsi="宋体" w:cs="宋体"/>
                <w:kern w:val="0"/>
              </w:rPr>
            </w:pPr>
            <w:r>
              <w:rPr>
                <w:rFonts w:hint="eastAsia" w:ascii="宋体" w:hAnsi="宋体" w:cs="宋体"/>
                <w:kern w:val="0"/>
              </w:rPr>
              <w:t>供移动变电站的高压馈电线上，必须装设有选择性的动作于跳闸的单相接地保护。</w:t>
            </w:r>
          </w:p>
          <w:p>
            <w:pPr>
              <w:jc w:val="left"/>
              <w:textAlignment w:val="center"/>
              <w:rPr>
                <w:rFonts w:ascii="宋体" w:hAnsi="宋体" w:cs="宋体"/>
                <w:kern w:val="0"/>
              </w:rPr>
            </w:pPr>
            <w:r>
              <w:rPr>
                <w:rFonts w:hint="eastAsia" w:ascii="宋体" w:hAnsi="宋体" w:cs="宋体"/>
                <w:kern w:val="0"/>
              </w:rPr>
              <w:t>低压馈电线上，必须装设检漏保护装置或有选择性的漏电保护装置；每天必须对低压漏电保护进行</w:t>
            </w:r>
            <w:r>
              <w:rPr>
                <w:rFonts w:ascii="宋体" w:hAnsi="宋体" w:cs="宋体"/>
                <w:kern w:val="0"/>
              </w:rPr>
              <w:t>1</w:t>
            </w:r>
            <w:r>
              <w:rPr>
                <w:rFonts w:hint="eastAsia" w:ascii="宋体" w:hAnsi="宋体" w:cs="宋体"/>
                <w:kern w:val="0"/>
              </w:rPr>
              <w:t>次跳闸试验。</w:t>
            </w:r>
          </w:p>
          <w:p>
            <w:pPr>
              <w:jc w:val="left"/>
              <w:textAlignment w:val="center"/>
              <w:rPr>
                <w:rFonts w:ascii="宋体" w:hAnsi="宋体" w:cs="宋体"/>
                <w:kern w:val="0"/>
              </w:rPr>
            </w:pPr>
            <w:r>
              <w:rPr>
                <w:rFonts w:hint="eastAsia" w:ascii="宋体" w:hAnsi="宋体" w:cs="宋体"/>
                <w:kern w:val="0"/>
              </w:rPr>
              <w:t>移动变电站或者配电点引出的馈电线上，必须具有短路、过负荷和漏电保护。</w:t>
            </w:r>
          </w:p>
          <w:p>
            <w:pPr>
              <w:jc w:val="left"/>
              <w:textAlignment w:val="center"/>
              <w:rPr>
                <w:rFonts w:ascii="宋体" w:cs="宋体"/>
              </w:rPr>
            </w:pPr>
            <w:r>
              <w:rPr>
                <w:rFonts w:hint="eastAsia" w:ascii="宋体" w:hAnsi="宋体" w:cs="宋体"/>
                <w:kern w:val="0"/>
              </w:rPr>
              <w:t>不得带电检修设备，严禁带电搬迁非本安型电气设备、电缆；电气设备、电缆的检查、维护调整符合要求。</w:t>
            </w:r>
          </w:p>
        </w:tc>
        <w:tc>
          <w:tcPr>
            <w:tcW w:w="2355" w:type="dxa"/>
            <w:vAlign w:val="center"/>
          </w:tcPr>
          <w:p>
            <w:pPr>
              <w:jc w:val="left"/>
              <w:textAlignment w:val="center"/>
              <w:rPr>
                <w:rFonts w:ascii="宋体" w:cs="宋体"/>
              </w:rPr>
            </w:pPr>
            <w:r>
              <w:rPr>
                <w:rFonts w:hint="eastAsia" w:ascii="宋体" w:hAnsi="宋体" w:cs="宋体"/>
                <w:kern w:val="0"/>
              </w:rPr>
              <w:t>《煤矿安全规程》第四百四十二条。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2</w:t>
            </w:r>
            <w:r>
              <w:rPr>
                <w:rFonts w:hint="eastAsia" w:ascii="宋体" w:hAnsi="宋体" w:cs="宋体"/>
                <w:kern w:val="0"/>
              </w:rPr>
              <w:t>5</w:t>
            </w:r>
          </w:p>
        </w:tc>
        <w:tc>
          <w:tcPr>
            <w:tcW w:w="1129" w:type="dxa"/>
            <w:vAlign w:val="center"/>
          </w:tcPr>
          <w:p>
            <w:pPr>
              <w:jc w:val="left"/>
              <w:textAlignment w:val="center"/>
              <w:rPr>
                <w:rFonts w:ascii="宋体" w:cs="宋体"/>
              </w:rPr>
            </w:pPr>
            <w:r>
              <w:rPr>
                <w:rFonts w:hint="eastAsia" w:ascii="宋体" w:hAnsi="宋体" w:cs="宋体"/>
                <w:kern w:val="0"/>
              </w:rPr>
              <w:t>电话</w:t>
            </w:r>
          </w:p>
        </w:tc>
        <w:tc>
          <w:tcPr>
            <w:tcW w:w="5540" w:type="dxa"/>
            <w:vAlign w:val="center"/>
          </w:tcPr>
          <w:p>
            <w:pPr>
              <w:jc w:val="left"/>
              <w:textAlignment w:val="center"/>
              <w:rPr>
                <w:rFonts w:ascii="宋体" w:cs="宋体"/>
              </w:rPr>
            </w:pPr>
            <w:r>
              <w:rPr>
                <w:rFonts w:hint="eastAsia" w:ascii="宋体" w:hAnsi="宋体" w:cs="宋体"/>
                <w:kern w:val="0"/>
              </w:rPr>
              <w:t>采煤工作面、掘进工作面、突出煤层采掘工作面附近必须设有直通矿调度室的有线调度电话。</w:t>
            </w:r>
          </w:p>
        </w:tc>
        <w:tc>
          <w:tcPr>
            <w:tcW w:w="2355" w:type="dxa"/>
            <w:vAlign w:val="center"/>
          </w:tcPr>
          <w:p>
            <w:pPr>
              <w:jc w:val="left"/>
              <w:textAlignment w:val="center"/>
              <w:rPr>
                <w:rFonts w:ascii="宋体" w:cs="宋体"/>
              </w:rPr>
            </w:pPr>
            <w:r>
              <w:rPr>
                <w:rFonts w:hint="eastAsia" w:ascii="宋体" w:hAnsi="宋体" w:cs="宋体"/>
                <w:kern w:val="0"/>
              </w:rPr>
              <w:t>《煤矿安全规程》第五百零七条。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2</w:t>
            </w:r>
            <w:r>
              <w:rPr>
                <w:rFonts w:hint="eastAsia" w:ascii="宋体" w:hAnsi="宋体" w:cs="宋体"/>
                <w:kern w:val="0"/>
              </w:rPr>
              <w:t>6</w:t>
            </w:r>
          </w:p>
        </w:tc>
        <w:tc>
          <w:tcPr>
            <w:tcW w:w="1129" w:type="dxa"/>
            <w:vAlign w:val="center"/>
          </w:tcPr>
          <w:p>
            <w:pPr>
              <w:jc w:val="left"/>
              <w:textAlignment w:val="center"/>
              <w:rPr>
                <w:rFonts w:ascii="宋体" w:cs="宋体"/>
              </w:rPr>
            </w:pPr>
            <w:r>
              <w:rPr>
                <w:rFonts w:hint="eastAsia" w:ascii="宋体" w:hAnsi="宋体" w:cs="宋体"/>
                <w:kern w:val="0"/>
              </w:rPr>
              <w:t>单轨吊</w:t>
            </w:r>
          </w:p>
        </w:tc>
        <w:tc>
          <w:tcPr>
            <w:tcW w:w="5540" w:type="dxa"/>
            <w:vAlign w:val="center"/>
          </w:tcPr>
          <w:p>
            <w:pPr>
              <w:jc w:val="left"/>
              <w:textAlignment w:val="center"/>
              <w:rPr>
                <w:rFonts w:ascii="宋体" w:cs="宋体"/>
              </w:rPr>
            </w:pPr>
            <w:r>
              <w:rPr>
                <w:rFonts w:hint="eastAsia" w:ascii="宋体" w:hAnsi="宋体" w:cs="宋体"/>
                <w:kern w:val="0"/>
              </w:rPr>
              <w:t>单轨吊车运行中应当设置跟车工。采用柴油机、蓄电池单轨吊车运送人员时，必须使用人车车厢；两端必须设置制动装置，两侧必须设置防护装置。采用钢丝绳牵引单轨吊车运输时，严禁在巷道弯道内侧设置人行道。有防止淋水侵蚀轨道的措施。</w:t>
            </w:r>
          </w:p>
        </w:tc>
        <w:tc>
          <w:tcPr>
            <w:tcW w:w="2355" w:type="dxa"/>
            <w:vAlign w:val="center"/>
          </w:tcPr>
          <w:p>
            <w:pPr>
              <w:jc w:val="left"/>
              <w:textAlignment w:val="center"/>
              <w:rPr>
                <w:rFonts w:ascii="宋体" w:cs="宋体"/>
              </w:rPr>
            </w:pPr>
            <w:r>
              <w:rPr>
                <w:rFonts w:hint="eastAsia" w:ascii="宋体" w:hAnsi="宋体" w:cs="宋体"/>
                <w:kern w:val="0"/>
              </w:rPr>
              <w:t>《煤矿安全规程》第三百九十一条。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37" w:type="dxa"/>
            <w:gridSpan w:val="7"/>
          </w:tcPr>
          <w:p>
            <w:pPr>
              <w:jc w:val="left"/>
              <w:textAlignment w:val="center"/>
              <w:rPr>
                <w:rFonts w:ascii="宋体" w:cs="宋体"/>
                <w:kern w:val="0"/>
              </w:rPr>
            </w:pPr>
            <w:r>
              <w:rPr>
                <w:rFonts w:hint="eastAsia" w:ascii="黑体" w:hAnsi="黑体" w:eastAsia="黑体" w:cs="黑体"/>
                <w:kern w:val="0"/>
              </w:rPr>
              <w:t>（四）通风机管理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2</w:t>
            </w:r>
            <w:r>
              <w:rPr>
                <w:rFonts w:hint="eastAsia" w:ascii="宋体" w:hAnsi="宋体" w:cs="宋体"/>
                <w:kern w:val="0"/>
              </w:rPr>
              <w:t>7</w:t>
            </w:r>
          </w:p>
        </w:tc>
        <w:tc>
          <w:tcPr>
            <w:tcW w:w="1129" w:type="dxa"/>
            <w:vAlign w:val="center"/>
          </w:tcPr>
          <w:p>
            <w:pPr>
              <w:jc w:val="left"/>
              <w:textAlignment w:val="center"/>
              <w:rPr>
                <w:rFonts w:ascii="宋体" w:cs="宋体"/>
              </w:rPr>
            </w:pPr>
            <w:r>
              <w:rPr>
                <w:rFonts w:hint="eastAsia" w:ascii="宋体" w:hAnsi="宋体" w:cs="宋体"/>
                <w:kern w:val="0"/>
              </w:rPr>
              <w:t>高瓦斯、突出矿井局部通风机安设管理</w:t>
            </w:r>
          </w:p>
        </w:tc>
        <w:tc>
          <w:tcPr>
            <w:tcW w:w="5540" w:type="dxa"/>
            <w:vAlign w:val="center"/>
          </w:tcPr>
          <w:p>
            <w:pPr>
              <w:jc w:val="left"/>
              <w:textAlignment w:val="center"/>
              <w:rPr>
                <w:rFonts w:ascii="宋体" w:cs="宋体"/>
              </w:rPr>
            </w:pPr>
            <w:r>
              <w:rPr>
                <w:rFonts w:hint="eastAsia" w:ascii="宋体" w:hAnsi="宋体" w:cs="宋体"/>
                <w:kern w:val="0"/>
              </w:rPr>
              <w:t>压入式局部通风机和启动装置安装在进风巷道中，安装位置和风量符合要求。煤巷、半煤岩巷和有瓦斯涌出的岩巷掘进工作面按规定安设备用局部通风机，并能自动切换。局部通风机必须采用三专供电。专用变压器最多可向</w:t>
            </w:r>
            <w:r>
              <w:rPr>
                <w:rFonts w:ascii="宋体" w:hAnsi="宋体" w:cs="宋体"/>
                <w:kern w:val="0"/>
              </w:rPr>
              <w:t>4</w:t>
            </w:r>
            <w:r>
              <w:rPr>
                <w:rFonts w:hint="eastAsia" w:ascii="宋体" w:hAnsi="宋体" w:cs="宋体"/>
                <w:kern w:val="0"/>
              </w:rPr>
              <w:t>个不同掘进工作面的局部通风机供电；备用局部通风机电源必须取自同时带电的另一电源。严禁使用</w:t>
            </w:r>
            <w:r>
              <w:rPr>
                <w:rFonts w:ascii="宋体" w:hAnsi="宋体" w:cs="宋体"/>
                <w:kern w:val="0"/>
              </w:rPr>
              <w:t>3</w:t>
            </w:r>
            <w:r>
              <w:rPr>
                <w:rFonts w:hint="eastAsia" w:ascii="宋体" w:hAnsi="宋体" w:cs="宋体"/>
                <w:kern w:val="0"/>
              </w:rPr>
              <w:t>台及以上局部通风机同时向</w:t>
            </w:r>
            <w:r>
              <w:rPr>
                <w:rFonts w:ascii="宋体" w:hAnsi="宋体" w:cs="宋体"/>
                <w:kern w:val="0"/>
              </w:rPr>
              <w:t>1</w:t>
            </w:r>
            <w:r>
              <w:rPr>
                <w:rFonts w:hint="eastAsia" w:ascii="宋体" w:hAnsi="宋体" w:cs="宋体"/>
                <w:kern w:val="0"/>
              </w:rPr>
              <w:t>个掘进工作面供风。不得使用</w:t>
            </w:r>
            <w:r>
              <w:rPr>
                <w:rFonts w:ascii="宋体" w:hAnsi="宋体" w:cs="宋体"/>
                <w:kern w:val="0"/>
              </w:rPr>
              <w:t>1</w:t>
            </w:r>
            <w:r>
              <w:rPr>
                <w:rFonts w:hint="eastAsia" w:ascii="宋体" w:hAnsi="宋体" w:cs="宋体"/>
                <w:kern w:val="0"/>
              </w:rPr>
              <w:t>台局部通风机同时向</w:t>
            </w:r>
            <w:r>
              <w:rPr>
                <w:rFonts w:ascii="宋体" w:hAnsi="宋体" w:cs="宋体"/>
                <w:kern w:val="0"/>
              </w:rPr>
              <w:t>2</w:t>
            </w:r>
            <w:r>
              <w:rPr>
                <w:rFonts w:hint="eastAsia" w:ascii="宋体" w:hAnsi="宋体" w:cs="宋体"/>
                <w:kern w:val="0"/>
              </w:rPr>
              <w:t>个及以上作业的掘进工作面供风。</w:t>
            </w:r>
          </w:p>
        </w:tc>
        <w:tc>
          <w:tcPr>
            <w:tcW w:w="2355" w:type="dxa"/>
            <w:vAlign w:val="center"/>
          </w:tcPr>
          <w:p>
            <w:pPr>
              <w:jc w:val="left"/>
              <w:textAlignment w:val="center"/>
              <w:rPr>
                <w:rFonts w:ascii="宋体" w:cs="宋体"/>
              </w:rPr>
            </w:pPr>
            <w:r>
              <w:rPr>
                <w:rFonts w:hint="eastAsia" w:ascii="宋体" w:hAnsi="宋体" w:cs="宋体"/>
                <w:kern w:val="0"/>
              </w:rPr>
              <w:t>《煤矿安全规程》第一百六十四条。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2</w:t>
            </w:r>
            <w:r>
              <w:rPr>
                <w:rFonts w:hint="eastAsia" w:ascii="宋体" w:hAnsi="宋体" w:cs="宋体"/>
                <w:kern w:val="0"/>
              </w:rPr>
              <w:t>8</w:t>
            </w:r>
          </w:p>
        </w:tc>
        <w:tc>
          <w:tcPr>
            <w:tcW w:w="1129" w:type="dxa"/>
            <w:vAlign w:val="center"/>
          </w:tcPr>
          <w:p>
            <w:pPr>
              <w:jc w:val="left"/>
              <w:textAlignment w:val="center"/>
              <w:rPr>
                <w:rFonts w:ascii="宋体" w:cs="宋体"/>
              </w:rPr>
            </w:pPr>
            <w:r>
              <w:rPr>
                <w:rFonts w:hint="eastAsia" w:ascii="宋体" w:hAnsi="宋体" w:cs="宋体"/>
                <w:kern w:val="0"/>
              </w:rPr>
              <w:t>低瓦斯矿井局部通风机安设管理</w:t>
            </w:r>
          </w:p>
        </w:tc>
        <w:tc>
          <w:tcPr>
            <w:tcW w:w="5540" w:type="dxa"/>
            <w:vAlign w:val="center"/>
          </w:tcPr>
          <w:p>
            <w:pPr>
              <w:jc w:val="left"/>
              <w:textAlignment w:val="center"/>
              <w:rPr>
                <w:rFonts w:ascii="宋体" w:cs="宋体"/>
              </w:rPr>
            </w:pPr>
            <w:r>
              <w:rPr>
                <w:rFonts w:hint="eastAsia" w:ascii="宋体" w:hAnsi="宋体" w:cs="宋体"/>
                <w:kern w:val="0"/>
              </w:rPr>
              <w:t>压入式局部通风机和启动装置安装在进风巷道中，安装位置和风量符合要求。局部通风机可不配备备用局部通风机，但正常工作的局部通风机必须采用三专供电；或者正常工作的局部通风机配备安装一台同等能力的备用局部通风机，并能自动切换。正常工作的局部通风机和备用局部通风机的电源必须取自同时带电的不同母线段的相互独立的电源，保证正常工作的局部通风机故障时，备用局部通风机能投入正常工作。不得使用</w:t>
            </w:r>
            <w:r>
              <w:rPr>
                <w:rFonts w:ascii="宋体" w:hAnsi="宋体" w:cs="宋体"/>
                <w:kern w:val="0"/>
              </w:rPr>
              <w:t>1</w:t>
            </w:r>
            <w:r>
              <w:rPr>
                <w:rFonts w:hint="eastAsia" w:ascii="宋体" w:hAnsi="宋体" w:cs="宋体"/>
                <w:kern w:val="0"/>
              </w:rPr>
              <w:t>台局部通风机同时向</w:t>
            </w:r>
            <w:r>
              <w:rPr>
                <w:rFonts w:ascii="宋体" w:hAnsi="宋体" w:cs="宋体"/>
                <w:kern w:val="0"/>
              </w:rPr>
              <w:t>2</w:t>
            </w:r>
            <w:r>
              <w:rPr>
                <w:rFonts w:hint="eastAsia" w:ascii="宋体" w:hAnsi="宋体" w:cs="宋体"/>
                <w:kern w:val="0"/>
              </w:rPr>
              <w:t>个及以上作业的掘进工作面供风。</w:t>
            </w:r>
          </w:p>
        </w:tc>
        <w:tc>
          <w:tcPr>
            <w:tcW w:w="2355" w:type="dxa"/>
            <w:vAlign w:val="center"/>
          </w:tcPr>
          <w:p>
            <w:pPr>
              <w:jc w:val="left"/>
              <w:textAlignment w:val="center"/>
              <w:rPr>
                <w:rFonts w:ascii="宋体" w:cs="宋体"/>
              </w:rPr>
            </w:pPr>
            <w:r>
              <w:rPr>
                <w:rFonts w:hint="eastAsia" w:ascii="宋体" w:hAnsi="宋体" w:cs="宋体"/>
                <w:kern w:val="0"/>
              </w:rPr>
              <w:t>《煤矿安全规程》第一百六十四条。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2</w:t>
            </w:r>
            <w:r>
              <w:rPr>
                <w:rFonts w:hint="eastAsia" w:ascii="宋体" w:hAnsi="宋体" w:cs="宋体"/>
                <w:kern w:val="0"/>
              </w:rPr>
              <w:t>9</w:t>
            </w:r>
          </w:p>
        </w:tc>
        <w:tc>
          <w:tcPr>
            <w:tcW w:w="1129" w:type="dxa"/>
            <w:vAlign w:val="center"/>
          </w:tcPr>
          <w:p>
            <w:pPr>
              <w:jc w:val="left"/>
              <w:textAlignment w:val="center"/>
              <w:rPr>
                <w:rFonts w:ascii="宋体" w:cs="宋体"/>
              </w:rPr>
            </w:pPr>
            <w:r>
              <w:rPr>
                <w:rFonts w:hint="eastAsia" w:ascii="宋体" w:hAnsi="宋体" w:cs="宋体"/>
                <w:kern w:val="0"/>
              </w:rPr>
              <w:t>其他地点局部通风机安设管理</w:t>
            </w:r>
          </w:p>
        </w:tc>
        <w:tc>
          <w:tcPr>
            <w:tcW w:w="5540" w:type="dxa"/>
            <w:vAlign w:val="center"/>
          </w:tcPr>
          <w:p>
            <w:pPr>
              <w:jc w:val="left"/>
              <w:textAlignment w:val="center"/>
              <w:rPr>
                <w:rFonts w:ascii="宋体" w:cs="宋体"/>
              </w:rPr>
            </w:pPr>
            <w:r>
              <w:rPr>
                <w:rFonts w:hint="eastAsia" w:ascii="宋体" w:hAnsi="宋体" w:cs="宋体"/>
                <w:kern w:val="0"/>
              </w:rPr>
              <w:t>压入式局部通风机和启动装置安装在进风巷道中，安装位置和风量符合要求。局部通风机可不配备备用局部通风机，但正常工作的局部通风机必须采用三专供电；或者正常工作的局部通风机配备安装一台同等能力的备用局部通风机，并能自动切换。正常工作的局部通风机和备用局部通风机的电源必须取自同时带电的不同母线段的相互独立的电源，保证正常工作的局部通风机故障时，备用局部通风机能投入正常工作。</w:t>
            </w:r>
          </w:p>
        </w:tc>
        <w:tc>
          <w:tcPr>
            <w:tcW w:w="2355" w:type="dxa"/>
            <w:vAlign w:val="center"/>
          </w:tcPr>
          <w:p>
            <w:pPr>
              <w:jc w:val="left"/>
              <w:textAlignment w:val="center"/>
              <w:rPr>
                <w:rFonts w:ascii="宋体" w:cs="宋体"/>
              </w:rPr>
            </w:pPr>
            <w:r>
              <w:rPr>
                <w:rFonts w:hint="eastAsia" w:ascii="宋体" w:hAnsi="宋体" w:cs="宋体"/>
                <w:kern w:val="0"/>
              </w:rPr>
              <w:t>《煤矿安全规程》第一百六十四条。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hint="eastAsia" w:ascii="宋体" w:hAnsi="宋体" w:cs="宋体"/>
                <w:kern w:val="0"/>
              </w:rPr>
              <w:t>30</w:t>
            </w:r>
          </w:p>
        </w:tc>
        <w:tc>
          <w:tcPr>
            <w:tcW w:w="1129" w:type="dxa"/>
            <w:vAlign w:val="center"/>
          </w:tcPr>
          <w:p>
            <w:pPr>
              <w:jc w:val="left"/>
              <w:textAlignment w:val="center"/>
              <w:rPr>
                <w:rFonts w:ascii="宋体" w:cs="宋体"/>
              </w:rPr>
            </w:pPr>
            <w:r>
              <w:rPr>
                <w:rFonts w:hint="eastAsia" w:ascii="宋体" w:hAnsi="宋体" w:cs="宋体"/>
                <w:kern w:val="0"/>
              </w:rPr>
              <w:t>局部通风机安全装备</w:t>
            </w:r>
          </w:p>
        </w:tc>
        <w:tc>
          <w:tcPr>
            <w:tcW w:w="5540" w:type="dxa"/>
            <w:vAlign w:val="center"/>
          </w:tcPr>
          <w:p>
            <w:pPr>
              <w:jc w:val="left"/>
              <w:textAlignment w:val="center"/>
              <w:rPr>
                <w:rFonts w:ascii="宋体" w:cs="宋体"/>
              </w:rPr>
            </w:pPr>
            <w:r>
              <w:rPr>
                <w:rFonts w:hint="eastAsia" w:ascii="宋体" w:hAnsi="宋体" w:cs="宋体"/>
                <w:kern w:val="0"/>
              </w:rPr>
              <w:t>正常工作和备用局部通风机均失电停止运转后，必须人工开启局部通风机。必须实现风电闭锁和甲烷电闭锁。使用</w:t>
            </w:r>
            <w:r>
              <w:rPr>
                <w:rFonts w:ascii="宋体" w:hAnsi="宋体" w:cs="宋体"/>
                <w:kern w:val="0"/>
              </w:rPr>
              <w:t>2</w:t>
            </w:r>
            <w:r>
              <w:rPr>
                <w:rFonts w:hint="eastAsia" w:ascii="宋体" w:hAnsi="宋体" w:cs="宋体"/>
                <w:kern w:val="0"/>
              </w:rPr>
              <w:t>台局部通风机同时供风的，必须同时实现风电闭锁和甲烷电闭锁。</w:t>
            </w:r>
          </w:p>
        </w:tc>
        <w:tc>
          <w:tcPr>
            <w:tcW w:w="2355" w:type="dxa"/>
            <w:vAlign w:val="center"/>
          </w:tcPr>
          <w:p>
            <w:pPr>
              <w:jc w:val="left"/>
              <w:textAlignment w:val="center"/>
              <w:rPr>
                <w:rFonts w:ascii="宋体" w:cs="宋体"/>
              </w:rPr>
            </w:pPr>
            <w:r>
              <w:rPr>
                <w:rFonts w:hint="eastAsia" w:ascii="宋体" w:hAnsi="宋体" w:cs="宋体"/>
                <w:kern w:val="0"/>
              </w:rPr>
              <w:t>《煤矿安全规程》第一百六十四条。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hint="eastAsia" w:ascii="宋体" w:hAnsi="宋体" w:cs="宋体"/>
                <w:kern w:val="0"/>
              </w:rPr>
              <w:t>31</w:t>
            </w:r>
          </w:p>
        </w:tc>
        <w:tc>
          <w:tcPr>
            <w:tcW w:w="1129" w:type="dxa"/>
            <w:vAlign w:val="center"/>
          </w:tcPr>
          <w:p>
            <w:pPr>
              <w:jc w:val="left"/>
              <w:textAlignment w:val="center"/>
              <w:rPr>
                <w:rFonts w:ascii="宋体" w:cs="宋体"/>
              </w:rPr>
            </w:pPr>
            <w:r>
              <w:rPr>
                <w:rFonts w:hint="eastAsia" w:ascii="宋体" w:hAnsi="宋体" w:cs="宋体"/>
                <w:kern w:val="0"/>
              </w:rPr>
              <w:t>局部通风机安全装备试验</w:t>
            </w:r>
          </w:p>
        </w:tc>
        <w:tc>
          <w:tcPr>
            <w:tcW w:w="5540" w:type="dxa"/>
            <w:vAlign w:val="center"/>
          </w:tcPr>
          <w:p>
            <w:pPr>
              <w:jc w:val="left"/>
              <w:textAlignment w:val="center"/>
              <w:rPr>
                <w:rFonts w:ascii="宋体" w:cs="宋体"/>
              </w:rPr>
            </w:pPr>
            <w:r>
              <w:rPr>
                <w:rFonts w:hint="eastAsia" w:ascii="宋体" w:hAnsi="宋体" w:cs="宋体"/>
                <w:kern w:val="0"/>
              </w:rPr>
              <w:t>每</w:t>
            </w:r>
            <w:r>
              <w:rPr>
                <w:rFonts w:ascii="宋体" w:hAnsi="宋体" w:cs="宋体"/>
                <w:kern w:val="0"/>
              </w:rPr>
              <w:t>15</w:t>
            </w:r>
            <w:r>
              <w:rPr>
                <w:rFonts w:hint="eastAsia" w:ascii="宋体" w:hAnsi="宋体" w:cs="宋体"/>
                <w:kern w:val="0"/>
              </w:rPr>
              <w:t>天至少进行一次风电闭锁和甲烷电闭锁试验，每天应当进行一次正常工作的局部通风机与备用局部通风机自动切换试验，试验期间不得影响局部通风，试验记录要存档备查。</w:t>
            </w:r>
          </w:p>
        </w:tc>
        <w:tc>
          <w:tcPr>
            <w:tcW w:w="2355" w:type="dxa"/>
            <w:vAlign w:val="center"/>
          </w:tcPr>
          <w:p>
            <w:pPr>
              <w:jc w:val="left"/>
              <w:textAlignment w:val="center"/>
              <w:rPr>
                <w:rFonts w:ascii="宋体" w:cs="宋体"/>
              </w:rPr>
            </w:pPr>
            <w:r>
              <w:rPr>
                <w:rFonts w:hint="eastAsia" w:ascii="宋体" w:hAnsi="宋体" w:cs="宋体"/>
                <w:kern w:val="0"/>
              </w:rPr>
              <w:t>《煤矿安全规程》第一百六十四条。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hint="eastAsia" w:ascii="宋体" w:hAnsi="宋体" w:cs="宋体"/>
                <w:kern w:val="0"/>
              </w:rPr>
              <w:t>32</w:t>
            </w:r>
          </w:p>
        </w:tc>
        <w:tc>
          <w:tcPr>
            <w:tcW w:w="1129" w:type="dxa"/>
            <w:vAlign w:val="center"/>
          </w:tcPr>
          <w:p>
            <w:pPr>
              <w:jc w:val="left"/>
              <w:textAlignment w:val="center"/>
              <w:rPr>
                <w:rFonts w:ascii="宋体" w:cs="宋体"/>
              </w:rPr>
            </w:pPr>
            <w:r>
              <w:rPr>
                <w:rFonts w:hint="eastAsia" w:ascii="宋体" w:hAnsi="宋体" w:cs="宋体"/>
                <w:kern w:val="0"/>
              </w:rPr>
              <w:t>风筒安装</w:t>
            </w:r>
          </w:p>
        </w:tc>
        <w:tc>
          <w:tcPr>
            <w:tcW w:w="5540" w:type="dxa"/>
            <w:vAlign w:val="center"/>
          </w:tcPr>
          <w:p>
            <w:pPr>
              <w:jc w:val="left"/>
              <w:textAlignment w:val="center"/>
              <w:rPr>
                <w:rFonts w:ascii="宋体" w:cs="宋体"/>
              </w:rPr>
            </w:pPr>
            <w:r>
              <w:rPr>
                <w:rFonts w:hint="eastAsia" w:ascii="宋体" w:hAnsi="宋体" w:cs="宋体"/>
                <w:spacing w:val="-6"/>
                <w:kern w:val="0"/>
              </w:rPr>
              <w:t>采用抗静电、阻燃风筒。风筒口到掘进工作面的距离、正常工作的局部通风机和备用局部通风机自动切换的交叉风筒接头的规格和安设标准，应当在作业规程中明确规定。</w:t>
            </w:r>
          </w:p>
        </w:tc>
        <w:tc>
          <w:tcPr>
            <w:tcW w:w="2355" w:type="dxa"/>
            <w:vAlign w:val="center"/>
          </w:tcPr>
          <w:p>
            <w:pPr>
              <w:jc w:val="left"/>
              <w:textAlignment w:val="center"/>
              <w:rPr>
                <w:rFonts w:ascii="宋体" w:cs="宋体"/>
              </w:rPr>
            </w:pPr>
            <w:r>
              <w:rPr>
                <w:rFonts w:hint="eastAsia" w:ascii="宋体" w:hAnsi="宋体" w:cs="宋体"/>
                <w:kern w:val="0"/>
              </w:rPr>
              <w:t>《煤矿安全规程》第一百六十四条。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hint="eastAsia" w:ascii="宋体" w:hAnsi="宋体" w:cs="宋体"/>
                <w:kern w:val="0"/>
              </w:rPr>
              <w:t>33</w:t>
            </w:r>
          </w:p>
        </w:tc>
        <w:tc>
          <w:tcPr>
            <w:tcW w:w="1129" w:type="dxa"/>
            <w:vAlign w:val="center"/>
          </w:tcPr>
          <w:p>
            <w:pPr>
              <w:jc w:val="left"/>
              <w:textAlignment w:val="center"/>
              <w:rPr>
                <w:rFonts w:ascii="宋体" w:cs="宋体"/>
              </w:rPr>
            </w:pPr>
            <w:r>
              <w:rPr>
                <w:rFonts w:hint="eastAsia" w:ascii="宋体" w:hAnsi="宋体" w:cs="宋体"/>
                <w:kern w:val="0"/>
              </w:rPr>
              <w:t>掘进工作面停风管理</w:t>
            </w:r>
          </w:p>
        </w:tc>
        <w:tc>
          <w:tcPr>
            <w:tcW w:w="5540" w:type="dxa"/>
            <w:vAlign w:val="center"/>
          </w:tcPr>
          <w:p>
            <w:pPr>
              <w:jc w:val="left"/>
              <w:textAlignment w:val="center"/>
              <w:rPr>
                <w:rFonts w:ascii="宋体" w:cs="宋体"/>
              </w:rPr>
            </w:pPr>
            <w:r>
              <w:rPr>
                <w:rFonts w:hint="eastAsia" w:ascii="宋体" w:hAnsi="宋体" w:cs="宋体"/>
                <w:spacing w:val="-6"/>
                <w:kern w:val="0"/>
              </w:rPr>
              <w:t>使用局部通风机通风的掘进工作面，不得停风；因检修、停电、故障等原因停风时，必须将人员全部撤至全风压进风流处，切断电源，设置栅栏、警示标志，禁止人员入内。</w:t>
            </w:r>
          </w:p>
        </w:tc>
        <w:tc>
          <w:tcPr>
            <w:tcW w:w="2355" w:type="dxa"/>
            <w:vAlign w:val="center"/>
          </w:tcPr>
          <w:p>
            <w:pPr>
              <w:jc w:val="left"/>
              <w:textAlignment w:val="center"/>
              <w:rPr>
                <w:rFonts w:ascii="宋体" w:cs="宋体"/>
              </w:rPr>
            </w:pPr>
            <w:r>
              <w:rPr>
                <w:rFonts w:hint="eastAsia" w:ascii="宋体" w:hAnsi="宋体" w:cs="宋体"/>
                <w:kern w:val="0"/>
              </w:rPr>
              <w:t>《煤矿安全规程》第一百六十五条。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37" w:type="dxa"/>
            <w:gridSpan w:val="7"/>
          </w:tcPr>
          <w:p>
            <w:pPr>
              <w:jc w:val="left"/>
              <w:rPr>
                <w:rFonts w:ascii="宋体" w:cs="宋体"/>
              </w:rPr>
            </w:pPr>
            <w:r>
              <w:rPr>
                <w:rFonts w:hint="eastAsia" w:ascii="黑体" w:hAnsi="黑体" w:eastAsia="黑体" w:cs="黑体"/>
                <w:kern w:val="0"/>
              </w:rPr>
              <w:t>（五）采掘工作面防尘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hint="eastAsia" w:ascii="宋体" w:hAnsi="宋体" w:cs="宋体"/>
                <w:kern w:val="0"/>
              </w:rPr>
              <w:t>34</w:t>
            </w:r>
          </w:p>
        </w:tc>
        <w:tc>
          <w:tcPr>
            <w:tcW w:w="1129" w:type="dxa"/>
            <w:vAlign w:val="center"/>
          </w:tcPr>
          <w:p>
            <w:pPr>
              <w:jc w:val="left"/>
              <w:textAlignment w:val="center"/>
              <w:rPr>
                <w:rFonts w:ascii="宋体" w:cs="宋体"/>
              </w:rPr>
            </w:pPr>
            <w:r>
              <w:rPr>
                <w:rFonts w:hint="eastAsia" w:ascii="宋体" w:hAnsi="宋体" w:cs="宋体"/>
                <w:kern w:val="0"/>
              </w:rPr>
              <w:t>防尘管路系统</w:t>
            </w:r>
          </w:p>
        </w:tc>
        <w:tc>
          <w:tcPr>
            <w:tcW w:w="5540" w:type="dxa"/>
            <w:vAlign w:val="center"/>
          </w:tcPr>
          <w:p>
            <w:pPr>
              <w:jc w:val="left"/>
              <w:textAlignment w:val="center"/>
              <w:rPr>
                <w:rFonts w:ascii="宋体" w:cs="宋体"/>
              </w:rPr>
            </w:pPr>
            <w:r>
              <w:rPr>
                <w:rFonts w:hint="eastAsia" w:ascii="宋体" w:hAnsi="宋体" w:cs="宋体"/>
                <w:kern w:val="0"/>
              </w:rPr>
              <w:t>采煤工作面运输巷与回风巷、掘进巷道等地点必须敷设防尘供水管路，并安设支管和阀门。</w:t>
            </w:r>
          </w:p>
        </w:tc>
        <w:tc>
          <w:tcPr>
            <w:tcW w:w="2355" w:type="dxa"/>
            <w:vAlign w:val="center"/>
          </w:tcPr>
          <w:p>
            <w:pPr>
              <w:jc w:val="left"/>
              <w:textAlignment w:val="center"/>
              <w:rPr>
                <w:rFonts w:ascii="宋体" w:cs="宋体"/>
              </w:rPr>
            </w:pPr>
            <w:r>
              <w:rPr>
                <w:rFonts w:hint="eastAsia" w:ascii="宋体" w:hAnsi="宋体" w:cs="宋体"/>
                <w:kern w:val="0"/>
              </w:rPr>
              <w:t>《煤矿安全规程》第六百四十四条。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3</w:t>
            </w:r>
            <w:r>
              <w:rPr>
                <w:rFonts w:hint="eastAsia" w:ascii="宋体" w:hAnsi="宋体" w:cs="宋体"/>
                <w:kern w:val="0"/>
              </w:rPr>
              <w:t>5</w:t>
            </w:r>
          </w:p>
        </w:tc>
        <w:tc>
          <w:tcPr>
            <w:tcW w:w="1129" w:type="dxa"/>
            <w:vAlign w:val="center"/>
          </w:tcPr>
          <w:p>
            <w:pPr>
              <w:jc w:val="left"/>
              <w:textAlignment w:val="center"/>
              <w:rPr>
                <w:rFonts w:ascii="宋体" w:cs="宋体"/>
              </w:rPr>
            </w:pPr>
            <w:r>
              <w:rPr>
                <w:rFonts w:hint="eastAsia" w:ascii="宋体" w:hAnsi="宋体" w:cs="宋体"/>
                <w:kern w:val="0"/>
              </w:rPr>
              <w:t>机械采煤工作面综合防尘措施</w:t>
            </w:r>
          </w:p>
        </w:tc>
        <w:tc>
          <w:tcPr>
            <w:tcW w:w="5540" w:type="dxa"/>
            <w:vAlign w:val="center"/>
          </w:tcPr>
          <w:p>
            <w:pPr>
              <w:jc w:val="left"/>
              <w:textAlignment w:val="center"/>
              <w:rPr>
                <w:rFonts w:ascii="宋体" w:cs="宋体"/>
              </w:rPr>
            </w:pPr>
            <w:r>
              <w:rPr>
                <w:rFonts w:hint="eastAsia" w:ascii="宋体" w:hAnsi="宋体" w:cs="宋体"/>
                <w:kern w:val="0"/>
              </w:rPr>
              <w:t>采煤工作面应当采取煤层注水防尘措施。采煤机必须安装内、外喷雾装置，内喷雾工作压力不得小于</w:t>
            </w:r>
            <w:r>
              <w:rPr>
                <w:rFonts w:ascii="宋体" w:hAnsi="宋体" w:cs="宋体"/>
                <w:kern w:val="0"/>
              </w:rPr>
              <w:t>2MPa</w:t>
            </w:r>
            <w:r>
              <w:rPr>
                <w:rFonts w:hint="eastAsia" w:ascii="宋体" w:hAnsi="宋体" w:cs="宋体"/>
                <w:kern w:val="0"/>
              </w:rPr>
              <w:t>，外喷雾工作压力不得小于</w:t>
            </w:r>
            <w:r>
              <w:rPr>
                <w:rFonts w:ascii="宋体" w:hAnsi="宋体" w:cs="宋体"/>
                <w:kern w:val="0"/>
              </w:rPr>
              <w:t>4MPa</w:t>
            </w:r>
            <w:r>
              <w:rPr>
                <w:rFonts w:hint="eastAsia" w:ascii="宋体" w:hAnsi="宋体" w:cs="宋体"/>
                <w:kern w:val="0"/>
              </w:rPr>
              <w:t>，无水或者喷雾装置不能正常使用时必须停机。液压支架和放顶煤工作面的放煤口，必须安装喷雾装置。回风巷应当安设风流净化水幕。输送机转载点和卸载点必须安设喷雾装置或者除尘器。</w:t>
            </w:r>
          </w:p>
        </w:tc>
        <w:tc>
          <w:tcPr>
            <w:tcW w:w="2355" w:type="dxa"/>
            <w:vAlign w:val="center"/>
          </w:tcPr>
          <w:p>
            <w:pPr>
              <w:jc w:val="left"/>
              <w:textAlignment w:val="center"/>
              <w:rPr>
                <w:rFonts w:ascii="宋体" w:cs="宋体"/>
              </w:rPr>
            </w:pPr>
            <w:r>
              <w:rPr>
                <w:rFonts w:hint="eastAsia" w:ascii="宋体" w:hAnsi="宋体" w:cs="宋体"/>
                <w:kern w:val="0"/>
              </w:rPr>
              <w:t>《煤矿安全规程》第六百四十五条，六百四十七条，六百四十八条，六百五十二条。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3</w:t>
            </w:r>
            <w:r>
              <w:rPr>
                <w:rFonts w:hint="eastAsia" w:ascii="宋体" w:hAnsi="宋体" w:cs="宋体"/>
                <w:kern w:val="0"/>
              </w:rPr>
              <w:t>6</w:t>
            </w:r>
          </w:p>
        </w:tc>
        <w:tc>
          <w:tcPr>
            <w:tcW w:w="1129" w:type="dxa"/>
            <w:vAlign w:val="center"/>
          </w:tcPr>
          <w:p>
            <w:pPr>
              <w:jc w:val="left"/>
              <w:textAlignment w:val="center"/>
              <w:rPr>
                <w:rFonts w:ascii="宋体" w:cs="宋体"/>
              </w:rPr>
            </w:pPr>
            <w:r>
              <w:rPr>
                <w:rFonts w:hint="eastAsia" w:ascii="宋体" w:hAnsi="宋体" w:cs="宋体"/>
                <w:kern w:val="0"/>
              </w:rPr>
              <w:t>炮采工作面综合防尘措施</w:t>
            </w:r>
          </w:p>
        </w:tc>
        <w:tc>
          <w:tcPr>
            <w:tcW w:w="5540" w:type="dxa"/>
            <w:vAlign w:val="center"/>
          </w:tcPr>
          <w:p>
            <w:pPr>
              <w:jc w:val="left"/>
              <w:textAlignment w:val="center"/>
              <w:rPr>
                <w:rFonts w:ascii="宋体" w:cs="宋体"/>
              </w:rPr>
            </w:pPr>
            <w:r>
              <w:rPr>
                <w:rFonts w:hint="eastAsia" w:ascii="宋体" w:hAnsi="宋体" w:cs="宋体"/>
                <w:kern w:val="0"/>
              </w:rPr>
              <w:t>炮采工作面应当采用湿式钻眼、冲洗煤壁、水炮泥、出煤洒水等综合防尘措施。回风巷应当安设风流净化水幕。输送机转载点和卸载点必须安设喷雾装置或者除尘器。</w:t>
            </w:r>
          </w:p>
        </w:tc>
        <w:tc>
          <w:tcPr>
            <w:tcW w:w="2355" w:type="dxa"/>
            <w:vAlign w:val="center"/>
          </w:tcPr>
          <w:p>
            <w:pPr>
              <w:jc w:val="left"/>
              <w:textAlignment w:val="center"/>
              <w:rPr>
                <w:rFonts w:ascii="宋体" w:cs="宋体"/>
              </w:rPr>
            </w:pPr>
            <w:r>
              <w:rPr>
                <w:rFonts w:hint="eastAsia" w:ascii="宋体" w:hAnsi="宋体" w:cs="宋体"/>
                <w:kern w:val="0"/>
              </w:rPr>
              <w:t>《煤矿安全规程》第六百四十六条，六百四十八条，六百五十二条。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3</w:t>
            </w:r>
            <w:r>
              <w:rPr>
                <w:rFonts w:hint="eastAsia" w:ascii="宋体" w:hAnsi="宋体" w:cs="宋体"/>
                <w:kern w:val="0"/>
              </w:rPr>
              <w:t>7</w:t>
            </w:r>
          </w:p>
        </w:tc>
        <w:tc>
          <w:tcPr>
            <w:tcW w:w="1129" w:type="dxa"/>
            <w:vAlign w:val="center"/>
          </w:tcPr>
          <w:p>
            <w:pPr>
              <w:jc w:val="left"/>
              <w:textAlignment w:val="center"/>
              <w:rPr>
                <w:rFonts w:ascii="宋体" w:cs="宋体"/>
              </w:rPr>
            </w:pPr>
            <w:r>
              <w:rPr>
                <w:rFonts w:hint="eastAsia" w:ascii="宋体" w:hAnsi="宋体" w:cs="宋体"/>
                <w:kern w:val="0"/>
              </w:rPr>
              <w:t>掘进工作面综合防尘措施</w:t>
            </w:r>
          </w:p>
        </w:tc>
        <w:tc>
          <w:tcPr>
            <w:tcW w:w="5540" w:type="dxa"/>
            <w:vAlign w:val="center"/>
          </w:tcPr>
          <w:p>
            <w:pPr>
              <w:jc w:val="left"/>
              <w:textAlignment w:val="center"/>
              <w:rPr>
                <w:rFonts w:ascii="宋体" w:cs="宋体"/>
              </w:rPr>
            </w:pPr>
            <w:r>
              <w:rPr>
                <w:rFonts w:hint="eastAsia" w:ascii="宋体" w:hAnsi="宋体" w:cs="宋体"/>
                <w:kern w:val="0"/>
              </w:rPr>
              <w:t>井工煤矿掘进井巷和硐室时，必须采取符合规定的综合防尘措施。井工煤矿掘进机作业时，应当采用内、外喷雾及通风除尘等综合措施，掘进机无水或者喷雾装置不能正常使用时，必须停机。输送机转载点和卸载点必须安设喷雾装置或者除尘器。</w:t>
            </w:r>
          </w:p>
        </w:tc>
        <w:tc>
          <w:tcPr>
            <w:tcW w:w="2355" w:type="dxa"/>
            <w:vAlign w:val="center"/>
          </w:tcPr>
          <w:p>
            <w:pPr>
              <w:jc w:val="left"/>
              <w:textAlignment w:val="center"/>
              <w:rPr>
                <w:rFonts w:ascii="宋体" w:cs="宋体"/>
              </w:rPr>
            </w:pPr>
            <w:r>
              <w:rPr>
                <w:rFonts w:hint="eastAsia" w:ascii="宋体" w:hAnsi="宋体" w:cs="宋体"/>
                <w:kern w:val="0"/>
              </w:rPr>
              <w:t>《煤矿安全规程》第六百四十九条，六百五十条。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3</w:t>
            </w:r>
            <w:r>
              <w:rPr>
                <w:rFonts w:hint="eastAsia" w:ascii="宋体" w:hAnsi="宋体" w:cs="宋体"/>
                <w:kern w:val="0"/>
              </w:rPr>
              <w:t>8</w:t>
            </w:r>
          </w:p>
        </w:tc>
        <w:tc>
          <w:tcPr>
            <w:tcW w:w="1129" w:type="dxa"/>
            <w:vAlign w:val="center"/>
          </w:tcPr>
          <w:p>
            <w:pPr>
              <w:jc w:val="left"/>
              <w:textAlignment w:val="center"/>
              <w:rPr>
                <w:rFonts w:ascii="宋体" w:cs="宋体"/>
              </w:rPr>
            </w:pPr>
            <w:r>
              <w:rPr>
                <w:rFonts w:hint="eastAsia" w:ascii="宋体" w:hAnsi="宋体" w:cs="宋体"/>
                <w:kern w:val="0"/>
              </w:rPr>
              <w:t>钻孔作业防尘措施</w:t>
            </w:r>
          </w:p>
        </w:tc>
        <w:tc>
          <w:tcPr>
            <w:tcW w:w="5540" w:type="dxa"/>
            <w:vAlign w:val="center"/>
          </w:tcPr>
          <w:p>
            <w:pPr>
              <w:jc w:val="left"/>
              <w:textAlignment w:val="center"/>
              <w:rPr>
                <w:rFonts w:ascii="宋体" w:cs="宋体"/>
              </w:rPr>
            </w:pPr>
            <w:r>
              <w:rPr>
                <w:rFonts w:hint="eastAsia" w:ascii="宋体" w:hAnsi="宋体" w:cs="宋体"/>
                <w:kern w:val="0"/>
              </w:rPr>
              <w:t>钻孔作业时，应当采取湿式降尘等措施。在遇水膨胀的岩层中不能采用湿式钻眼</w:t>
            </w:r>
            <w:r>
              <w:rPr>
                <w:rFonts w:ascii="宋体" w:hAnsi="宋体" w:cs="宋体"/>
                <w:kern w:val="0"/>
              </w:rPr>
              <w:t>(</w:t>
            </w:r>
            <w:r>
              <w:rPr>
                <w:rFonts w:hint="eastAsia" w:ascii="宋体" w:hAnsi="宋体" w:cs="宋体"/>
                <w:kern w:val="0"/>
              </w:rPr>
              <w:t>孔</w:t>
            </w:r>
            <w:r>
              <w:rPr>
                <w:rFonts w:ascii="宋体" w:hAnsi="宋体" w:cs="宋体"/>
                <w:kern w:val="0"/>
              </w:rPr>
              <w:t>)</w:t>
            </w:r>
            <w:r>
              <w:rPr>
                <w:rFonts w:hint="eastAsia" w:ascii="宋体" w:hAnsi="宋体" w:cs="宋体"/>
                <w:kern w:val="0"/>
              </w:rPr>
              <w:t>、突出煤层或者松软煤层中施工瓦斯抽采钻孔难以采取湿式钻孔作业时，可以采取干式钻孔</w:t>
            </w:r>
            <w:r>
              <w:rPr>
                <w:rFonts w:ascii="宋体" w:hAnsi="宋体" w:cs="宋体"/>
                <w:kern w:val="0"/>
              </w:rPr>
              <w:t>(</w:t>
            </w:r>
            <w:r>
              <w:rPr>
                <w:rFonts w:hint="eastAsia" w:ascii="宋体" w:hAnsi="宋体" w:cs="宋体"/>
                <w:kern w:val="0"/>
              </w:rPr>
              <w:t>眼</w:t>
            </w:r>
            <w:r>
              <w:rPr>
                <w:rFonts w:ascii="宋体" w:hAnsi="宋体" w:cs="宋体"/>
                <w:kern w:val="0"/>
              </w:rPr>
              <w:t>)</w:t>
            </w:r>
            <w:r>
              <w:rPr>
                <w:rFonts w:hint="eastAsia" w:ascii="宋体" w:hAnsi="宋体" w:cs="宋体"/>
                <w:kern w:val="0"/>
              </w:rPr>
              <w:t>，并采取除尘器除尘等措施。</w:t>
            </w:r>
          </w:p>
        </w:tc>
        <w:tc>
          <w:tcPr>
            <w:tcW w:w="2355" w:type="dxa"/>
            <w:vAlign w:val="center"/>
          </w:tcPr>
          <w:p>
            <w:pPr>
              <w:jc w:val="left"/>
              <w:textAlignment w:val="center"/>
              <w:rPr>
                <w:rFonts w:ascii="宋体" w:cs="宋体"/>
              </w:rPr>
            </w:pPr>
            <w:r>
              <w:rPr>
                <w:rFonts w:hint="eastAsia" w:ascii="宋体" w:hAnsi="宋体" w:cs="宋体"/>
                <w:kern w:val="0"/>
              </w:rPr>
              <w:t>《煤矿安全规程》第六百五十一条。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cs="宋体"/>
              </w:rPr>
            </w:pPr>
            <w:r>
              <w:rPr>
                <w:rFonts w:ascii="宋体" w:hAnsi="宋体" w:cs="宋体"/>
                <w:kern w:val="0"/>
              </w:rPr>
              <w:t>3</w:t>
            </w:r>
            <w:r>
              <w:rPr>
                <w:rFonts w:hint="eastAsia" w:ascii="宋体" w:hAnsi="宋体" w:cs="宋体"/>
                <w:kern w:val="0"/>
              </w:rPr>
              <w:t>9</w:t>
            </w:r>
          </w:p>
        </w:tc>
        <w:tc>
          <w:tcPr>
            <w:tcW w:w="1129" w:type="dxa"/>
            <w:vAlign w:val="center"/>
          </w:tcPr>
          <w:p>
            <w:pPr>
              <w:jc w:val="left"/>
              <w:textAlignment w:val="center"/>
              <w:rPr>
                <w:rFonts w:ascii="宋体" w:cs="宋体"/>
              </w:rPr>
            </w:pPr>
            <w:r>
              <w:rPr>
                <w:rFonts w:hint="eastAsia" w:ascii="宋体" w:hAnsi="宋体" w:cs="宋体"/>
                <w:kern w:val="0"/>
              </w:rPr>
              <w:t>喷浆防尘措施</w:t>
            </w:r>
          </w:p>
        </w:tc>
        <w:tc>
          <w:tcPr>
            <w:tcW w:w="5540" w:type="dxa"/>
            <w:vAlign w:val="center"/>
          </w:tcPr>
          <w:p>
            <w:pPr>
              <w:jc w:val="left"/>
              <w:textAlignment w:val="center"/>
              <w:rPr>
                <w:rFonts w:ascii="宋体" w:cs="宋体"/>
              </w:rPr>
            </w:pPr>
            <w:r>
              <w:rPr>
                <w:rFonts w:hint="eastAsia" w:ascii="宋体" w:hAnsi="宋体" w:cs="宋体"/>
                <w:kern w:val="0"/>
              </w:rPr>
              <w:t>喷射混凝土时，应当采用潮喷或者湿喷工艺，并配备除尘装置对上料口、余气口除尘。距离喷浆作业点下风流</w:t>
            </w:r>
            <w:r>
              <w:rPr>
                <w:rFonts w:ascii="宋体" w:hAnsi="宋体" w:cs="宋体"/>
                <w:kern w:val="0"/>
              </w:rPr>
              <w:t>100m</w:t>
            </w:r>
            <w:r>
              <w:rPr>
                <w:rFonts w:hint="eastAsia" w:ascii="宋体" w:hAnsi="宋体" w:cs="宋体"/>
                <w:kern w:val="0"/>
              </w:rPr>
              <w:t>内，应当设置风流净化水幕。</w:t>
            </w:r>
          </w:p>
        </w:tc>
        <w:tc>
          <w:tcPr>
            <w:tcW w:w="2355" w:type="dxa"/>
            <w:vAlign w:val="center"/>
          </w:tcPr>
          <w:p>
            <w:pPr>
              <w:jc w:val="left"/>
              <w:textAlignment w:val="center"/>
              <w:rPr>
                <w:rFonts w:ascii="宋体" w:cs="宋体"/>
              </w:rPr>
            </w:pPr>
            <w:r>
              <w:rPr>
                <w:rFonts w:hint="eastAsia" w:ascii="宋体" w:hAnsi="宋体" w:cs="宋体"/>
                <w:kern w:val="0"/>
              </w:rPr>
              <w:t>《煤矿安全规程》第六百五十三条。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hAnsi="宋体" w:cs="宋体"/>
                <w:kern w:val="0"/>
              </w:rPr>
            </w:pPr>
            <w:r>
              <w:rPr>
                <w:rFonts w:hint="eastAsia" w:ascii="宋体" w:hAnsi="宋体" w:cs="宋体"/>
                <w:kern w:val="0"/>
              </w:rPr>
              <w:t>40</w:t>
            </w:r>
          </w:p>
        </w:tc>
        <w:tc>
          <w:tcPr>
            <w:tcW w:w="1129" w:type="dxa"/>
            <w:vMerge w:val="restart"/>
            <w:vAlign w:val="center"/>
          </w:tcPr>
          <w:p>
            <w:pPr>
              <w:jc w:val="left"/>
              <w:textAlignment w:val="center"/>
              <w:rPr>
                <w:rFonts w:ascii="宋体" w:cs="宋体"/>
              </w:rPr>
            </w:pPr>
            <w:r>
              <w:rPr>
                <w:rFonts w:hint="eastAsia" w:ascii="宋体" w:hAnsi="宋体" w:cs="宋体"/>
                <w:kern w:val="0"/>
              </w:rPr>
              <w:t>隔爆设施</w:t>
            </w:r>
          </w:p>
        </w:tc>
        <w:tc>
          <w:tcPr>
            <w:tcW w:w="5540" w:type="dxa"/>
            <w:vAlign w:val="center"/>
          </w:tcPr>
          <w:p>
            <w:pPr>
              <w:jc w:val="left"/>
              <w:textAlignment w:val="center"/>
              <w:rPr>
                <w:rFonts w:ascii="宋体" w:cs="宋体"/>
              </w:rPr>
            </w:pPr>
            <w:r>
              <w:rPr>
                <w:rFonts w:hint="eastAsia" w:ascii="宋体" w:hAnsi="宋体" w:cs="宋体"/>
                <w:kern w:val="0"/>
              </w:rPr>
              <w:t>高瓦斯矿井、突出矿井和有煤尘爆炸危险的矿井，煤巷和半煤岩巷掘进工作面应当安设隔爆设施。</w:t>
            </w:r>
          </w:p>
        </w:tc>
        <w:tc>
          <w:tcPr>
            <w:tcW w:w="2355" w:type="dxa"/>
            <w:vAlign w:val="center"/>
          </w:tcPr>
          <w:p>
            <w:pPr>
              <w:jc w:val="left"/>
              <w:textAlignment w:val="center"/>
              <w:rPr>
                <w:rFonts w:ascii="宋体" w:cs="宋体"/>
              </w:rPr>
            </w:pPr>
            <w:r>
              <w:rPr>
                <w:rFonts w:hint="eastAsia" w:ascii="宋体" w:hAnsi="宋体" w:cs="宋体"/>
                <w:kern w:val="0"/>
              </w:rPr>
              <w:t>《煤矿安全规程》第一百八十八条。</w:t>
            </w:r>
          </w:p>
        </w:tc>
        <w:tc>
          <w:tcPr>
            <w:tcW w:w="1307" w:type="dxa"/>
          </w:tcPr>
          <w:p>
            <w:pPr>
              <w:jc w:val="left"/>
              <w:textAlignment w:val="center"/>
              <w:rPr>
                <w:rFonts w:ascii="宋体" w:cs="宋体"/>
              </w:rPr>
            </w:pPr>
          </w:p>
        </w:tc>
        <w:tc>
          <w:tcPr>
            <w:tcW w:w="1307" w:type="dxa"/>
          </w:tcPr>
          <w:p>
            <w:pPr>
              <w:jc w:val="left"/>
              <w:textAlignment w:val="center"/>
              <w:rPr>
                <w:rFonts w:ascii="宋体" w:cs="宋体"/>
              </w:rPr>
            </w:pPr>
          </w:p>
        </w:tc>
        <w:tc>
          <w:tcPr>
            <w:tcW w:w="1330" w:type="dxa"/>
          </w:tcPr>
          <w:p>
            <w:pPr>
              <w:jc w:val="left"/>
              <w:textAlignment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jc w:val="center"/>
              <w:textAlignment w:val="center"/>
              <w:rPr>
                <w:rFonts w:ascii="宋体" w:hAnsi="宋体" w:cs="宋体"/>
                <w:kern w:val="0"/>
              </w:rPr>
            </w:pPr>
            <w:r>
              <w:rPr>
                <w:rFonts w:hint="eastAsia" w:ascii="宋体" w:hAnsi="宋体" w:cs="宋体"/>
                <w:kern w:val="0"/>
              </w:rPr>
              <w:t>41</w:t>
            </w:r>
          </w:p>
        </w:tc>
        <w:tc>
          <w:tcPr>
            <w:tcW w:w="1129" w:type="dxa"/>
            <w:vMerge w:val="continue"/>
            <w:vAlign w:val="center"/>
          </w:tcPr>
          <w:p>
            <w:pPr>
              <w:jc w:val="left"/>
              <w:rPr>
                <w:rFonts w:ascii="宋体" w:cs="宋体"/>
              </w:rPr>
            </w:pPr>
          </w:p>
        </w:tc>
        <w:tc>
          <w:tcPr>
            <w:tcW w:w="5540" w:type="dxa"/>
            <w:vAlign w:val="center"/>
          </w:tcPr>
          <w:p>
            <w:pPr>
              <w:jc w:val="left"/>
              <w:textAlignment w:val="center"/>
              <w:rPr>
                <w:rFonts w:ascii="宋体" w:cs="宋体"/>
              </w:rPr>
            </w:pPr>
            <w:r>
              <w:rPr>
                <w:rFonts w:hint="eastAsia" w:ascii="宋体" w:hAnsi="宋体" w:cs="宋体"/>
                <w:kern w:val="0"/>
              </w:rPr>
              <w:t>开采有煤尘爆炸危险煤层的矿井相邻的采煤工作面间，掘进煤巷同与其相连的巷道间，采用独立通风并有煤尘爆炸危险的其他地点同与其相连的巷道间，必须用水棚或者岩粉棚隔开。</w:t>
            </w:r>
          </w:p>
        </w:tc>
        <w:tc>
          <w:tcPr>
            <w:tcW w:w="2355" w:type="dxa"/>
            <w:vAlign w:val="center"/>
          </w:tcPr>
          <w:p>
            <w:pPr>
              <w:jc w:val="left"/>
              <w:textAlignment w:val="center"/>
              <w:rPr>
                <w:rFonts w:ascii="宋体" w:cs="宋体"/>
              </w:rPr>
            </w:pPr>
            <w:r>
              <w:rPr>
                <w:rFonts w:hint="eastAsia" w:ascii="宋体" w:hAnsi="宋体" w:cs="宋体"/>
                <w:kern w:val="0"/>
              </w:rPr>
              <w:t>《煤矿安全规程》第一百八十六条。</w:t>
            </w:r>
          </w:p>
        </w:tc>
        <w:tc>
          <w:tcPr>
            <w:tcW w:w="1307" w:type="dxa"/>
          </w:tcPr>
          <w:p>
            <w:pPr>
              <w:jc w:val="left"/>
              <w:rPr>
                <w:rFonts w:ascii="宋体" w:cs="宋体"/>
              </w:rPr>
            </w:pPr>
          </w:p>
        </w:tc>
        <w:tc>
          <w:tcPr>
            <w:tcW w:w="1307" w:type="dxa"/>
          </w:tcPr>
          <w:p>
            <w:pPr>
              <w:jc w:val="left"/>
              <w:rPr>
                <w:rFonts w:ascii="宋体" w:cs="宋体"/>
              </w:rPr>
            </w:pPr>
          </w:p>
        </w:tc>
        <w:tc>
          <w:tcPr>
            <w:tcW w:w="1330" w:type="dxa"/>
          </w:tcPr>
          <w:p>
            <w:pPr>
              <w:jc w:val="left"/>
              <w:rPr>
                <w:rFonts w:ascii="宋体" w:cs="宋体"/>
              </w:rPr>
            </w:pPr>
          </w:p>
        </w:tc>
      </w:tr>
    </w:tbl>
    <w:p/>
    <w:p/>
    <w:p/>
    <w:p/>
    <w:p/>
    <w:p>
      <w:r>
        <w:rPr>
          <w:rFonts w:hint="eastAsia" w:ascii="黑体" w:hAnsi="黑体" w:eastAsia="黑体" w:cs="黑体"/>
          <w:sz w:val="28"/>
          <w:szCs w:val="28"/>
          <w:lang w:val="en-US" w:eastAsia="zh-CN"/>
        </w:rPr>
        <w:t>七</w:t>
      </w:r>
      <w:r>
        <w:rPr>
          <w:rFonts w:hint="eastAsia" w:ascii="黑体" w:hAnsi="黑体" w:eastAsia="黑体" w:cs="黑体"/>
          <w:sz w:val="28"/>
          <w:szCs w:val="28"/>
        </w:rPr>
        <w:t>、机电运输单元（</w:t>
      </w:r>
      <w:r>
        <w:rPr>
          <w:rFonts w:ascii="黑体" w:hAnsi="黑体" w:eastAsia="黑体" w:cs="黑体"/>
          <w:sz w:val="28"/>
          <w:szCs w:val="28"/>
        </w:rPr>
        <w:t>4</w:t>
      </w:r>
      <w:r>
        <w:rPr>
          <w:rFonts w:hint="eastAsia" w:ascii="黑体" w:hAnsi="黑体" w:eastAsia="黑体" w:cs="黑体"/>
          <w:sz w:val="28"/>
          <w:szCs w:val="28"/>
        </w:rPr>
        <w:t>5</w:t>
      </w:r>
      <w:r>
        <w:rPr>
          <w:rFonts w:ascii="黑体" w:hAnsi="黑体" w:eastAsia="黑体" w:cs="黑体"/>
          <w:sz w:val="28"/>
          <w:szCs w:val="28"/>
        </w:rPr>
        <w:t>）</w:t>
      </w:r>
    </w:p>
    <w:tbl>
      <w:tblPr>
        <w:tblStyle w:val="23"/>
        <w:tblW w:w="13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185"/>
        <w:gridCol w:w="5535"/>
        <w:gridCol w:w="2308"/>
        <w:gridCol w:w="1336"/>
        <w:gridCol w:w="1399"/>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53" w:type="dxa"/>
            <w:vAlign w:val="center"/>
          </w:tcPr>
          <w:p>
            <w:pPr>
              <w:jc w:val="center"/>
              <w:rPr>
                <w:rFonts w:ascii="黑体" w:hAnsi="黑体" w:eastAsia="黑体" w:cs="宋体"/>
                <w:bCs/>
              </w:rPr>
            </w:pPr>
            <w:r>
              <w:rPr>
                <w:rFonts w:hint="eastAsia" w:ascii="黑体" w:hAnsi="黑体" w:eastAsia="黑体" w:cs="宋体"/>
                <w:bCs/>
              </w:rPr>
              <w:t>序号</w:t>
            </w:r>
          </w:p>
        </w:tc>
        <w:tc>
          <w:tcPr>
            <w:tcW w:w="1185" w:type="dxa"/>
            <w:vAlign w:val="center"/>
          </w:tcPr>
          <w:p>
            <w:pPr>
              <w:jc w:val="center"/>
              <w:rPr>
                <w:rFonts w:ascii="黑体" w:hAnsi="黑体" w:eastAsia="黑体" w:cs="宋体"/>
                <w:bCs/>
              </w:rPr>
            </w:pPr>
            <w:r>
              <w:rPr>
                <w:rFonts w:hint="eastAsia" w:ascii="黑体" w:hAnsi="黑体" w:eastAsia="黑体" w:cs="宋体"/>
                <w:bCs/>
                <w:kern w:val="0"/>
              </w:rPr>
              <w:t>检查项目</w:t>
            </w:r>
          </w:p>
        </w:tc>
        <w:tc>
          <w:tcPr>
            <w:tcW w:w="5535" w:type="dxa"/>
            <w:vAlign w:val="center"/>
          </w:tcPr>
          <w:p>
            <w:pPr>
              <w:jc w:val="center"/>
              <w:rPr>
                <w:rFonts w:ascii="黑体" w:hAnsi="黑体" w:eastAsia="黑体" w:cs="宋体"/>
                <w:bCs/>
              </w:rPr>
            </w:pPr>
            <w:r>
              <w:rPr>
                <w:rFonts w:hint="eastAsia" w:ascii="黑体" w:hAnsi="黑体" w:eastAsia="黑体" w:cs="宋体"/>
                <w:bCs/>
              </w:rPr>
              <w:t>检查内容</w:t>
            </w:r>
          </w:p>
        </w:tc>
        <w:tc>
          <w:tcPr>
            <w:tcW w:w="2308" w:type="dxa"/>
            <w:vAlign w:val="center"/>
          </w:tcPr>
          <w:p>
            <w:pPr>
              <w:jc w:val="center"/>
              <w:rPr>
                <w:rFonts w:ascii="黑体" w:hAnsi="黑体" w:eastAsia="黑体" w:cs="宋体"/>
                <w:bCs/>
              </w:rPr>
            </w:pPr>
            <w:r>
              <w:rPr>
                <w:rFonts w:hint="eastAsia" w:ascii="黑体" w:hAnsi="黑体" w:eastAsia="黑体" w:cs="宋体"/>
                <w:bCs/>
                <w:kern w:val="0"/>
              </w:rPr>
              <w:t>检查依据</w:t>
            </w:r>
          </w:p>
        </w:tc>
        <w:tc>
          <w:tcPr>
            <w:tcW w:w="1336" w:type="dxa"/>
            <w:vAlign w:val="center"/>
          </w:tcPr>
          <w:p>
            <w:pPr>
              <w:jc w:val="center"/>
              <w:rPr>
                <w:rFonts w:ascii="黑体" w:hAnsi="黑体" w:eastAsia="黑体" w:cs="宋体"/>
                <w:bCs/>
              </w:rPr>
            </w:pPr>
            <w:r>
              <w:rPr>
                <w:rFonts w:hint="eastAsia" w:ascii="黑体" w:hAnsi="黑体" w:eastAsia="黑体" w:cs="宋体"/>
                <w:bCs/>
                <w:kern w:val="0"/>
              </w:rPr>
              <w:t>现状描述</w:t>
            </w:r>
          </w:p>
        </w:tc>
        <w:tc>
          <w:tcPr>
            <w:tcW w:w="1399" w:type="dxa"/>
            <w:vAlign w:val="center"/>
          </w:tcPr>
          <w:p>
            <w:pPr>
              <w:jc w:val="center"/>
              <w:rPr>
                <w:rFonts w:ascii="黑体" w:hAnsi="黑体" w:eastAsia="黑体" w:cs="宋体"/>
                <w:bCs/>
              </w:rPr>
            </w:pPr>
            <w:r>
              <w:rPr>
                <w:rFonts w:hint="eastAsia" w:ascii="黑体" w:hAnsi="黑体" w:eastAsia="黑体" w:cs="宋体"/>
                <w:bCs/>
                <w:kern w:val="0"/>
              </w:rPr>
              <w:t>存在问题</w:t>
            </w:r>
          </w:p>
        </w:tc>
        <w:tc>
          <w:tcPr>
            <w:tcW w:w="1250" w:type="dxa"/>
            <w:vAlign w:val="center"/>
          </w:tcPr>
          <w:p>
            <w:pPr>
              <w:jc w:val="center"/>
              <w:rPr>
                <w:rFonts w:ascii="黑体" w:hAnsi="黑体" w:eastAsia="黑体" w:cs="宋体"/>
                <w:bCs/>
              </w:rPr>
            </w:pPr>
            <w:r>
              <w:rPr>
                <w:rFonts w:hint="eastAsia" w:ascii="黑体" w:hAnsi="黑体" w:eastAsia="黑体" w:cs="宋体"/>
                <w:bCs/>
                <w:kern w:val="0"/>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6" w:type="dxa"/>
            <w:gridSpan w:val="7"/>
            <w:vAlign w:val="center"/>
          </w:tcPr>
          <w:p>
            <w:pPr>
              <w:jc w:val="left"/>
              <w:rPr>
                <w:rFonts w:eastAsia="黑体" w:cs="黑体"/>
              </w:rPr>
            </w:pPr>
            <w:r>
              <w:rPr>
                <w:rFonts w:hint="eastAsia" w:eastAsia="黑体" w:cs="黑体"/>
              </w:rPr>
              <w:t>（一）电气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1</w:t>
            </w:r>
          </w:p>
        </w:tc>
        <w:tc>
          <w:tcPr>
            <w:tcW w:w="1185" w:type="dxa"/>
            <w:vAlign w:val="center"/>
          </w:tcPr>
          <w:p>
            <w:pPr>
              <w:jc w:val="left"/>
            </w:pPr>
            <w:r>
              <w:rPr>
                <w:rFonts w:hint="eastAsia" w:cs="宋体"/>
              </w:rPr>
              <w:t>供电电源</w:t>
            </w:r>
          </w:p>
        </w:tc>
        <w:tc>
          <w:tcPr>
            <w:tcW w:w="5535" w:type="dxa"/>
            <w:vAlign w:val="center"/>
          </w:tcPr>
          <w:p>
            <w:pPr>
              <w:jc w:val="left"/>
            </w:pPr>
            <w:r>
              <w:rPr>
                <w:rFonts w:hint="eastAsia" w:cs="宋体"/>
              </w:rPr>
              <w:t>矿井应当有两回路电源线路，矿井的两回路电源线路上严禁装设负荷定量器等各种限电断电装置</w:t>
            </w:r>
            <w:r>
              <w:t>,</w:t>
            </w:r>
            <w:r>
              <w:rPr>
                <w:rFonts w:hint="eastAsia" w:cs="宋体"/>
              </w:rPr>
              <w:t>也不得分接任何负荷。</w:t>
            </w:r>
            <w:r>
              <w:t>10kv</w:t>
            </w:r>
            <w:r>
              <w:rPr>
                <w:rFonts w:hint="eastAsia" w:cs="宋体"/>
              </w:rPr>
              <w:t>以下架空电源线路不得共杆架设。</w:t>
            </w:r>
          </w:p>
          <w:p>
            <w:pPr>
              <w:jc w:val="left"/>
            </w:pPr>
            <w:r>
              <w:rPr>
                <w:rFonts w:hint="eastAsia" w:cs="宋体"/>
              </w:rPr>
              <w:t>备用电源须满足通风、排水、提升要求，并保证主要通风机在</w:t>
            </w:r>
            <w:r>
              <w:t>10min</w:t>
            </w:r>
            <w:r>
              <w:rPr>
                <w:rFonts w:hint="eastAsia" w:cs="宋体"/>
              </w:rPr>
              <w:t>内启动并可靠运行。</w:t>
            </w:r>
          </w:p>
        </w:tc>
        <w:tc>
          <w:tcPr>
            <w:tcW w:w="2308" w:type="dxa"/>
            <w:vAlign w:val="center"/>
          </w:tcPr>
          <w:p>
            <w:pPr>
              <w:jc w:val="left"/>
            </w:pPr>
            <w:r>
              <w:rPr>
                <w:rFonts w:hint="eastAsia" w:cs="宋体"/>
              </w:rPr>
              <w:t>《煤矿</w:t>
            </w:r>
            <w:r>
              <w:rPr>
                <w:rFonts w:hint="eastAsia" w:ascii="宋体" w:hAnsi="宋体" w:cs="宋体"/>
                <w:kern w:val="0"/>
              </w:rPr>
              <w:t>安全规程》436条，《煤矿重大生产安全事故隐患判定标准》第14条。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2</w:t>
            </w:r>
          </w:p>
        </w:tc>
        <w:tc>
          <w:tcPr>
            <w:tcW w:w="1185" w:type="dxa"/>
            <w:vAlign w:val="center"/>
          </w:tcPr>
          <w:p>
            <w:pPr>
              <w:jc w:val="left"/>
            </w:pPr>
            <w:r>
              <w:rPr>
                <w:rFonts w:hint="eastAsia" w:cs="宋体"/>
              </w:rPr>
              <w:t>供电</w:t>
            </w:r>
          </w:p>
          <w:p>
            <w:pPr>
              <w:jc w:val="left"/>
            </w:pPr>
            <w:r>
              <w:rPr>
                <w:rFonts w:hint="eastAsia" w:cs="宋体"/>
              </w:rPr>
              <w:t>线路及电缆</w:t>
            </w:r>
          </w:p>
        </w:tc>
        <w:tc>
          <w:tcPr>
            <w:tcW w:w="5535" w:type="dxa"/>
            <w:vAlign w:val="center"/>
          </w:tcPr>
          <w:p>
            <w:pPr>
              <w:jc w:val="left"/>
            </w:pPr>
            <w:r>
              <w:rPr>
                <w:rFonts w:hint="eastAsia" w:cs="宋体"/>
              </w:rPr>
              <w:t>地面固定式架空高压电力线路不得穿越沉陷区、跨越易燃易爆仓储区情况。采取安全距离、安全警示、避雷设施等必要的安全措施。</w:t>
            </w:r>
          </w:p>
          <w:p>
            <w:pPr>
              <w:jc w:val="left"/>
            </w:pPr>
            <w:r>
              <w:rPr>
                <w:rFonts w:hint="eastAsia" w:cs="宋体"/>
              </w:rPr>
              <w:t>矿井总回及专用回风巷不应敷设电力电缆。</w:t>
            </w:r>
          </w:p>
          <w:p>
            <w:pPr>
              <w:jc w:val="left"/>
            </w:pPr>
            <w:r>
              <w:rPr>
                <w:rFonts w:hint="eastAsia" w:cs="宋体"/>
              </w:rPr>
              <w:t>电缆选型、检验、敷设、吊挂、连接等符合要求。</w:t>
            </w:r>
          </w:p>
        </w:tc>
        <w:tc>
          <w:tcPr>
            <w:tcW w:w="2308" w:type="dxa"/>
            <w:vAlign w:val="center"/>
          </w:tcPr>
          <w:p>
            <w:pPr>
              <w:jc w:val="left"/>
              <w:rPr>
                <w:rFonts w:ascii="宋体" w:hAnsi="宋体" w:cs="宋体"/>
                <w:kern w:val="0"/>
              </w:rPr>
            </w:pPr>
            <w:r>
              <w:rPr>
                <w:rFonts w:hint="eastAsia" w:cs="宋体"/>
              </w:rPr>
              <w:t>《</w:t>
            </w:r>
            <w:r>
              <w:rPr>
                <w:rFonts w:hint="eastAsia" w:ascii="宋体" w:hAnsi="宋体" w:cs="宋体"/>
                <w:kern w:val="0"/>
              </w:rPr>
              <w:t>煤矿安全规程》第461--468条</w:t>
            </w:r>
          </w:p>
          <w:p>
            <w:pPr>
              <w:jc w:val="left"/>
            </w:pPr>
            <w:r>
              <w:rPr>
                <w:rFonts w:hint="eastAsia" w:ascii="宋体" w:hAnsi="宋体" w:cs="宋体"/>
                <w:kern w:val="0"/>
              </w:rPr>
              <w:t>《煤矿重大生</w:t>
            </w:r>
            <w:r>
              <w:rPr>
                <w:rFonts w:hint="eastAsia" w:cs="宋体"/>
              </w:rPr>
              <w:t>产安全事故</w:t>
            </w:r>
            <w:r>
              <w:rPr>
                <w:rFonts w:hint="eastAsia" w:ascii="宋体" w:hAnsi="宋体" w:cs="宋体"/>
                <w:kern w:val="0"/>
              </w:rPr>
              <w:t>隐患判定标准》第13条。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3</w:t>
            </w:r>
          </w:p>
        </w:tc>
        <w:tc>
          <w:tcPr>
            <w:tcW w:w="1185" w:type="dxa"/>
            <w:vMerge w:val="restart"/>
            <w:vAlign w:val="center"/>
          </w:tcPr>
          <w:p>
            <w:pPr>
              <w:jc w:val="left"/>
            </w:pPr>
            <w:r>
              <w:rPr>
                <w:rFonts w:hint="eastAsia" w:cs="宋体"/>
              </w:rPr>
              <w:t>供配电</w:t>
            </w:r>
          </w:p>
        </w:tc>
        <w:tc>
          <w:tcPr>
            <w:tcW w:w="5535" w:type="dxa"/>
            <w:vAlign w:val="center"/>
          </w:tcPr>
          <w:p>
            <w:pPr>
              <w:jc w:val="left"/>
            </w:pPr>
            <w:r>
              <w:rPr>
                <w:rFonts w:hint="eastAsia" w:cs="宋体"/>
              </w:rPr>
              <w:t>井下各中央变电所和采区变电所、主排水泵房和下山采区排水泵房采用双回路供电。向局部通风机供电的井下变</w:t>
            </w:r>
            <w:r>
              <w:t>(</w:t>
            </w:r>
            <w:r>
              <w:rPr>
                <w:rFonts w:hint="eastAsia" w:cs="宋体"/>
              </w:rPr>
              <w:t>配</w:t>
            </w:r>
            <w:r>
              <w:t>)</w:t>
            </w:r>
            <w:r>
              <w:rPr>
                <w:rFonts w:hint="eastAsia" w:cs="宋体"/>
              </w:rPr>
              <w:t>电所采用分列运行方式。</w:t>
            </w:r>
          </w:p>
          <w:p>
            <w:pPr>
              <w:jc w:val="left"/>
            </w:pPr>
            <w:r>
              <w:rPr>
                <w:rFonts w:hint="eastAsia" w:cs="宋体"/>
              </w:rPr>
              <w:t>地面主要通风机、提升人员的提升机、抽采瓦斯泵、地面安全监控中心等主要设备房，应当各有两回路直接由变</w:t>
            </w:r>
            <w:r>
              <w:t>(</w:t>
            </w:r>
            <w:r>
              <w:rPr>
                <w:rFonts w:hint="eastAsia" w:cs="宋体"/>
              </w:rPr>
              <w:t>配</w:t>
            </w:r>
            <w:r>
              <w:t>)</w:t>
            </w:r>
            <w:r>
              <w:rPr>
                <w:rFonts w:hint="eastAsia" w:cs="宋体"/>
              </w:rPr>
              <w:t>电所馈出的供电线路；受条件限制时，其中的一回路可引自上述设备房的配电装置。</w:t>
            </w:r>
          </w:p>
          <w:p>
            <w:pPr>
              <w:jc w:val="left"/>
            </w:pPr>
            <w:r>
              <w:rPr>
                <w:rFonts w:hint="eastAsia" w:cs="宋体"/>
              </w:rPr>
              <w:t>突出矿井自救系统供风的压风机、井下移动瓦斯抽采泵应当各有两回路直接由变</w:t>
            </w:r>
            <w:r>
              <w:t>(</w:t>
            </w:r>
            <w:r>
              <w:rPr>
                <w:rFonts w:hint="eastAsia" w:cs="宋体"/>
              </w:rPr>
              <w:t>配</w:t>
            </w:r>
            <w:r>
              <w:t>)</w:t>
            </w:r>
            <w:r>
              <w:rPr>
                <w:rFonts w:hint="eastAsia" w:cs="宋体"/>
              </w:rPr>
              <w:t>电所馈出的供电线路。</w:t>
            </w:r>
          </w:p>
          <w:p>
            <w:pPr>
              <w:jc w:val="left"/>
            </w:pPr>
            <w:r>
              <w:rPr>
                <w:rFonts w:hint="eastAsia" w:cs="宋体"/>
              </w:rPr>
              <w:t>上述供电线路应当来自各自的变压器或者母线段，线路上不应分接任何负荷。</w:t>
            </w:r>
          </w:p>
          <w:p>
            <w:pPr>
              <w:jc w:val="left"/>
            </w:pPr>
            <w:r>
              <w:rPr>
                <w:rFonts w:hint="eastAsia" w:cs="宋体"/>
              </w:rPr>
              <w:t>上述设备的控制回路和辅助设备，必须有与主要设备同等可靠的备用电源。</w:t>
            </w:r>
          </w:p>
          <w:p>
            <w:pPr>
              <w:jc w:val="left"/>
            </w:pPr>
            <w:r>
              <w:rPr>
                <w:rFonts w:hint="eastAsia" w:cs="宋体"/>
              </w:rPr>
              <w:t>采区供电的同一电源线路上，串接的采区变电所数量不得超过</w:t>
            </w:r>
            <w:r>
              <w:t>3</w:t>
            </w:r>
            <w:r>
              <w:rPr>
                <w:rFonts w:hint="eastAsia" w:cs="宋体"/>
              </w:rPr>
              <w:t>个。</w:t>
            </w:r>
          </w:p>
        </w:tc>
        <w:tc>
          <w:tcPr>
            <w:tcW w:w="2308" w:type="dxa"/>
            <w:vAlign w:val="center"/>
          </w:tcPr>
          <w:p>
            <w:pPr>
              <w:jc w:val="left"/>
              <w:rPr>
                <w:rFonts w:ascii="宋体" w:hAnsi="宋体" w:cs="宋体"/>
                <w:kern w:val="0"/>
              </w:rPr>
            </w:pPr>
            <w:r>
              <w:rPr>
                <w:rFonts w:hint="eastAsia" w:cs="宋体"/>
                <w:spacing w:val="-11"/>
              </w:rPr>
              <w:t>《煤矿安全</w:t>
            </w:r>
            <w:r>
              <w:rPr>
                <w:rFonts w:hint="eastAsia" w:ascii="宋体" w:hAnsi="宋体" w:cs="宋体"/>
                <w:kern w:val="0"/>
              </w:rPr>
              <w:t>规程》438条</w:t>
            </w:r>
          </w:p>
          <w:p>
            <w:pPr>
              <w:jc w:val="left"/>
            </w:pPr>
            <w:r>
              <w:rPr>
                <w:rFonts w:hint="eastAsia" w:ascii="宋体" w:hAnsi="宋体" w:cs="宋体"/>
                <w:kern w:val="0"/>
              </w:rPr>
              <w:t>《煤矿重大生产安全事故隐患判定标准》第14条。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4</w:t>
            </w:r>
          </w:p>
        </w:tc>
        <w:tc>
          <w:tcPr>
            <w:tcW w:w="1185" w:type="dxa"/>
            <w:vMerge w:val="continue"/>
            <w:vAlign w:val="center"/>
          </w:tcPr>
          <w:p>
            <w:pPr>
              <w:jc w:val="left"/>
            </w:pPr>
          </w:p>
        </w:tc>
        <w:tc>
          <w:tcPr>
            <w:tcW w:w="5535" w:type="dxa"/>
            <w:vAlign w:val="center"/>
          </w:tcPr>
          <w:p>
            <w:pPr>
              <w:jc w:val="left"/>
            </w:pPr>
            <w:r>
              <w:rPr>
                <w:rFonts w:hint="eastAsia" w:cs="宋体"/>
              </w:rPr>
              <w:t>井下配电变压器中性点不直接接地。由地面中性点直接接地的变压器或者发电机不直接向井下供电。</w:t>
            </w:r>
          </w:p>
        </w:tc>
        <w:tc>
          <w:tcPr>
            <w:tcW w:w="2308" w:type="dxa"/>
            <w:vAlign w:val="center"/>
          </w:tcPr>
          <w:p>
            <w:pPr>
              <w:jc w:val="left"/>
            </w:pPr>
            <w:r>
              <w:rPr>
                <w:rFonts w:hint="eastAsia" w:cs="宋体"/>
              </w:rPr>
              <w:t>《煤矿安全规程》</w:t>
            </w:r>
            <w:r>
              <w:rPr>
                <w:rFonts w:hint="eastAsia" w:ascii="宋体" w:hAnsi="宋体" w:cs="宋体"/>
                <w:kern w:val="0"/>
              </w:rPr>
              <w:t>440</w:t>
            </w:r>
            <w:r>
              <w:rPr>
                <w:rFonts w:hint="eastAsia" w:cs="宋体"/>
              </w:rPr>
              <w:t>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5</w:t>
            </w:r>
          </w:p>
        </w:tc>
        <w:tc>
          <w:tcPr>
            <w:tcW w:w="1185" w:type="dxa"/>
            <w:vMerge w:val="continue"/>
            <w:vAlign w:val="center"/>
          </w:tcPr>
          <w:p>
            <w:pPr>
              <w:jc w:val="left"/>
            </w:pPr>
          </w:p>
        </w:tc>
        <w:tc>
          <w:tcPr>
            <w:tcW w:w="5535" w:type="dxa"/>
            <w:vAlign w:val="center"/>
          </w:tcPr>
          <w:p>
            <w:pPr>
              <w:jc w:val="left"/>
            </w:pPr>
            <w:r>
              <w:rPr>
                <w:rFonts w:hint="eastAsia" w:cs="宋体"/>
              </w:rPr>
              <w:t>直接向井下供电的馈电线路上，严禁装设自动重合闸。</w:t>
            </w:r>
          </w:p>
        </w:tc>
        <w:tc>
          <w:tcPr>
            <w:tcW w:w="2308" w:type="dxa"/>
            <w:vAlign w:val="center"/>
          </w:tcPr>
          <w:p>
            <w:pPr>
              <w:jc w:val="left"/>
            </w:pPr>
            <w:r>
              <w:rPr>
                <w:rFonts w:hint="eastAsia" w:cs="宋体"/>
              </w:rPr>
              <w:t>《煤矿安全规程》第</w:t>
            </w:r>
            <w:r>
              <w:rPr>
                <w:rFonts w:hint="eastAsia" w:ascii="宋体" w:hAnsi="宋体" w:cs="宋体"/>
                <w:kern w:val="0"/>
              </w:rPr>
              <w:t>454条。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6</w:t>
            </w:r>
          </w:p>
        </w:tc>
        <w:tc>
          <w:tcPr>
            <w:tcW w:w="1185" w:type="dxa"/>
            <w:vMerge w:val="restart"/>
            <w:vAlign w:val="center"/>
          </w:tcPr>
          <w:p>
            <w:pPr>
              <w:jc w:val="left"/>
            </w:pPr>
            <w:r>
              <w:rPr>
                <w:rFonts w:hint="eastAsia" w:cs="宋体"/>
              </w:rPr>
              <w:t>电气保护</w:t>
            </w:r>
          </w:p>
        </w:tc>
        <w:tc>
          <w:tcPr>
            <w:tcW w:w="5535" w:type="dxa"/>
            <w:vAlign w:val="center"/>
          </w:tcPr>
          <w:p>
            <w:pPr>
              <w:jc w:val="left"/>
            </w:pPr>
            <w:r>
              <w:rPr>
                <w:rFonts w:hint="eastAsia" w:cs="宋体"/>
              </w:rPr>
              <w:t>井下高压控制开关应具备短路、过负荷、接地和欠压释放保护；低压控制开关具备短路、过负荷、单相断线、漏电闭锁保护及远程控制功能；变配电设备及馈电线路具备短路、过负荷和漏电保护。</w:t>
            </w:r>
          </w:p>
        </w:tc>
        <w:tc>
          <w:tcPr>
            <w:tcW w:w="2308" w:type="dxa"/>
            <w:vAlign w:val="center"/>
          </w:tcPr>
          <w:p>
            <w:pPr>
              <w:jc w:val="left"/>
              <w:rPr>
                <w:rFonts w:ascii="宋体" w:hAnsi="宋体" w:cs="宋体"/>
              </w:rPr>
            </w:pPr>
            <w:r>
              <w:rPr>
                <w:rFonts w:hint="eastAsia" w:ascii="宋体" w:hAnsi="宋体" w:cs="宋体"/>
              </w:rPr>
              <w:t>《煤矿安全规程》第451条。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7</w:t>
            </w:r>
          </w:p>
        </w:tc>
        <w:tc>
          <w:tcPr>
            <w:tcW w:w="1185" w:type="dxa"/>
            <w:vMerge w:val="continue"/>
            <w:vAlign w:val="center"/>
          </w:tcPr>
          <w:p>
            <w:pPr>
              <w:jc w:val="left"/>
            </w:pPr>
          </w:p>
        </w:tc>
        <w:tc>
          <w:tcPr>
            <w:tcW w:w="5535" w:type="dxa"/>
            <w:vAlign w:val="center"/>
          </w:tcPr>
          <w:p>
            <w:pPr>
              <w:jc w:val="left"/>
            </w:pPr>
            <w:r>
              <w:rPr>
                <w:rFonts w:hint="eastAsia" w:cs="宋体"/>
              </w:rPr>
              <w:t>井下配电网路具有过流及短路保护装置，开关分断能力、动作及热稳定性能、电缆热稳定性以及保护装置的动作可靠性与网路短路电流相匹配。</w:t>
            </w:r>
          </w:p>
        </w:tc>
        <w:tc>
          <w:tcPr>
            <w:tcW w:w="2308" w:type="dxa"/>
            <w:vAlign w:val="center"/>
          </w:tcPr>
          <w:p>
            <w:pPr>
              <w:jc w:val="left"/>
              <w:rPr>
                <w:rFonts w:ascii="宋体" w:hAnsi="宋体" w:cs="宋体"/>
              </w:rPr>
            </w:pPr>
            <w:r>
              <w:rPr>
                <w:rFonts w:hint="eastAsia" w:ascii="宋体" w:hAnsi="宋体" w:cs="宋体"/>
              </w:rPr>
              <w:t>《煤矿安全规程》第452条。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8</w:t>
            </w:r>
          </w:p>
        </w:tc>
        <w:tc>
          <w:tcPr>
            <w:tcW w:w="1185" w:type="dxa"/>
            <w:vMerge w:val="continue"/>
            <w:vAlign w:val="center"/>
          </w:tcPr>
          <w:p>
            <w:pPr>
              <w:jc w:val="left"/>
            </w:pPr>
          </w:p>
        </w:tc>
        <w:tc>
          <w:tcPr>
            <w:tcW w:w="5535" w:type="dxa"/>
            <w:vAlign w:val="center"/>
          </w:tcPr>
          <w:p>
            <w:pPr>
              <w:jc w:val="left"/>
            </w:pPr>
            <w:r>
              <w:t>6kv</w:t>
            </w:r>
            <w:r>
              <w:rPr>
                <w:rFonts w:hint="eastAsia" w:cs="宋体"/>
              </w:rPr>
              <w:t>及以上高压电网单相接地电容电流：生产矿井不超过</w:t>
            </w:r>
            <w:r>
              <w:t>20A</w:t>
            </w:r>
            <w:r>
              <w:rPr>
                <w:rFonts w:hint="eastAsia" w:cs="宋体"/>
              </w:rPr>
              <w:t>，新建矿井不超过</w:t>
            </w:r>
            <w:r>
              <w:t>10A</w:t>
            </w:r>
            <w:r>
              <w:rPr>
                <w:rFonts w:hint="eastAsia" w:cs="宋体"/>
              </w:rPr>
              <w:t>。</w:t>
            </w:r>
          </w:p>
          <w:p>
            <w:pPr>
              <w:jc w:val="left"/>
            </w:pPr>
            <w:r>
              <w:rPr>
                <w:rFonts w:hint="eastAsia" w:cs="宋体"/>
              </w:rPr>
              <w:t>井上下高压馈电线路具有选择性接地保护装置；井下地压馈电线路装设检漏或选漏保护装置。</w:t>
            </w:r>
          </w:p>
          <w:p>
            <w:pPr>
              <w:jc w:val="left"/>
            </w:pPr>
            <w:r>
              <w:rPr>
                <w:rFonts w:hint="eastAsia" w:cs="宋体"/>
              </w:rPr>
              <w:t>煤电钻有检漏、漏电闭锁、短路、过负荷、断相和远控等综合保护功能。</w:t>
            </w:r>
          </w:p>
          <w:p>
            <w:pPr>
              <w:jc w:val="left"/>
            </w:pPr>
            <w:r>
              <w:rPr>
                <w:rFonts w:hint="eastAsia" w:cs="宋体"/>
              </w:rPr>
              <w:t>突出矿井禁止使用煤电钻。</w:t>
            </w:r>
          </w:p>
        </w:tc>
        <w:tc>
          <w:tcPr>
            <w:tcW w:w="2308" w:type="dxa"/>
            <w:vAlign w:val="center"/>
          </w:tcPr>
          <w:p>
            <w:pPr>
              <w:jc w:val="left"/>
              <w:rPr>
                <w:rFonts w:ascii="宋体" w:hAnsi="宋体" w:cs="宋体"/>
              </w:rPr>
            </w:pPr>
            <w:r>
              <w:rPr>
                <w:rFonts w:hint="eastAsia" w:ascii="宋体" w:hAnsi="宋体" w:cs="宋体"/>
              </w:rPr>
              <w:t>《煤矿安全规程》第453条。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9</w:t>
            </w:r>
          </w:p>
        </w:tc>
        <w:tc>
          <w:tcPr>
            <w:tcW w:w="1185" w:type="dxa"/>
            <w:vMerge w:val="continue"/>
            <w:vAlign w:val="center"/>
          </w:tcPr>
          <w:p>
            <w:pPr>
              <w:jc w:val="left"/>
            </w:pPr>
          </w:p>
        </w:tc>
        <w:tc>
          <w:tcPr>
            <w:tcW w:w="5535" w:type="dxa"/>
            <w:vAlign w:val="center"/>
          </w:tcPr>
          <w:p>
            <w:pPr>
              <w:jc w:val="left"/>
            </w:pPr>
            <w:r>
              <w:rPr>
                <w:rFonts w:hint="eastAsia" w:cs="宋体"/>
              </w:rPr>
              <w:t>井上、下装设防雷电装置，且经由地面架空线路引入井下的供电线路和电机车架线，必须在入井处装设防雷电装置。由地面直接入井的轨道、金属架构的管路，必须在井口附近对金属体设置不少于</w:t>
            </w:r>
            <w:r>
              <w:t>2</w:t>
            </w:r>
            <w:r>
              <w:rPr>
                <w:rFonts w:hint="eastAsia" w:cs="宋体"/>
              </w:rPr>
              <w:t>处的良好的集中接地。</w:t>
            </w:r>
          </w:p>
        </w:tc>
        <w:tc>
          <w:tcPr>
            <w:tcW w:w="2308" w:type="dxa"/>
            <w:vAlign w:val="center"/>
          </w:tcPr>
          <w:p>
            <w:pPr>
              <w:jc w:val="left"/>
              <w:rPr>
                <w:rFonts w:ascii="宋体" w:hAnsi="宋体" w:cs="宋体"/>
              </w:rPr>
            </w:pPr>
            <w:r>
              <w:rPr>
                <w:rFonts w:hint="eastAsia" w:ascii="宋体" w:hAnsi="宋体" w:cs="宋体"/>
              </w:rPr>
              <w:t>《煤矿安全规程》第455条。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10</w:t>
            </w:r>
          </w:p>
        </w:tc>
        <w:tc>
          <w:tcPr>
            <w:tcW w:w="1185" w:type="dxa"/>
            <w:vMerge w:val="continue"/>
            <w:vAlign w:val="center"/>
          </w:tcPr>
          <w:p>
            <w:pPr>
              <w:jc w:val="left"/>
            </w:pPr>
          </w:p>
        </w:tc>
        <w:tc>
          <w:tcPr>
            <w:tcW w:w="5535" w:type="dxa"/>
            <w:vAlign w:val="center"/>
          </w:tcPr>
          <w:p>
            <w:pPr>
              <w:jc w:val="left"/>
            </w:pPr>
            <w:r>
              <w:t>36v</w:t>
            </w:r>
            <w:r>
              <w:rPr>
                <w:rFonts w:hint="eastAsia" w:cs="宋体"/>
              </w:rPr>
              <w:t>以上电气设备的金属外壳、构架、电缆金属铠装层及屏蔽层必须有保护接地。</w:t>
            </w:r>
          </w:p>
        </w:tc>
        <w:tc>
          <w:tcPr>
            <w:tcW w:w="2308" w:type="dxa"/>
            <w:vAlign w:val="center"/>
          </w:tcPr>
          <w:p>
            <w:pPr>
              <w:jc w:val="left"/>
              <w:rPr>
                <w:rFonts w:ascii="宋体" w:hAnsi="宋体" w:cs="宋体"/>
              </w:rPr>
            </w:pPr>
            <w:r>
              <w:rPr>
                <w:rFonts w:hint="eastAsia" w:ascii="宋体" w:hAnsi="宋体" w:cs="宋体"/>
              </w:rPr>
              <w:t>《煤矿安全规程》第475条。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11</w:t>
            </w:r>
          </w:p>
        </w:tc>
        <w:tc>
          <w:tcPr>
            <w:tcW w:w="1185" w:type="dxa"/>
            <w:vMerge w:val="continue"/>
            <w:vAlign w:val="center"/>
          </w:tcPr>
          <w:p>
            <w:pPr>
              <w:jc w:val="left"/>
            </w:pPr>
          </w:p>
        </w:tc>
        <w:tc>
          <w:tcPr>
            <w:tcW w:w="5535" w:type="dxa"/>
            <w:vAlign w:val="center"/>
          </w:tcPr>
          <w:p>
            <w:pPr>
              <w:jc w:val="left"/>
            </w:pPr>
            <w:r>
              <w:rPr>
                <w:rFonts w:hint="eastAsia" w:cs="宋体"/>
              </w:rPr>
              <w:t>井下任何保护接地点接地电阻不超过</w:t>
            </w:r>
            <w:r>
              <w:t>2</w:t>
            </w:r>
            <w:r>
              <w:rPr>
                <w:rFonts w:hint="eastAsia" w:cs="宋体"/>
              </w:rPr>
              <w:t>欧，移动及手持电气设备接地阻值不超过</w:t>
            </w:r>
            <w:r>
              <w:t>1</w:t>
            </w:r>
            <w:r>
              <w:rPr>
                <w:rFonts w:hint="eastAsia" w:cs="宋体"/>
              </w:rPr>
              <w:t>欧。</w:t>
            </w:r>
          </w:p>
        </w:tc>
        <w:tc>
          <w:tcPr>
            <w:tcW w:w="2308" w:type="dxa"/>
            <w:vAlign w:val="center"/>
          </w:tcPr>
          <w:p>
            <w:pPr>
              <w:jc w:val="left"/>
              <w:rPr>
                <w:rFonts w:ascii="宋体" w:hAnsi="宋体" w:cs="宋体"/>
              </w:rPr>
            </w:pPr>
            <w:r>
              <w:rPr>
                <w:rFonts w:hint="eastAsia" w:ascii="宋体" w:hAnsi="宋体" w:cs="宋体"/>
              </w:rPr>
              <w:t>《煤矿安全规程》第476条。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12</w:t>
            </w:r>
          </w:p>
        </w:tc>
        <w:tc>
          <w:tcPr>
            <w:tcW w:w="1185" w:type="dxa"/>
            <w:vMerge w:val="continue"/>
            <w:vAlign w:val="center"/>
          </w:tcPr>
          <w:p>
            <w:pPr>
              <w:jc w:val="left"/>
            </w:pPr>
          </w:p>
        </w:tc>
        <w:tc>
          <w:tcPr>
            <w:tcW w:w="5535" w:type="dxa"/>
            <w:vAlign w:val="center"/>
          </w:tcPr>
          <w:p>
            <w:pPr>
              <w:jc w:val="left"/>
            </w:pPr>
            <w:r>
              <w:rPr>
                <w:rFonts w:hint="eastAsia" w:cs="宋体"/>
              </w:rPr>
              <w:t>所有电气设备接地保护装置和局部接地接地装置应当与主接地极连接形成接地总网。</w:t>
            </w:r>
          </w:p>
          <w:p>
            <w:pPr>
              <w:jc w:val="left"/>
            </w:pPr>
            <w:r>
              <w:rPr>
                <w:rFonts w:hint="eastAsia" w:cs="宋体"/>
              </w:rPr>
              <w:t>主接地极及局部接地极的材质、敷设地点、连接方式等应符合要求。</w:t>
            </w:r>
          </w:p>
        </w:tc>
        <w:tc>
          <w:tcPr>
            <w:tcW w:w="2308" w:type="dxa"/>
            <w:vAlign w:val="center"/>
          </w:tcPr>
          <w:p>
            <w:pPr>
              <w:jc w:val="left"/>
              <w:rPr>
                <w:rFonts w:ascii="宋体" w:hAnsi="宋体" w:cs="宋体"/>
              </w:rPr>
            </w:pPr>
            <w:r>
              <w:rPr>
                <w:rFonts w:hint="eastAsia" w:ascii="宋体" w:hAnsi="宋体" w:cs="宋体"/>
              </w:rPr>
              <w:t>《煤矿安全规程》第477、478、479、480条。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13</w:t>
            </w:r>
          </w:p>
        </w:tc>
        <w:tc>
          <w:tcPr>
            <w:tcW w:w="1185" w:type="dxa"/>
            <w:vMerge w:val="continue"/>
            <w:vAlign w:val="center"/>
          </w:tcPr>
          <w:p>
            <w:pPr>
              <w:jc w:val="left"/>
            </w:pPr>
          </w:p>
        </w:tc>
        <w:tc>
          <w:tcPr>
            <w:tcW w:w="5535" w:type="dxa"/>
            <w:vAlign w:val="center"/>
          </w:tcPr>
          <w:p>
            <w:pPr>
              <w:jc w:val="left"/>
            </w:pPr>
            <w:r>
              <w:rPr>
                <w:rFonts w:hint="eastAsia" w:cs="宋体"/>
              </w:rPr>
              <w:t>矿灯房设施设备、矿灯数量、矿灯日常维护管理等符合规定。矿灯使用免维护电池，具备过流和短路保护功能。锂离子电池矿灯具备过充、过放电功能。</w:t>
            </w:r>
          </w:p>
        </w:tc>
        <w:tc>
          <w:tcPr>
            <w:tcW w:w="2308" w:type="dxa"/>
            <w:vAlign w:val="center"/>
          </w:tcPr>
          <w:p>
            <w:pPr>
              <w:jc w:val="left"/>
              <w:rPr>
                <w:rFonts w:ascii="宋体" w:hAnsi="宋体" w:cs="宋体"/>
              </w:rPr>
            </w:pPr>
            <w:r>
              <w:rPr>
                <w:rFonts w:hint="eastAsia" w:ascii="宋体" w:hAnsi="宋体" w:cs="宋体"/>
              </w:rPr>
              <w:t>《煤矿安全规程》第471、472条。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14</w:t>
            </w:r>
          </w:p>
        </w:tc>
        <w:tc>
          <w:tcPr>
            <w:tcW w:w="1185" w:type="dxa"/>
            <w:vMerge w:val="continue"/>
            <w:vAlign w:val="center"/>
          </w:tcPr>
          <w:p>
            <w:pPr>
              <w:jc w:val="left"/>
            </w:pPr>
          </w:p>
        </w:tc>
        <w:tc>
          <w:tcPr>
            <w:tcW w:w="5535" w:type="dxa"/>
            <w:vAlign w:val="center"/>
          </w:tcPr>
          <w:p>
            <w:pPr>
              <w:jc w:val="left"/>
            </w:pPr>
            <w:r>
              <w:rPr>
                <w:rFonts w:hint="eastAsia" w:cs="宋体"/>
              </w:rPr>
              <w:t>矿井中的电气信号，除信号集中闭塞外能同时发声和发光。重要信号装置附近，标明信号的种类和用途。</w:t>
            </w:r>
          </w:p>
          <w:p>
            <w:pPr>
              <w:jc w:val="left"/>
            </w:pPr>
            <w:r>
              <w:rPr>
                <w:rFonts w:hint="eastAsia" w:cs="宋体"/>
              </w:rPr>
              <w:t>升降人员和主要井口绞车的信号装置的直接供电线路上，不分接其他负荷。</w:t>
            </w:r>
          </w:p>
        </w:tc>
        <w:tc>
          <w:tcPr>
            <w:tcW w:w="2308" w:type="dxa"/>
            <w:vAlign w:val="center"/>
          </w:tcPr>
          <w:p>
            <w:pPr>
              <w:jc w:val="left"/>
              <w:rPr>
                <w:rFonts w:ascii="宋体" w:hAnsi="宋体" w:cs="宋体"/>
              </w:rPr>
            </w:pPr>
            <w:r>
              <w:rPr>
                <w:rFonts w:hint="eastAsia" w:ascii="宋体" w:hAnsi="宋体" w:cs="宋体"/>
              </w:rPr>
              <w:t>《煤矿安全规程》第473条。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15</w:t>
            </w:r>
          </w:p>
        </w:tc>
        <w:tc>
          <w:tcPr>
            <w:tcW w:w="1185" w:type="dxa"/>
            <w:vMerge w:val="continue"/>
            <w:vAlign w:val="center"/>
          </w:tcPr>
          <w:p>
            <w:pPr>
              <w:jc w:val="left"/>
            </w:pPr>
          </w:p>
        </w:tc>
        <w:tc>
          <w:tcPr>
            <w:tcW w:w="5535" w:type="dxa"/>
            <w:vAlign w:val="center"/>
          </w:tcPr>
          <w:p>
            <w:pPr>
              <w:jc w:val="left"/>
            </w:pPr>
            <w:r>
              <w:rPr>
                <w:rFonts w:hint="eastAsia" w:cs="宋体"/>
              </w:rPr>
              <w:t>井下照明和信号的配电装置，具有短路、过负荷和漏电保护的照明信号综合保护功能。</w:t>
            </w:r>
          </w:p>
        </w:tc>
        <w:tc>
          <w:tcPr>
            <w:tcW w:w="2308" w:type="dxa"/>
            <w:vAlign w:val="center"/>
          </w:tcPr>
          <w:p>
            <w:pPr>
              <w:jc w:val="left"/>
              <w:rPr>
                <w:rFonts w:ascii="宋体" w:hAnsi="宋体" w:cs="宋体"/>
              </w:rPr>
            </w:pPr>
            <w:r>
              <w:rPr>
                <w:rFonts w:hint="eastAsia" w:ascii="宋体" w:hAnsi="宋体" w:cs="宋体"/>
              </w:rPr>
              <w:t>《煤矿安全规程》第474条。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16</w:t>
            </w:r>
          </w:p>
        </w:tc>
        <w:tc>
          <w:tcPr>
            <w:tcW w:w="1185" w:type="dxa"/>
            <w:vAlign w:val="center"/>
          </w:tcPr>
          <w:p>
            <w:pPr>
              <w:jc w:val="left"/>
            </w:pPr>
            <w:r>
              <w:rPr>
                <w:rFonts w:hint="eastAsia" w:cs="宋体"/>
              </w:rPr>
              <w:t>供用电管理</w:t>
            </w:r>
          </w:p>
        </w:tc>
        <w:tc>
          <w:tcPr>
            <w:tcW w:w="5535" w:type="dxa"/>
            <w:vAlign w:val="center"/>
          </w:tcPr>
          <w:p>
            <w:pPr>
              <w:jc w:val="left"/>
            </w:pPr>
            <w:r>
              <w:rPr>
                <w:rFonts w:hint="eastAsia" w:cs="宋体"/>
              </w:rPr>
              <w:t>绘制与实际相符的井上、下配电系统图和井下电气设备布置图。</w:t>
            </w:r>
          </w:p>
          <w:p>
            <w:pPr>
              <w:jc w:val="left"/>
            </w:pPr>
            <w:r>
              <w:rPr>
                <w:rFonts w:hint="eastAsia" w:cs="宋体"/>
              </w:rPr>
              <w:t>配备电气特种作业人员并持证上岗。</w:t>
            </w:r>
          </w:p>
          <w:p>
            <w:pPr>
              <w:jc w:val="left"/>
            </w:pPr>
            <w:r>
              <w:rPr>
                <w:rFonts w:hint="eastAsia" w:cs="宋体"/>
              </w:rPr>
              <w:t>高压电气的停送电及维修调整有工作票和施工措施。</w:t>
            </w:r>
          </w:p>
          <w:p>
            <w:pPr>
              <w:jc w:val="left"/>
            </w:pPr>
            <w:r>
              <w:rPr>
                <w:rFonts w:hint="eastAsia" w:cs="宋体"/>
              </w:rPr>
              <w:t>井下电气设备的选用有设计并符合规定。井下防爆电气设备的运行、维护和修理，必须符合防爆性能的各项技术要求。</w:t>
            </w:r>
          </w:p>
          <w:p>
            <w:pPr>
              <w:jc w:val="left"/>
            </w:pPr>
            <w:r>
              <w:rPr>
                <w:rFonts w:hint="eastAsia" w:cs="宋体"/>
              </w:rPr>
              <w:t>电气设备及电缆定期检查、检验、调整、更新。</w:t>
            </w:r>
          </w:p>
        </w:tc>
        <w:tc>
          <w:tcPr>
            <w:tcW w:w="2308" w:type="dxa"/>
            <w:vAlign w:val="center"/>
          </w:tcPr>
          <w:p>
            <w:pPr>
              <w:jc w:val="left"/>
              <w:rPr>
                <w:rFonts w:ascii="宋体" w:hAnsi="宋体" w:cs="宋体"/>
              </w:rPr>
            </w:pPr>
            <w:r>
              <w:rPr>
                <w:rFonts w:hint="eastAsia" w:ascii="宋体" w:hAnsi="宋体" w:cs="宋体"/>
              </w:rPr>
              <w:t>《煤矿安全规程》第9、</w:t>
            </w:r>
          </w:p>
          <w:p>
            <w:pPr>
              <w:jc w:val="left"/>
              <w:rPr>
                <w:rFonts w:ascii="宋体" w:hAnsi="宋体" w:cs="宋体"/>
              </w:rPr>
            </w:pPr>
            <w:r>
              <w:rPr>
                <w:rFonts w:hint="eastAsia" w:ascii="宋体" w:hAnsi="宋体" w:cs="宋体"/>
              </w:rPr>
              <w:t>14、441、447、481、482、483条，《煤矿重大生产安全事故隐患判定标准》第13条。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17</w:t>
            </w:r>
          </w:p>
        </w:tc>
        <w:tc>
          <w:tcPr>
            <w:tcW w:w="1185" w:type="dxa"/>
            <w:vAlign w:val="center"/>
          </w:tcPr>
          <w:p>
            <w:pPr>
              <w:jc w:val="left"/>
            </w:pPr>
            <w:r>
              <w:rPr>
                <w:rFonts w:hint="eastAsia" w:cs="宋体"/>
              </w:rPr>
              <w:t>淘汰设备与工艺</w:t>
            </w:r>
          </w:p>
        </w:tc>
        <w:tc>
          <w:tcPr>
            <w:tcW w:w="5535" w:type="dxa"/>
            <w:vAlign w:val="center"/>
          </w:tcPr>
          <w:p>
            <w:pPr>
              <w:jc w:val="left"/>
            </w:pPr>
            <w:r>
              <w:rPr>
                <w:rFonts w:hint="eastAsia" w:cs="宋体"/>
              </w:rPr>
              <w:t>严禁使用国家明令禁止使用或淘汰的危及生产安全和可能产生职业病危害的技术、工艺、材料和设备。</w:t>
            </w:r>
          </w:p>
        </w:tc>
        <w:tc>
          <w:tcPr>
            <w:tcW w:w="2308" w:type="dxa"/>
            <w:vAlign w:val="center"/>
          </w:tcPr>
          <w:p>
            <w:pPr>
              <w:jc w:val="left"/>
              <w:rPr>
                <w:rFonts w:ascii="宋体" w:hAnsi="宋体" w:cs="宋体"/>
              </w:rPr>
            </w:pPr>
            <w:r>
              <w:rPr>
                <w:rFonts w:hint="eastAsia" w:ascii="宋体" w:hAnsi="宋体" w:cs="宋体"/>
              </w:rPr>
              <w:t>《煤矿安全规程》第10条，《煤矿重大生产安全事故隐患判定标准》第13条。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18</w:t>
            </w:r>
          </w:p>
        </w:tc>
        <w:tc>
          <w:tcPr>
            <w:tcW w:w="1185" w:type="dxa"/>
            <w:vAlign w:val="center"/>
          </w:tcPr>
          <w:p>
            <w:pPr>
              <w:jc w:val="left"/>
            </w:pPr>
            <w:r>
              <w:rPr>
                <w:rFonts w:hint="eastAsia" w:cs="宋体"/>
              </w:rPr>
              <w:t>设备设施管理</w:t>
            </w:r>
          </w:p>
        </w:tc>
        <w:tc>
          <w:tcPr>
            <w:tcW w:w="5535" w:type="dxa"/>
            <w:vAlign w:val="center"/>
          </w:tcPr>
          <w:p>
            <w:pPr>
              <w:jc w:val="left"/>
            </w:pPr>
            <w:r>
              <w:rPr>
                <w:rFonts w:hint="eastAsia" w:cs="宋体"/>
              </w:rPr>
              <w:t>建立各种设备、设施检查、维修、保养制度，定期进行检查、维修、保养，并做好记录。</w:t>
            </w:r>
          </w:p>
        </w:tc>
        <w:tc>
          <w:tcPr>
            <w:tcW w:w="2308" w:type="dxa"/>
            <w:vAlign w:val="center"/>
          </w:tcPr>
          <w:p>
            <w:pPr>
              <w:jc w:val="left"/>
              <w:rPr>
                <w:rFonts w:ascii="宋体" w:hAnsi="宋体" w:cs="宋体"/>
              </w:rPr>
            </w:pPr>
            <w:r>
              <w:rPr>
                <w:rFonts w:hint="eastAsia" w:ascii="宋体" w:hAnsi="宋体" w:cs="宋体"/>
              </w:rPr>
              <w:t>《煤矿安全规程》第4条。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6" w:type="dxa"/>
            <w:gridSpan w:val="7"/>
            <w:vAlign w:val="center"/>
          </w:tcPr>
          <w:p>
            <w:pPr>
              <w:jc w:val="left"/>
              <w:rPr>
                <w:rFonts w:eastAsia="黑体" w:cs="黑体"/>
              </w:rPr>
            </w:pPr>
            <w:r>
              <w:rPr>
                <w:rFonts w:hint="eastAsia" w:eastAsia="黑体" w:cs="黑体"/>
              </w:rPr>
              <w:t>（二）运输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19</w:t>
            </w:r>
          </w:p>
        </w:tc>
        <w:tc>
          <w:tcPr>
            <w:tcW w:w="1185" w:type="dxa"/>
            <w:vAlign w:val="center"/>
          </w:tcPr>
          <w:p>
            <w:pPr>
              <w:jc w:val="left"/>
            </w:pPr>
            <w:r>
              <w:rPr>
                <w:rFonts w:hint="eastAsia" w:cs="宋体"/>
              </w:rPr>
              <w:t>带式输送机</w:t>
            </w:r>
          </w:p>
        </w:tc>
        <w:tc>
          <w:tcPr>
            <w:tcW w:w="5535" w:type="dxa"/>
            <w:vAlign w:val="center"/>
          </w:tcPr>
          <w:p>
            <w:pPr>
              <w:jc w:val="left"/>
            </w:pPr>
            <w:r>
              <w:rPr>
                <w:rFonts w:hint="eastAsia" w:cs="宋体"/>
              </w:rPr>
              <w:t>滚筒驱动带式输送机阻燃性能和抗静电性能必须符合有关标准的规定。装设防打滑、跑偏、堆煤、撕裂等保护装置，同时装设温度、烟雾监测装置和自动洒水装置。机头、机尾及搭接处，有照明。液力耦合器严禁使用可燃性传动介质（调速型除外）。具备沿线急停闭锁功能。主要运输巷道中使用的带式输送机，必须装设输送带张紧力下降保护装置。倾斜井巷中的带式输送机，上运时装设防逆转装置和制动装置；下运时装设软制动装置且必须装设防超速保护装置。大于</w:t>
            </w:r>
            <w:r>
              <w:t>16°</w:t>
            </w:r>
            <w:r>
              <w:rPr>
                <w:rFonts w:hint="eastAsia" w:cs="宋体"/>
              </w:rPr>
              <w:t>的倾斜井巷中使用带式输送机，设置防护网，并采取防止物料下滑、滚落等的安全措施。机头、机尾、驱动滚筒和改向滚筒处，应当设防护栏及警示牌。行人跨越带式输送机处，应当设过桥。</w:t>
            </w:r>
          </w:p>
        </w:tc>
        <w:tc>
          <w:tcPr>
            <w:tcW w:w="2308" w:type="dxa"/>
            <w:vAlign w:val="center"/>
          </w:tcPr>
          <w:p>
            <w:pPr>
              <w:jc w:val="left"/>
            </w:pPr>
            <w:r>
              <w:rPr>
                <w:rFonts w:hint="eastAsia" w:cs="宋体"/>
              </w:rPr>
              <w:t>《</w:t>
            </w:r>
            <w:r>
              <w:rPr>
                <w:rFonts w:hint="eastAsia" w:ascii="宋体" w:hAnsi="宋体" w:cs="宋体"/>
              </w:rPr>
              <w:t>煤矿安全规程》第374条，《煤矿重大生产安全事故隐患判定标准》第18条。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20</w:t>
            </w:r>
          </w:p>
        </w:tc>
        <w:tc>
          <w:tcPr>
            <w:tcW w:w="1185" w:type="dxa"/>
            <w:vAlign w:val="center"/>
          </w:tcPr>
          <w:p>
            <w:pPr>
              <w:jc w:val="left"/>
            </w:pPr>
            <w:r>
              <w:rPr>
                <w:rFonts w:hint="eastAsia" w:cs="宋体"/>
              </w:rPr>
              <w:t>机车</w:t>
            </w:r>
          </w:p>
        </w:tc>
        <w:tc>
          <w:tcPr>
            <w:tcW w:w="5535" w:type="dxa"/>
            <w:vAlign w:val="center"/>
          </w:tcPr>
          <w:p>
            <w:pPr>
              <w:jc w:val="left"/>
            </w:pPr>
            <w:r>
              <w:rPr>
                <w:rFonts w:hint="eastAsia" w:cs="宋体"/>
              </w:rPr>
              <w:t>电机车，列车和单独机车都前有照明，后有红灯。机车的闸、灯、警铃（喇叭）、连接器和撤砂装置符合要求。</w:t>
            </w:r>
          </w:p>
          <w:p>
            <w:pPr>
              <w:jc w:val="left"/>
            </w:pPr>
            <w:r>
              <w:rPr>
                <w:rFonts w:hint="eastAsia" w:cs="宋体"/>
              </w:rPr>
              <w:t>突出矿井必须使用符合防爆要求的机车；新建高瓦斯矿井禁止使用架线机车。</w:t>
            </w:r>
          </w:p>
        </w:tc>
        <w:tc>
          <w:tcPr>
            <w:tcW w:w="2308" w:type="dxa"/>
            <w:vAlign w:val="center"/>
          </w:tcPr>
          <w:p>
            <w:pPr>
              <w:jc w:val="left"/>
              <w:rPr>
                <w:rFonts w:ascii="宋体" w:hAnsi="宋体" w:cs="宋体"/>
              </w:rPr>
            </w:pPr>
            <w:r>
              <w:rPr>
                <w:rFonts w:hint="eastAsia" w:ascii="宋体" w:hAnsi="宋体" w:cs="宋体"/>
                <w:spacing w:val="-11"/>
              </w:rPr>
              <w:t>《煤矿安全规程》第376条，377条，381条，</w:t>
            </w:r>
            <w:r>
              <w:rPr>
                <w:rFonts w:hint="eastAsia" w:ascii="宋体" w:hAnsi="宋体" w:cs="宋体"/>
              </w:rPr>
              <w:t>《煤矿重大生产安全事故隐患判定标准》第13条。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21</w:t>
            </w:r>
          </w:p>
        </w:tc>
        <w:tc>
          <w:tcPr>
            <w:tcW w:w="1185" w:type="dxa"/>
            <w:vAlign w:val="center"/>
          </w:tcPr>
          <w:p>
            <w:pPr>
              <w:jc w:val="left"/>
            </w:pPr>
            <w:r>
              <w:rPr>
                <w:rFonts w:hint="eastAsia" w:cs="宋体"/>
              </w:rPr>
              <w:t>架空乘人装置</w:t>
            </w:r>
          </w:p>
        </w:tc>
        <w:tc>
          <w:tcPr>
            <w:tcW w:w="5535" w:type="dxa"/>
            <w:vAlign w:val="center"/>
          </w:tcPr>
          <w:p>
            <w:pPr>
              <w:jc w:val="left"/>
            </w:pPr>
            <w:r>
              <w:rPr>
                <w:rFonts w:hint="eastAsia" w:cs="宋体"/>
              </w:rPr>
              <w:t>采用架空乘人装置运送人员时，应有专项设计。各类间距符合要求。架空乘人装置必须装设超速、打滑、全程急停、防脱绳、变坡点防掉绳、张紧力下降、越位等保护，安全保护装置发生保护动作后，需经人工复位，方可重新启动。应当有断轴保护措施。减速器应当设置油温检测装置，当油温异常时能发出报警信号。沿线应当设置延时启动声光预警信号。各上下人地点应当设置信号通信装置。倾斜巷道中架空乘人装置与轨道提升系统同巷布置时，必须设置电气闭锁，</w:t>
            </w:r>
            <w:r>
              <w:t>2</w:t>
            </w:r>
            <w:r>
              <w:rPr>
                <w:rFonts w:hint="eastAsia" w:cs="宋体"/>
              </w:rPr>
              <w:t>种设备不得同时运行。倾斜巷道中架空乘人装置与带式输送机同巷布置时，必须采取可靠的隔离措施。每日至少对整个装置进行</w:t>
            </w:r>
            <w:r>
              <w:t>1</w:t>
            </w:r>
            <w:r>
              <w:rPr>
                <w:rFonts w:hint="eastAsia" w:cs="宋体"/>
              </w:rPr>
              <w:t>次检查，每年至少对整个装置进行</w:t>
            </w:r>
            <w:r>
              <w:t>1</w:t>
            </w:r>
            <w:r>
              <w:rPr>
                <w:rFonts w:hint="eastAsia" w:cs="宋体"/>
              </w:rPr>
              <w:t>次安全检测检验。</w:t>
            </w:r>
          </w:p>
        </w:tc>
        <w:tc>
          <w:tcPr>
            <w:tcW w:w="2308" w:type="dxa"/>
            <w:vAlign w:val="center"/>
          </w:tcPr>
          <w:p>
            <w:pPr>
              <w:jc w:val="left"/>
              <w:rPr>
                <w:rFonts w:ascii="宋体" w:hAnsi="宋体" w:cs="宋体"/>
              </w:rPr>
            </w:pPr>
            <w:r>
              <w:rPr>
                <w:rFonts w:hint="eastAsia" w:ascii="宋体" w:hAnsi="宋体" w:cs="宋体"/>
              </w:rPr>
              <w:t>《煤矿安全规程》第383条。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spacing w:val="-2"/>
              </w:rPr>
            </w:pPr>
            <w:r>
              <w:rPr>
                <w:rFonts w:asciiTheme="minorEastAsia" w:hAnsiTheme="minorEastAsia"/>
                <w:spacing w:val="-2"/>
              </w:rPr>
              <w:t>22</w:t>
            </w:r>
          </w:p>
        </w:tc>
        <w:tc>
          <w:tcPr>
            <w:tcW w:w="1185" w:type="dxa"/>
            <w:vMerge w:val="restart"/>
            <w:vAlign w:val="center"/>
          </w:tcPr>
          <w:p>
            <w:pPr>
              <w:jc w:val="left"/>
              <w:rPr>
                <w:spacing w:val="-2"/>
              </w:rPr>
            </w:pPr>
            <w:r>
              <w:rPr>
                <w:rFonts w:hint="eastAsia" w:cs="宋体"/>
                <w:spacing w:val="-2"/>
              </w:rPr>
              <w:t>斜巷运输</w:t>
            </w:r>
          </w:p>
        </w:tc>
        <w:tc>
          <w:tcPr>
            <w:tcW w:w="5535" w:type="dxa"/>
            <w:vAlign w:val="center"/>
          </w:tcPr>
          <w:p>
            <w:pPr>
              <w:jc w:val="left"/>
            </w:pPr>
            <w:r>
              <w:rPr>
                <w:rFonts w:hint="eastAsia" w:cs="宋体"/>
              </w:rPr>
              <w:t>新建、扩建矿井严禁采用普通轨斜井人车运输。</w:t>
            </w:r>
          </w:p>
          <w:p>
            <w:pPr>
              <w:jc w:val="left"/>
            </w:pPr>
            <w:r>
              <w:rPr>
                <w:rFonts w:hint="eastAsia" w:cs="宋体"/>
              </w:rPr>
              <w:t>生产矿井在用的普通轨斜井人车运输，车辆必须设置可靠的制动装置；断绳时，制动装置既能自动发生作用，也能人工操纵；必须设置使跟车工在运行途中任何地点都能发送紧急停车信号的装置；多水平运输时，从各水平发出的信号必须有区别；人员上下地点应当悬挂信号牌；任一区段行车时，各水平必须有信号显示；应当有跟车工，跟车工必须坐在设有手动制动装置把手的位置。</w:t>
            </w:r>
          </w:p>
          <w:p>
            <w:pPr>
              <w:jc w:val="left"/>
            </w:pPr>
            <w:r>
              <w:rPr>
                <w:rFonts w:hint="eastAsia" w:cs="宋体"/>
              </w:rPr>
              <w:t>每班运送人员前，必须检查人车的连接装置、保险链和制动装置，并先空载运行一次（应有检查、空载运行记录）。</w:t>
            </w:r>
          </w:p>
          <w:p>
            <w:pPr>
              <w:jc w:val="left"/>
            </w:pPr>
            <w:r>
              <w:rPr>
                <w:rFonts w:hint="eastAsia" w:cs="宋体"/>
              </w:rPr>
              <w:t>运行坡度、速度和载重不得超过设计规定（应有设计）。</w:t>
            </w:r>
          </w:p>
          <w:p>
            <w:pPr>
              <w:jc w:val="left"/>
            </w:pPr>
            <w:r>
              <w:rPr>
                <w:rFonts w:hint="eastAsia" w:cs="宋体"/>
              </w:rPr>
              <w:t>对使用中的斜井人车防坠器，应当每班进行</w:t>
            </w:r>
            <w:r>
              <w:t>1</w:t>
            </w:r>
            <w:r>
              <w:rPr>
                <w:rFonts w:hint="eastAsia" w:cs="宋体"/>
              </w:rPr>
              <w:t>次手动落闸试验、每月进行</w:t>
            </w:r>
            <w:r>
              <w:t>1</w:t>
            </w:r>
            <w:r>
              <w:rPr>
                <w:rFonts w:hint="eastAsia" w:cs="宋体"/>
              </w:rPr>
              <w:t>次静止松绳落闸试验、每年进行</w:t>
            </w:r>
            <w:r>
              <w:t>1</w:t>
            </w:r>
            <w:r>
              <w:rPr>
                <w:rFonts w:hint="eastAsia" w:cs="宋体"/>
              </w:rPr>
              <w:t>次重载全速脱钩试验（应有试验记录）。</w:t>
            </w:r>
          </w:p>
          <w:p>
            <w:pPr>
              <w:jc w:val="left"/>
            </w:pPr>
            <w:r>
              <w:rPr>
                <w:rFonts w:hint="eastAsia" w:cs="宋体"/>
              </w:rPr>
              <w:t>连接装置安全系数不小于</w:t>
            </w:r>
            <w:r>
              <w:t>13</w:t>
            </w:r>
            <w:r>
              <w:rPr>
                <w:rFonts w:hint="eastAsia" w:cs="宋体"/>
              </w:rPr>
              <w:t>。</w:t>
            </w:r>
          </w:p>
        </w:tc>
        <w:tc>
          <w:tcPr>
            <w:tcW w:w="2308" w:type="dxa"/>
            <w:vAlign w:val="center"/>
          </w:tcPr>
          <w:p>
            <w:pPr>
              <w:jc w:val="left"/>
              <w:rPr>
                <w:rFonts w:ascii="宋体" w:hAnsi="宋体" w:cs="宋体"/>
              </w:rPr>
            </w:pPr>
            <w:r>
              <w:rPr>
                <w:rFonts w:hint="eastAsia" w:ascii="宋体" w:hAnsi="宋体" w:cs="宋体"/>
              </w:rPr>
              <w:t>《煤矿安全规程》第384、415、416条</w:t>
            </w:r>
          </w:p>
          <w:p>
            <w:pPr>
              <w:jc w:val="left"/>
              <w:rPr>
                <w:rFonts w:ascii="宋体" w:hAnsi="宋体" w:cs="宋体"/>
              </w:rPr>
            </w:pPr>
            <w:r>
              <w:rPr>
                <w:rFonts w:hint="eastAsia" w:ascii="宋体" w:hAnsi="宋体" w:cs="宋体"/>
              </w:rPr>
              <w:t>《煤矿重大生产安全事故隐患判定标准》第18条。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spacing w:val="-2"/>
              </w:rPr>
            </w:pPr>
            <w:r>
              <w:rPr>
                <w:rFonts w:asciiTheme="minorEastAsia" w:hAnsiTheme="minorEastAsia"/>
                <w:spacing w:val="-2"/>
              </w:rPr>
              <w:t>23</w:t>
            </w:r>
          </w:p>
        </w:tc>
        <w:tc>
          <w:tcPr>
            <w:tcW w:w="1185" w:type="dxa"/>
            <w:vMerge w:val="continue"/>
            <w:vAlign w:val="center"/>
          </w:tcPr>
          <w:p>
            <w:pPr>
              <w:jc w:val="left"/>
            </w:pPr>
          </w:p>
        </w:tc>
        <w:tc>
          <w:tcPr>
            <w:tcW w:w="5535" w:type="dxa"/>
            <w:vAlign w:val="center"/>
          </w:tcPr>
          <w:p>
            <w:pPr>
              <w:jc w:val="left"/>
            </w:pPr>
            <w:r>
              <w:rPr>
                <w:rFonts w:hint="eastAsia" w:cs="宋体"/>
              </w:rPr>
              <w:t>倾斜井巷内使用串车提升时，在倾斜井巷内安设能够将运行中断绳、脱钩的车辆阻止住的跑车防护装置；在各车场安设能够防止带绳车辆误入非运行车场或者区段的阻车器；在上部平车场入口安设能够控制车辆进入摘挂钩地点的阻车器；在上部平车场接近变坡点处，安设能够阻止未连挂的车辆滑入斜巷的阻车器；在变坡点下方略大于</w:t>
            </w:r>
            <w:r>
              <w:t>1</w:t>
            </w:r>
            <w:r>
              <w:rPr>
                <w:rFonts w:hint="eastAsia" w:cs="宋体"/>
              </w:rPr>
              <w:t>列车长度的地点，设置能够防止未连挂的车辆继续往下跑车的挡车栏；挡车装置必须经常关闭，放车时方准打开；兼作行驶人车的倾斜井巷，在提升人员时，倾斜井巷中的挡车装置和跑车防护装置必须是常开状态并闭锁。</w:t>
            </w:r>
          </w:p>
        </w:tc>
        <w:tc>
          <w:tcPr>
            <w:tcW w:w="2308" w:type="dxa"/>
            <w:vAlign w:val="center"/>
          </w:tcPr>
          <w:p>
            <w:pPr>
              <w:jc w:val="left"/>
              <w:rPr>
                <w:rFonts w:ascii="宋体" w:hAnsi="宋体" w:cs="宋体"/>
              </w:rPr>
            </w:pPr>
            <w:r>
              <w:rPr>
                <w:rFonts w:hint="eastAsia" w:ascii="宋体" w:hAnsi="宋体" w:cs="宋体"/>
              </w:rPr>
              <w:t>《煤矿安全规程》第387条。</w:t>
            </w:r>
          </w:p>
          <w:p>
            <w:pPr>
              <w:jc w:val="left"/>
              <w:rPr>
                <w:rFonts w:ascii="宋体" w:hAnsi="宋体" w:cs="宋体"/>
              </w:rPr>
            </w:pP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spacing w:val="-2"/>
              </w:rPr>
            </w:pPr>
            <w:r>
              <w:rPr>
                <w:rFonts w:asciiTheme="minorEastAsia" w:hAnsiTheme="minorEastAsia"/>
                <w:spacing w:val="-2"/>
              </w:rPr>
              <w:t>24</w:t>
            </w:r>
          </w:p>
        </w:tc>
        <w:tc>
          <w:tcPr>
            <w:tcW w:w="1185" w:type="dxa"/>
            <w:vMerge w:val="continue"/>
            <w:vAlign w:val="center"/>
          </w:tcPr>
          <w:p>
            <w:pPr>
              <w:jc w:val="left"/>
            </w:pPr>
          </w:p>
        </w:tc>
        <w:tc>
          <w:tcPr>
            <w:tcW w:w="5535" w:type="dxa"/>
            <w:vAlign w:val="center"/>
          </w:tcPr>
          <w:p>
            <w:pPr>
              <w:jc w:val="left"/>
            </w:pPr>
            <w:r>
              <w:rPr>
                <w:rFonts w:hint="eastAsia" w:cs="宋体"/>
              </w:rPr>
              <w:t>倾斜井巷使用提升机或者绞车提升时，必须采取轨道防滑措施；按设计要求设置托绳轮（辊），并保持转动灵活；井巷上端的过卷距离，应当根据巷道倾角、设计载荷、最大提升速度和实际制动力等参量计算确定，并有</w:t>
            </w:r>
            <w:r>
              <w:t>1.5</w:t>
            </w:r>
            <w:r>
              <w:rPr>
                <w:rFonts w:hint="eastAsia" w:cs="宋体"/>
              </w:rPr>
              <w:t>倍的备用系数；串车提升的各车场设有信号硐室及躲避硐；运人斜井各车场设有信号和候车硐室，候车硐室具有足够的空间；提升信号符合规定；运送物料时，开车前把钩工必须检查牵引车数、各车的连接和装载情况，严禁牵引车数超过规定，严禁装载物料超重、超高、超宽或者严重偏载（应有设计，现场应明确牵引车数）。</w:t>
            </w:r>
          </w:p>
        </w:tc>
        <w:tc>
          <w:tcPr>
            <w:tcW w:w="2308" w:type="dxa"/>
            <w:vAlign w:val="center"/>
          </w:tcPr>
          <w:p>
            <w:pPr>
              <w:jc w:val="left"/>
              <w:rPr>
                <w:rFonts w:ascii="宋体" w:hAnsi="宋体" w:cs="宋体"/>
              </w:rPr>
            </w:pPr>
            <w:r>
              <w:rPr>
                <w:rFonts w:hint="eastAsia" w:ascii="宋体" w:hAnsi="宋体" w:cs="宋体"/>
              </w:rPr>
              <w:t>《煤矿安全规程》第388、403、404条。</w:t>
            </w:r>
          </w:p>
          <w:p>
            <w:pPr>
              <w:jc w:val="left"/>
              <w:rPr>
                <w:rFonts w:ascii="宋体" w:hAnsi="宋体" w:cs="宋体"/>
              </w:rPr>
            </w:pPr>
            <w:r>
              <w:rPr>
                <w:rFonts w:hint="eastAsia" w:ascii="宋体" w:hAnsi="宋体" w:cs="宋体"/>
              </w:rPr>
              <w:t>《煤矿重大生产安全事故隐患判定标准》第18条。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25</w:t>
            </w:r>
          </w:p>
        </w:tc>
        <w:tc>
          <w:tcPr>
            <w:tcW w:w="1185" w:type="dxa"/>
            <w:vAlign w:val="center"/>
          </w:tcPr>
          <w:p>
            <w:pPr>
              <w:jc w:val="left"/>
            </w:pPr>
            <w:r>
              <w:rPr>
                <w:rFonts w:hint="eastAsia" w:cs="宋体"/>
              </w:rPr>
              <w:t>图档</w:t>
            </w:r>
          </w:p>
          <w:p>
            <w:pPr>
              <w:jc w:val="left"/>
            </w:pPr>
            <w:r>
              <w:rPr>
                <w:rFonts w:hint="eastAsia" w:cs="宋体"/>
              </w:rPr>
              <w:t>管理</w:t>
            </w:r>
          </w:p>
        </w:tc>
        <w:tc>
          <w:tcPr>
            <w:tcW w:w="5535" w:type="dxa"/>
            <w:vAlign w:val="center"/>
          </w:tcPr>
          <w:p>
            <w:pPr>
              <w:jc w:val="left"/>
            </w:pPr>
            <w:r>
              <w:rPr>
                <w:rFonts w:hint="eastAsia" w:cs="宋体"/>
              </w:rPr>
              <w:t>绘制与实际相符的井下运输系统图。</w:t>
            </w:r>
          </w:p>
        </w:tc>
        <w:tc>
          <w:tcPr>
            <w:tcW w:w="2308" w:type="dxa"/>
            <w:vAlign w:val="center"/>
          </w:tcPr>
          <w:p>
            <w:pPr>
              <w:jc w:val="left"/>
              <w:rPr>
                <w:rFonts w:ascii="宋体" w:hAnsi="宋体" w:cs="宋体"/>
              </w:rPr>
            </w:pPr>
            <w:r>
              <w:rPr>
                <w:rFonts w:hint="eastAsia" w:ascii="宋体" w:hAnsi="宋体" w:cs="宋体"/>
              </w:rPr>
              <w:t>《煤矿安全规程》第14条。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6" w:type="dxa"/>
            <w:gridSpan w:val="7"/>
            <w:vAlign w:val="center"/>
          </w:tcPr>
          <w:p>
            <w:pPr>
              <w:jc w:val="left"/>
              <w:rPr>
                <w:rFonts w:eastAsia="黑体" w:cs="黑体"/>
              </w:rPr>
            </w:pPr>
            <w:r>
              <w:rPr>
                <w:rFonts w:hint="eastAsia" w:eastAsia="黑体" w:cs="黑体"/>
              </w:rPr>
              <w:t>（三）提升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26</w:t>
            </w:r>
          </w:p>
        </w:tc>
        <w:tc>
          <w:tcPr>
            <w:tcW w:w="1185" w:type="dxa"/>
            <w:vMerge w:val="restart"/>
            <w:vAlign w:val="center"/>
          </w:tcPr>
          <w:p>
            <w:pPr>
              <w:jc w:val="left"/>
            </w:pPr>
            <w:r>
              <w:rPr>
                <w:rFonts w:hint="eastAsia" w:cs="宋体"/>
              </w:rPr>
              <w:t>立井提升系统</w:t>
            </w:r>
          </w:p>
        </w:tc>
        <w:tc>
          <w:tcPr>
            <w:tcW w:w="5535" w:type="dxa"/>
            <w:vAlign w:val="center"/>
          </w:tcPr>
          <w:p>
            <w:pPr>
              <w:jc w:val="left"/>
            </w:pPr>
            <w:r>
              <w:rPr>
                <w:rFonts w:hint="eastAsia" w:cs="宋体"/>
              </w:rPr>
              <w:t>升降人员或者升降人员和物料使用符合设计和规定的罐笼；单绳提升罐笼装设可靠的防坠器。罐笼和箕斗的最大提升载荷和最大提升载荷差在井口公布，不超载和超最大载荷差运行。</w:t>
            </w:r>
          </w:p>
        </w:tc>
        <w:tc>
          <w:tcPr>
            <w:tcW w:w="2308" w:type="dxa"/>
            <w:vAlign w:val="center"/>
          </w:tcPr>
          <w:p>
            <w:pPr>
              <w:jc w:val="left"/>
              <w:rPr>
                <w:rFonts w:ascii="宋体" w:hAnsi="宋体" w:cs="宋体"/>
              </w:rPr>
            </w:pPr>
            <w:r>
              <w:rPr>
                <w:rFonts w:hint="eastAsia" w:ascii="宋体" w:hAnsi="宋体" w:cs="宋体"/>
              </w:rPr>
              <w:t>《煤矿安全规程》第393、394条，《煤矿重大生产安全事故隐患判定标准》第18条。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27</w:t>
            </w:r>
          </w:p>
        </w:tc>
        <w:tc>
          <w:tcPr>
            <w:tcW w:w="1185" w:type="dxa"/>
            <w:vMerge w:val="continue"/>
            <w:vAlign w:val="center"/>
          </w:tcPr>
          <w:p>
            <w:pPr>
              <w:jc w:val="left"/>
            </w:pPr>
          </w:p>
        </w:tc>
        <w:tc>
          <w:tcPr>
            <w:tcW w:w="5535" w:type="dxa"/>
            <w:vAlign w:val="center"/>
          </w:tcPr>
          <w:p>
            <w:pPr>
              <w:jc w:val="left"/>
            </w:pPr>
            <w:r>
              <w:rPr>
                <w:rFonts w:hint="eastAsia" w:cs="宋体"/>
              </w:rPr>
              <w:t>罐笼提升井口、井底和中间水平的安全门与罐笼位置、揺台或锁罐装置、阻车器之间联锁，并与提升机信号闭锁。</w:t>
            </w:r>
          </w:p>
        </w:tc>
        <w:tc>
          <w:tcPr>
            <w:tcW w:w="2308" w:type="dxa"/>
            <w:vAlign w:val="center"/>
          </w:tcPr>
          <w:p>
            <w:pPr>
              <w:jc w:val="left"/>
              <w:rPr>
                <w:rFonts w:ascii="宋体" w:hAnsi="宋体" w:cs="宋体"/>
              </w:rPr>
            </w:pPr>
            <w:r>
              <w:rPr>
                <w:rFonts w:hint="eastAsia" w:ascii="宋体" w:hAnsi="宋体" w:cs="宋体"/>
              </w:rPr>
              <w:t>《煤矿安全规程》第395条。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28</w:t>
            </w:r>
          </w:p>
        </w:tc>
        <w:tc>
          <w:tcPr>
            <w:tcW w:w="1185" w:type="dxa"/>
            <w:vMerge w:val="continue"/>
            <w:vAlign w:val="center"/>
          </w:tcPr>
          <w:p>
            <w:pPr>
              <w:jc w:val="left"/>
            </w:pPr>
          </w:p>
        </w:tc>
        <w:tc>
          <w:tcPr>
            <w:tcW w:w="5535" w:type="dxa"/>
            <w:vAlign w:val="center"/>
          </w:tcPr>
          <w:p>
            <w:pPr>
              <w:jc w:val="left"/>
            </w:pPr>
            <w:r>
              <w:rPr>
                <w:rFonts w:hint="eastAsia" w:cs="宋体"/>
              </w:rPr>
              <w:t>提升容器罐耳与罐道间隙符合要求，磨损量不超标；提升容器之间及容器与井壁、罐道梁、井梁之间的最小安全间隙符合规定。</w:t>
            </w:r>
          </w:p>
        </w:tc>
        <w:tc>
          <w:tcPr>
            <w:tcW w:w="2308" w:type="dxa"/>
            <w:vAlign w:val="center"/>
          </w:tcPr>
          <w:p>
            <w:pPr>
              <w:jc w:val="left"/>
              <w:rPr>
                <w:rFonts w:ascii="宋体" w:hAnsi="宋体" w:cs="宋体"/>
              </w:rPr>
            </w:pPr>
            <w:r>
              <w:rPr>
                <w:rFonts w:hint="eastAsia" w:ascii="宋体" w:hAnsi="宋体" w:cs="宋体"/>
              </w:rPr>
              <w:t>《煤矿安全规程》第396、397条。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29</w:t>
            </w:r>
          </w:p>
        </w:tc>
        <w:tc>
          <w:tcPr>
            <w:tcW w:w="1185" w:type="dxa"/>
            <w:vMerge w:val="continue"/>
            <w:vAlign w:val="center"/>
          </w:tcPr>
          <w:p>
            <w:pPr>
              <w:jc w:val="left"/>
            </w:pPr>
          </w:p>
        </w:tc>
        <w:tc>
          <w:tcPr>
            <w:tcW w:w="5535" w:type="dxa"/>
            <w:vAlign w:val="center"/>
          </w:tcPr>
          <w:p>
            <w:pPr>
              <w:jc w:val="left"/>
            </w:pPr>
            <w:r>
              <w:rPr>
                <w:rFonts w:hint="eastAsia" w:cs="宋体"/>
              </w:rPr>
              <w:t>提升速度大于</w:t>
            </w:r>
            <w:r>
              <w:t>3m/s</w:t>
            </w:r>
            <w:r>
              <w:rPr>
                <w:rFonts w:hint="eastAsia" w:cs="宋体"/>
              </w:rPr>
              <w:t>的提升系统，设防撞梁和托罐装置。提升系统过卷和过放距离符合规定。过卷距离内设过卷缓冲装置和托罐装置，过放距离内设置过放缓冲装置。</w:t>
            </w:r>
          </w:p>
        </w:tc>
        <w:tc>
          <w:tcPr>
            <w:tcW w:w="2308" w:type="dxa"/>
            <w:vAlign w:val="center"/>
          </w:tcPr>
          <w:p>
            <w:pPr>
              <w:jc w:val="left"/>
              <w:rPr>
                <w:rFonts w:ascii="宋体" w:hAnsi="宋体" w:cs="宋体"/>
              </w:rPr>
            </w:pPr>
            <w:r>
              <w:rPr>
                <w:rFonts w:hint="eastAsia" w:ascii="宋体" w:hAnsi="宋体" w:cs="宋体"/>
              </w:rPr>
              <w:t>《煤矿安全规程》第406、407条，《煤炭工业矿井设计规范》第9.2.5条。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30</w:t>
            </w:r>
          </w:p>
        </w:tc>
        <w:tc>
          <w:tcPr>
            <w:tcW w:w="1185" w:type="dxa"/>
            <w:vMerge w:val="continue"/>
            <w:vAlign w:val="center"/>
          </w:tcPr>
          <w:p>
            <w:pPr>
              <w:jc w:val="left"/>
            </w:pPr>
          </w:p>
        </w:tc>
        <w:tc>
          <w:tcPr>
            <w:tcW w:w="5535" w:type="dxa"/>
            <w:vAlign w:val="center"/>
          </w:tcPr>
          <w:p>
            <w:pPr>
              <w:jc w:val="left"/>
            </w:pPr>
            <w:r>
              <w:rPr>
                <w:rFonts w:hint="eastAsia" w:cs="宋体"/>
              </w:rPr>
              <w:t>立井井口用栅栏或者金属网围住，进出口设置栅栏门。井筒与各水平的连接处设栅栏。立井井筒与各水平车场的连接处，设专用的人行道。罐笼提升的立井井口和井底、井筒与各水平的连接处，设置阻车器。</w:t>
            </w:r>
          </w:p>
        </w:tc>
        <w:tc>
          <w:tcPr>
            <w:tcW w:w="2308" w:type="dxa"/>
            <w:vAlign w:val="center"/>
          </w:tcPr>
          <w:p>
            <w:pPr>
              <w:jc w:val="left"/>
              <w:rPr>
                <w:rFonts w:ascii="宋体" w:hAnsi="宋体" w:cs="宋体"/>
              </w:rPr>
            </w:pPr>
            <w:r>
              <w:rPr>
                <w:rFonts w:hint="eastAsia" w:ascii="宋体" w:hAnsi="宋体" w:cs="宋体"/>
              </w:rPr>
              <w:t>《煤矿安全规程》第132条。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31</w:t>
            </w:r>
          </w:p>
        </w:tc>
        <w:tc>
          <w:tcPr>
            <w:tcW w:w="1185" w:type="dxa"/>
            <w:vMerge w:val="restart"/>
            <w:vAlign w:val="center"/>
          </w:tcPr>
          <w:p>
            <w:pPr>
              <w:jc w:val="left"/>
            </w:pPr>
            <w:r>
              <w:rPr>
                <w:rFonts w:hint="eastAsia" w:cs="宋体"/>
              </w:rPr>
              <w:t>提升信号</w:t>
            </w:r>
          </w:p>
        </w:tc>
        <w:tc>
          <w:tcPr>
            <w:tcW w:w="5535" w:type="dxa"/>
            <w:vAlign w:val="center"/>
          </w:tcPr>
          <w:p>
            <w:pPr>
              <w:jc w:val="left"/>
            </w:pPr>
            <w:r>
              <w:rPr>
                <w:rFonts w:hint="eastAsia" w:cs="宋体"/>
              </w:rPr>
              <w:t>装设由井底至井口再到提升机操控台的信号装置并与提升机控制回路闭锁，同时具有备用信号装置和直通电话。</w:t>
            </w:r>
          </w:p>
          <w:p>
            <w:pPr>
              <w:jc w:val="left"/>
            </w:pPr>
            <w:r>
              <w:rPr>
                <w:rFonts w:hint="eastAsia" w:cs="宋体"/>
              </w:rPr>
              <w:t>同一提升系统各水平信号必须有区别。</w:t>
            </w:r>
          </w:p>
        </w:tc>
        <w:tc>
          <w:tcPr>
            <w:tcW w:w="2308" w:type="dxa"/>
            <w:vAlign w:val="center"/>
          </w:tcPr>
          <w:p>
            <w:pPr>
              <w:jc w:val="left"/>
              <w:rPr>
                <w:rFonts w:ascii="宋体" w:hAnsi="宋体" w:cs="宋体"/>
              </w:rPr>
            </w:pPr>
            <w:r>
              <w:rPr>
                <w:rFonts w:hint="eastAsia" w:ascii="宋体" w:hAnsi="宋体" w:cs="宋体"/>
              </w:rPr>
              <w:t>《煤矿安全规程》第403条。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32</w:t>
            </w:r>
          </w:p>
        </w:tc>
        <w:tc>
          <w:tcPr>
            <w:tcW w:w="1185" w:type="dxa"/>
            <w:vMerge w:val="continue"/>
            <w:vAlign w:val="center"/>
          </w:tcPr>
          <w:p>
            <w:pPr>
              <w:jc w:val="left"/>
            </w:pPr>
          </w:p>
        </w:tc>
        <w:tc>
          <w:tcPr>
            <w:tcW w:w="5535" w:type="dxa"/>
            <w:vAlign w:val="center"/>
          </w:tcPr>
          <w:p>
            <w:pPr>
              <w:jc w:val="left"/>
            </w:pPr>
            <w:r>
              <w:rPr>
                <w:rFonts w:hint="eastAsia" w:cs="宋体"/>
              </w:rPr>
              <w:t>提升信号系统有保证信号按照规定顺序发送的闭锁装置。</w:t>
            </w:r>
          </w:p>
        </w:tc>
        <w:tc>
          <w:tcPr>
            <w:tcW w:w="2308" w:type="dxa"/>
            <w:vAlign w:val="center"/>
          </w:tcPr>
          <w:p>
            <w:pPr>
              <w:jc w:val="left"/>
              <w:rPr>
                <w:rFonts w:ascii="宋体" w:hAnsi="宋体" w:cs="宋体"/>
              </w:rPr>
            </w:pPr>
            <w:r>
              <w:rPr>
                <w:rFonts w:hint="eastAsia" w:ascii="宋体" w:hAnsi="宋体" w:cs="宋体"/>
              </w:rPr>
              <w:t>《煤矿安全规程》第404、405条。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33</w:t>
            </w:r>
          </w:p>
        </w:tc>
        <w:tc>
          <w:tcPr>
            <w:tcW w:w="1185" w:type="dxa"/>
            <w:vMerge w:val="restart"/>
            <w:vAlign w:val="center"/>
          </w:tcPr>
          <w:p>
            <w:pPr>
              <w:jc w:val="left"/>
            </w:pPr>
            <w:r>
              <w:rPr>
                <w:rFonts w:hint="eastAsia" w:cs="宋体"/>
              </w:rPr>
              <w:t>提升装置</w:t>
            </w:r>
          </w:p>
        </w:tc>
        <w:tc>
          <w:tcPr>
            <w:tcW w:w="5535" w:type="dxa"/>
            <w:vAlign w:val="center"/>
          </w:tcPr>
          <w:p>
            <w:pPr>
              <w:jc w:val="left"/>
            </w:pPr>
            <w:r>
              <w:rPr>
                <w:rFonts w:hint="eastAsia" w:cs="宋体"/>
              </w:rPr>
              <w:t>提升系统的最大提升速度及加、减速度符合规定和设计要求。</w:t>
            </w:r>
          </w:p>
        </w:tc>
        <w:tc>
          <w:tcPr>
            <w:tcW w:w="2308" w:type="dxa"/>
            <w:vAlign w:val="center"/>
          </w:tcPr>
          <w:p>
            <w:pPr>
              <w:jc w:val="left"/>
              <w:rPr>
                <w:rFonts w:ascii="宋体" w:hAnsi="宋体" w:cs="宋体"/>
              </w:rPr>
            </w:pPr>
            <w:r>
              <w:rPr>
                <w:rFonts w:hint="eastAsia" w:ascii="宋体" w:hAnsi="宋体" w:cs="宋体"/>
              </w:rPr>
              <w:t>《煤矿安全规程》第422条。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34</w:t>
            </w:r>
          </w:p>
        </w:tc>
        <w:tc>
          <w:tcPr>
            <w:tcW w:w="1185" w:type="dxa"/>
            <w:vMerge w:val="continue"/>
            <w:vAlign w:val="center"/>
          </w:tcPr>
          <w:p>
            <w:pPr>
              <w:jc w:val="left"/>
            </w:pPr>
          </w:p>
        </w:tc>
        <w:tc>
          <w:tcPr>
            <w:tcW w:w="5535" w:type="dxa"/>
            <w:vAlign w:val="center"/>
          </w:tcPr>
          <w:p>
            <w:pPr>
              <w:jc w:val="left"/>
            </w:pPr>
            <w:r>
              <w:rPr>
                <w:rFonts w:hint="eastAsia" w:cs="宋体"/>
              </w:rPr>
              <w:t>提升装置必须按装设过卷过放保护、超速保护、限速保护、过负荷欠电压保护、闸间隙保护、减速功能保护、错向保护、缠绕提升机松绳保护、箕斗提升机满仓保护，其中过卷、超速、限速和减速功能保护应当设置为相互独立的双线形式。</w:t>
            </w:r>
          </w:p>
          <w:p>
            <w:pPr>
              <w:jc w:val="left"/>
            </w:pPr>
            <w:r>
              <w:rPr>
                <w:rFonts w:hint="eastAsia" w:cs="宋体"/>
              </w:rPr>
              <w:t>缠绕提升机应加装定车装置。</w:t>
            </w:r>
          </w:p>
        </w:tc>
        <w:tc>
          <w:tcPr>
            <w:tcW w:w="2308" w:type="dxa"/>
            <w:vAlign w:val="center"/>
          </w:tcPr>
          <w:p>
            <w:pPr>
              <w:jc w:val="left"/>
              <w:rPr>
                <w:rFonts w:ascii="宋体" w:hAnsi="宋体" w:cs="宋体"/>
              </w:rPr>
            </w:pPr>
            <w:r>
              <w:rPr>
                <w:rFonts w:hint="eastAsia" w:ascii="宋体" w:hAnsi="宋体" w:cs="宋体"/>
              </w:rPr>
              <w:t>《煤矿安全规程》第423条，《煤矿重大生产安全事故隐患判定标准》第18条。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35</w:t>
            </w:r>
          </w:p>
        </w:tc>
        <w:tc>
          <w:tcPr>
            <w:tcW w:w="1185" w:type="dxa"/>
            <w:vMerge w:val="continue"/>
            <w:vAlign w:val="center"/>
          </w:tcPr>
          <w:p>
            <w:pPr>
              <w:jc w:val="left"/>
            </w:pPr>
          </w:p>
        </w:tc>
        <w:tc>
          <w:tcPr>
            <w:tcW w:w="5535" w:type="dxa"/>
            <w:vAlign w:val="center"/>
          </w:tcPr>
          <w:p>
            <w:pPr>
              <w:jc w:val="left"/>
            </w:pPr>
            <w:r>
              <w:rPr>
                <w:rFonts w:hint="eastAsia" w:cs="宋体"/>
              </w:rPr>
              <w:t>提升机装设可靠的提升容器位置指示器、减速声光示警装置，设置机械制动和电气制动装置。</w:t>
            </w:r>
          </w:p>
        </w:tc>
        <w:tc>
          <w:tcPr>
            <w:tcW w:w="2308" w:type="dxa"/>
            <w:vAlign w:val="center"/>
          </w:tcPr>
          <w:p>
            <w:pPr>
              <w:jc w:val="left"/>
              <w:rPr>
                <w:rFonts w:ascii="宋体" w:hAnsi="宋体" w:cs="宋体"/>
              </w:rPr>
            </w:pPr>
            <w:r>
              <w:rPr>
                <w:rFonts w:hint="eastAsia" w:ascii="宋体" w:hAnsi="宋体" w:cs="宋体"/>
              </w:rPr>
              <w:t>《煤矿安全规程》第424条。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36</w:t>
            </w:r>
          </w:p>
        </w:tc>
        <w:tc>
          <w:tcPr>
            <w:tcW w:w="1185" w:type="dxa"/>
            <w:vMerge w:val="continue"/>
            <w:vAlign w:val="center"/>
          </w:tcPr>
          <w:p>
            <w:pPr>
              <w:jc w:val="left"/>
            </w:pPr>
          </w:p>
        </w:tc>
        <w:tc>
          <w:tcPr>
            <w:tcW w:w="5535" w:type="dxa"/>
            <w:vAlign w:val="center"/>
          </w:tcPr>
          <w:p>
            <w:pPr>
              <w:jc w:val="left"/>
            </w:pPr>
            <w:r>
              <w:rPr>
                <w:rFonts w:hint="eastAsia" w:cs="宋体"/>
              </w:rPr>
              <w:t>专门升降人员及混合提升的系统每年进行</w:t>
            </w:r>
            <w:r>
              <w:t>1</w:t>
            </w:r>
            <w:r>
              <w:rPr>
                <w:rFonts w:hint="eastAsia" w:cs="宋体"/>
              </w:rPr>
              <w:t>次性能检测，其他提升系统每</w:t>
            </w:r>
            <w:r>
              <w:t>3</w:t>
            </w:r>
            <w:r>
              <w:rPr>
                <w:rFonts w:hint="eastAsia" w:cs="宋体"/>
              </w:rPr>
              <w:t>年进行</w:t>
            </w:r>
            <w:r>
              <w:t>1</w:t>
            </w:r>
            <w:r>
              <w:rPr>
                <w:rFonts w:hint="eastAsia" w:cs="宋体"/>
              </w:rPr>
              <w:t>次性能检测。</w:t>
            </w:r>
          </w:p>
        </w:tc>
        <w:tc>
          <w:tcPr>
            <w:tcW w:w="2308" w:type="dxa"/>
            <w:vAlign w:val="center"/>
          </w:tcPr>
          <w:p>
            <w:pPr>
              <w:jc w:val="left"/>
              <w:rPr>
                <w:rFonts w:ascii="宋体" w:hAnsi="宋体" w:cs="宋体"/>
              </w:rPr>
            </w:pPr>
            <w:r>
              <w:rPr>
                <w:rFonts w:hint="eastAsia" w:ascii="宋体" w:hAnsi="宋体" w:cs="宋体"/>
              </w:rPr>
              <w:t>《煤矿安全规程》第429条。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37</w:t>
            </w:r>
          </w:p>
        </w:tc>
        <w:tc>
          <w:tcPr>
            <w:tcW w:w="1185" w:type="dxa"/>
            <w:vMerge w:val="restart"/>
            <w:vAlign w:val="center"/>
          </w:tcPr>
          <w:p>
            <w:pPr>
              <w:jc w:val="left"/>
            </w:pPr>
            <w:r>
              <w:rPr>
                <w:rFonts w:hint="eastAsia" w:cs="宋体"/>
              </w:rPr>
              <w:t>钢丝绳及连接装置</w:t>
            </w:r>
          </w:p>
        </w:tc>
        <w:tc>
          <w:tcPr>
            <w:tcW w:w="5535" w:type="dxa"/>
            <w:vAlign w:val="center"/>
          </w:tcPr>
          <w:p>
            <w:pPr>
              <w:jc w:val="left"/>
            </w:pPr>
            <w:r>
              <w:rPr>
                <w:rFonts w:hint="eastAsia" w:cs="宋体"/>
              </w:rPr>
              <w:t>各类钢丝绳的安全系数、韧性指标等符合规定和设计要求；</w:t>
            </w:r>
          </w:p>
        </w:tc>
        <w:tc>
          <w:tcPr>
            <w:tcW w:w="2308" w:type="dxa"/>
            <w:vAlign w:val="center"/>
          </w:tcPr>
          <w:p>
            <w:pPr>
              <w:jc w:val="left"/>
              <w:rPr>
                <w:rFonts w:ascii="宋体" w:hAnsi="宋体" w:cs="宋体"/>
              </w:rPr>
            </w:pPr>
            <w:r>
              <w:rPr>
                <w:rFonts w:hint="eastAsia" w:ascii="宋体" w:hAnsi="宋体" w:cs="宋体"/>
              </w:rPr>
              <w:t>《煤矿安全规程》第408、409条。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38</w:t>
            </w:r>
          </w:p>
        </w:tc>
        <w:tc>
          <w:tcPr>
            <w:tcW w:w="1185" w:type="dxa"/>
            <w:vMerge w:val="continue"/>
            <w:vAlign w:val="center"/>
          </w:tcPr>
          <w:p>
            <w:pPr>
              <w:jc w:val="left"/>
            </w:pPr>
          </w:p>
        </w:tc>
        <w:tc>
          <w:tcPr>
            <w:tcW w:w="5535" w:type="dxa"/>
            <w:vAlign w:val="center"/>
          </w:tcPr>
          <w:p>
            <w:pPr>
              <w:jc w:val="left"/>
            </w:pPr>
            <w:r>
              <w:rPr>
                <w:rFonts w:hint="eastAsia" w:cs="宋体"/>
              </w:rPr>
              <w:t>新钢丝绳及到货超过一年的钢丝绳使用前应进行性能检验；在用钢丝绳按规定周期进行检验；提升钢丝绳日检和其他钢丝绳周检结果应做好记录。</w:t>
            </w:r>
          </w:p>
        </w:tc>
        <w:tc>
          <w:tcPr>
            <w:tcW w:w="2308" w:type="dxa"/>
            <w:vAlign w:val="center"/>
          </w:tcPr>
          <w:p>
            <w:pPr>
              <w:jc w:val="left"/>
              <w:rPr>
                <w:rFonts w:ascii="宋体" w:hAnsi="宋体" w:cs="宋体"/>
              </w:rPr>
            </w:pPr>
            <w:r>
              <w:rPr>
                <w:rFonts w:hint="eastAsia" w:ascii="宋体" w:hAnsi="宋体" w:cs="宋体"/>
              </w:rPr>
              <w:t>《煤矿安全规程》第410、411条。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39</w:t>
            </w:r>
          </w:p>
        </w:tc>
        <w:tc>
          <w:tcPr>
            <w:tcW w:w="1185" w:type="dxa"/>
            <w:vMerge w:val="continue"/>
            <w:vAlign w:val="center"/>
          </w:tcPr>
          <w:p>
            <w:pPr>
              <w:jc w:val="left"/>
            </w:pPr>
          </w:p>
        </w:tc>
        <w:tc>
          <w:tcPr>
            <w:tcW w:w="5535" w:type="dxa"/>
            <w:vAlign w:val="center"/>
          </w:tcPr>
          <w:p>
            <w:pPr>
              <w:jc w:val="left"/>
            </w:pPr>
            <w:r>
              <w:rPr>
                <w:rFonts w:hint="eastAsia" w:cs="宋体"/>
              </w:rPr>
              <w:t>钢丝绳应按照规定的使用周期和报废标准及时更换。</w:t>
            </w:r>
          </w:p>
          <w:p>
            <w:pPr>
              <w:jc w:val="left"/>
            </w:pPr>
            <w:r>
              <w:rPr>
                <w:rFonts w:hint="eastAsia" w:cs="宋体"/>
              </w:rPr>
              <w:t>钢丝绳的接头或插接方式及使用范围应符合规定。</w:t>
            </w:r>
          </w:p>
        </w:tc>
        <w:tc>
          <w:tcPr>
            <w:tcW w:w="2308" w:type="dxa"/>
            <w:vAlign w:val="center"/>
          </w:tcPr>
          <w:p>
            <w:pPr>
              <w:jc w:val="left"/>
              <w:rPr>
                <w:rFonts w:ascii="宋体" w:hAnsi="宋体" w:cs="宋体"/>
              </w:rPr>
            </w:pPr>
            <w:r>
              <w:rPr>
                <w:rFonts w:hint="eastAsia" w:ascii="宋体" w:hAnsi="宋体" w:cs="宋体"/>
              </w:rPr>
              <w:t>《煤矿安全规程》第412、413、414条。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40</w:t>
            </w:r>
          </w:p>
        </w:tc>
        <w:tc>
          <w:tcPr>
            <w:tcW w:w="1185" w:type="dxa"/>
            <w:vMerge w:val="continue"/>
            <w:vAlign w:val="center"/>
          </w:tcPr>
          <w:p>
            <w:pPr>
              <w:jc w:val="left"/>
            </w:pPr>
          </w:p>
        </w:tc>
        <w:tc>
          <w:tcPr>
            <w:tcW w:w="5535" w:type="dxa"/>
            <w:vAlign w:val="center"/>
          </w:tcPr>
          <w:p>
            <w:pPr>
              <w:jc w:val="left"/>
            </w:pPr>
            <w:r>
              <w:rPr>
                <w:rFonts w:hint="eastAsia" w:cs="宋体"/>
              </w:rPr>
              <w:t>新安装和大修后的防坠器必须经脱钩试验合格方可使用；</w:t>
            </w:r>
          </w:p>
          <w:p>
            <w:pPr>
              <w:jc w:val="left"/>
            </w:pPr>
            <w:r>
              <w:rPr>
                <w:rFonts w:hint="eastAsia" w:cs="宋体"/>
              </w:rPr>
              <w:t>立井罐笼防坠器每</w:t>
            </w:r>
            <w:r>
              <w:t>6</w:t>
            </w:r>
            <w:r>
              <w:rPr>
                <w:rFonts w:hint="eastAsia" w:cs="宋体"/>
              </w:rPr>
              <w:t>个月进行一次不脱钩试验，每年进行一次脱钩试验；</w:t>
            </w:r>
          </w:p>
          <w:p>
            <w:pPr>
              <w:jc w:val="left"/>
            </w:pPr>
          </w:p>
        </w:tc>
        <w:tc>
          <w:tcPr>
            <w:tcW w:w="2308" w:type="dxa"/>
            <w:vAlign w:val="center"/>
          </w:tcPr>
          <w:p>
            <w:pPr>
              <w:jc w:val="left"/>
              <w:rPr>
                <w:rFonts w:ascii="宋体" w:hAnsi="宋体" w:cs="宋体"/>
              </w:rPr>
            </w:pPr>
            <w:r>
              <w:rPr>
                <w:rFonts w:hint="eastAsia" w:ascii="宋体" w:hAnsi="宋体" w:cs="宋体"/>
              </w:rPr>
              <w:t>《煤矿安全规程》第415条，《煤矿重大生产安全事故隐患判定标准》第18条。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41</w:t>
            </w:r>
          </w:p>
        </w:tc>
        <w:tc>
          <w:tcPr>
            <w:tcW w:w="1185" w:type="dxa"/>
            <w:vMerge w:val="continue"/>
            <w:vAlign w:val="center"/>
          </w:tcPr>
          <w:p>
            <w:pPr>
              <w:jc w:val="left"/>
            </w:pPr>
          </w:p>
        </w:tc>
        <w:tc>
          <w:tcPr>
            <w:tcW w:w="5535" w:type="dxa"/>
            <w:vAlign w:val="center"/>
          </w:tcPr>
          <w:p>
            <w:pPr>
              <w:jc w:val="left"/>
            </w:pPr>
            <w:r>
              <w:rPr>
                <w:rFonts w:hint="eastAsia" w:cs="宋体"/>
              </w:rPr>
              <w:t>立井和斜井使用的各类连接装置的性能指标、使用前及使用中的检验周期和检验方式符合规定。</w:t>
            </w:r>
          </w:p>
        </w:tc>
        <w:tc>
          <w:tcPr>
            <w:tcW w:w="2308" w:type="dxa"/>
            <w:vAlign w:val="center"/>
          </w:tcPr>
          <w:p>
            <w:pPr>
              <w:jc w:val="left"/>
              <w:rPr>
                <w:rFonts w:ascii="宋体" w:hAnsi="宋体" w:cs="宋体"/>
              </w:rPr>
            </w:pPr>
            <w:r>
              <w:rPr>
                <w:rFonts w:hint="eastAsia" w:ascii="宋体" w:hAnsi="宋体" w:cs="宋体"/>
              </w:rPr>
              <w:t>《煤矿安全规程》第416条。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rPr>
            </w:pPr>
            <w:r>
              <w:rPr>
                <w:rFonts w:asciiTheme="minorEastAsia" w:hAnsiTheme="minorEastAsia"/>
              </w:rPr>
              <w:t>42</w:t>
            </w:r>
          </w:p>
        </w:tc>
        <w:tc>
          <w:tcPr>
            <w:tcW w:w="1185" w:type="dxa"/>
            <w:vAlign w:val="center"/>
          </w:tcPr>
          <w:p>
            <w:pPr>
              <w:jc w:val="left"/>
            </w:pPr>
            <w:r>
              <w:rPr>
                <w:rFonts w:hint="eastAsia" w:cs="宋体"/>
              </w:rPr>
              <w:t>提升安全管理</w:t>
            </w:r>
          </w:p>
        </w:tc>
        <w:tc>
          <w:tcPr>
            <w:tcW w:w="5535" w:type="dxa"/>
            <w:vAlign w:val="center"/>
          </w:tcPr>
          <w:p>
            <w:pPr>
              <w:jc w:val="left"/>
              <w:rPr>
                <w:spacing w:val="-6"/>
              </w:rPr>
            </w:pPr>
            <w:r>
              <w:rPr>
                <w:rFonts w:hint="eastAsia" w:cs="宋体"/>
                <w:spacing w:val="-6"/>
              </w:rPr>
              <w:t>主要提升装置应配备正副司机，升降人员时必须有监护司机。</w:t>
            </w:r>
          </w:p>
          <w:p>
            <w:pPr>
              <w:jc w:val="left"/>
              <w:rPr>
                <w:spacing w:val="-6"/>
              </w:rPr>
            </w:pPr>
            <w:r>
              <w:rPr>
                <w:rFonts w:hint="eastAsia" w:cs="宋体"/>
                <w:spacing w:val="-6"/>
              </w:rPr>
              <w:t>提升系统应当具有完备的技术资料：提升机说明书、总装图、制动装置结构图和制动系统图、电气系统图、系统检查记录簿、钢丝绳检验更换记录簿、安全保护试验记录簿、故障记录簿、司机交接班记录簿、操作规程、岗位责任制和设备完好标准。</w:t>
            </w:r>
          </w:p>
          <w:p>
            <w:pPr>
              <w:jc w:val="left"/>
            </w:pPr>
            <w:r>
              <w:rPr>
                <w:rFonts w:hint="eastAsia" w:cs="宋体"/>
              </w:rPr>
              <w:t>现场应悬挂制动系统图、电气系统图、提升装置技术特征及岗位责任制。</w:t>
            </w:r>
          </w:p>
        </w:tc>
        <w:tc>
          <w:tcPr>
            <w:tcW w:w="2308" w:type="dxa"/>
            <w:vAlign w:val="center"/>
          </w:tcPr>
          <w:p>
            <w:pPr>
              <w:jc w:val="left"/>
              <w:rPr>
                <w:rFonts w:ascii="宋体" w:hAnsi="宋体" w:cs="宋体"/>
              </w:rPr>
            </w:pPr>
            <w:r>
              <w:rPr>
                <w:rFonts w:hint="eastAsia" w:ascii="宋体" w:hAnsi="宋体" w:cs="宋体"/>
              </w:rPr>
              <w:t>《煤矿安全规程》第428、430条。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66" w:type="dxa"/>
            <w:gridSpan w:val="7"/>
            <w:vAlign w:val="center"/>
          </w:tcPr>
          <w:p>
            <w:pPr>
              <w:jc w:val="left"/>
              <w:rPr>
                <w:rFonts w:ascii="黑体" w:hAnsi="黑体" w:eastAsia="黑体" w:cs="黑体"/>
              </w:rPr>
            </w:pPr>
            <w:r>
              <w:rPr>
                <w:rFonts w:hint="eastAsia" w:ascii="黑体" w:hAnsi="黑体" w:eastAsia="黑体" w:cs="黑体"/>
              </w:rPr>
              <w:t>（四）压风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spacing w:val="-2"/>
              </w:rPr>
            </w:pPr>
            <w:r>
              <w:rPr>
                <w:rFonts w:asciiTheme="minorEastAsia" w:hAnsiTheme="minorEastAsia"/>
                <w:spacing w:val="-2"/>
              </w:rPr>
              <w:t>4</w:t>
            </w:r>
            <w:r>
              <w:rPr>
                <w:rFonts w:hint="eastAsia" w:asciiTheme="minorEastAsia" w:hAnsiTheme="minorEastAsia"/>
                <w:spacing w:val="-2"/>
              </w:rPr>
              <w:t>3</w:t>
            </w:r>
          </w:p>
        </w:tc>
        <w:tc>
          <w:tcPr>
            <w:tcW w:w="1185" w:type="dxa"/>
            <w:vAlign w:val="center"/>
          </w:tcPr>
          <w:p>
            <w:pPr>
              <w:jc w:val="left"/>
            </w:pPr>
          </w:p>
          <w:p>
            <w:pPr>
              <w:jc w:val="left"/>
            </w:pPr>
            <w:r>
              <w:rPr>
                <w:rFonts w:hint="eastAsia" w:cs="宋体"/>
              </w:rPr>
              <w:t>储气罐</w:t>
            </w:r>
          </w:p>
          <w:p>
            <w:pPr>
              <w:jc w:val="left"/>
            </w:pPr>
          </w:p>
        </w:tc>
        <w:tc>
          <w:tcPr>
            <w:tcW w:w="5535" w:type="dxa"/>
            <w:vAlign w:val="center"/>
          </w:tcPr>
          <w:p>
            <w:pPr>
              <w:jc w:val="left"/>
            </w:pPr>
            <w:r>
              <w:rPr>
                <w:rFonts w:hint="eastAsia" w:cs="宋体"/>
                <w:spacing w:val="-2"/>
              </w:rPr>
              <w:t>空气压缩机站储气罐使用前应按规定做水压试验并安装释压阀；布置在室外的压缩空气站储气罐应避免阳光直晒，空压机吸气口与翻车机房、装车仓、受煤坑、储煤场等粉尘源的距离不小于</w:t>
            </w:r>
            <w:r>
              <w:rPr>
                <w:spacing w:val="-2"/>
              </w:rPr>
              <w:t>30m</w:t>
            </w:r>
            <w:r>
              <w:rPr>
                <w:rFonts w:hint="eastAsia" w:cs="宋体"/>
                <w:spacing w:val="-2"/>
              </w:rPr>
              <w:t>，在不利风向位置时，不小于</w:t>
            </w:r>
            <w:r>
              <w:rPr>
                <w:spacing w:val="-2"/>
              </w:rPr>
              <w:t>50m</w:t>
            </w:r>
            <w:r>
              <w:rPr>
                <w:rFonts w:hint="eastAsia" w:cs="宋体"/>
                <w:spacing w:val="-2"/>
              </w:rPr>
              <w:t>。</w:t>
            </w:r>
          </w:p>
        </w:tc>
        <w:tc>
          <w:tcPr>
            <w:tcW w:w="2308" w:type="dxa"/>
            <w:vAlign w:val="center"/>
          </w:tcPr>
          <w:p>
            <w:pPr>
              <w:jc w:val="left"/>
              <w:rPr>
                <w:rFonts w:ascii="宋体" w:hAnsi="宋体" w:cs="宋体"/>
                <w:spacing w:val="-2"/>
              </w:rPr>
            </w:pPr>
            <w:r>
              <w:rPr>
                <w:rFonts w:hint="eastAsia" w:ascii="宋体" w:hAnsi="宋体" w:cs="宋体"/>
                <w:spacing w:val="-2"/>
              </w:rPr>
              <w:t>《煤矿安全规程》第433条。</w:t>
            </w:r>
          </w:p>
          <w:p>
            <w:pPr>
              <w:jc w:val="left"/>
              <w:rPr>
                <w:rFonts w:ascii="宋体" w:hAnsi="宋体" w:cs="宋体"/>
              </w:rPr>
            </w:pPr>
            <w:r>
              <w:rPr>
                <w:rFonts w:hint="eastAsia" w:ascii="宋体" w:hAnsi="宋体" w:cs="宋体"/>
                <w:spacing w:val="-2"/>
              </w:rPr>
              <w:t>《煤炭工业矿井设计规范》第10.2.10条。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spacing w:val="-2"/>
              </w:rPr>
            </w:pPr>
            <w:r>
              <w:rPr>
                <w:rFonts w:asciiTheme="minorEastAsia" w:hAnsiTheme="minorEastAsia"/>
                <w:spacing w:val="-2"/>
              </w:rPr>
              <w:t>4</w:t>
            </w:r>
            <w:r>
              <w:rPr>
                <w:rFonts w:hint="eastAsia" w:asciiTheme="minorEastAsia" w:hAnsiTheme="minorEastAsia"/>
                <w:spacing w:val="-2"/>
              </w:rPr>
              <w:t>4</w:t>
            </w:r>
          </w:p>
        </w:tc>
        <w:tc>
          <w:tcPr>
            <w:tcW w:w="1185" w:type="dxa"/>
            <w:vMerge w:val="restart"/>
            <w:vAlign w:val="center"/>
          </w:tcPr>
          <w:p>
            <w:pPr>
              <w:jc w:val="left"/>
            </w:pPr>
            <w:r>
              <w:rPr>
                <w:rFonts w:hint="eastAsia" w:cs="宋体"/>
              </w:rPr>
              <w:t>空压机保护</w:t>
            </w:r>
          </w:p>
        </w:tc>
        <w:tc>
          <w:tcPr>
            <w:tcW w:w="5535" w:type="dxa"/>
            <w:vAlign w:val="center"/>
          </w:tcPr>
          <w:p>
            <w:pPr>
              <w:jc w:val="left"/>
              <w:rPr>
                <w:spacing w:val="-2"/>
              </w:rPr>
            </w:pPr>
            <w:r>
              <w:rPr>
                <w:rFonts w:hint="eastAsia" w:cs="宋体"/>
                <w:spacing w:val="-2"/>
              </w:rPr>
              <w:t>空气压缩机站设备设有压力表和安全阀。使用油润滑的空气压缩机装设断油保护装置或断油信号显示装置。水冷式空气压缩机装设断水保护装置或断水信号显示装置。</w:t>
            </w:r>
          </w:p>
        </w:tc>
        <w:tc>
          <w:tcPr>
            <w:tcW w:w="2308" w:type="dxa"/>
            <w:vAlign w:val="center"/>
          </w:tcPr>
          <w:p>
            <w:pPr>
              <w:jc w:val="left"/>
              <w:rPr>
                <w:rFonts w:ascii="宋体" w:hAnsi="宋体" w:cs="宋体"/>
                <w:spacing w:val="-2"/>
              </w:rPr>
            </w:pPr>
            <w:r>
              <w:rPr>
                <w:rFonts w:hint="eastAsia" w:ascii="宋体" w:hAnsi="宋体" w:cs="宋体"/>
                <w:spacing w:val="-2"/>
              </w:rPr>
              <w:t>《煤矿安全规程》第432条。</w:t>
            </w:r>
          </w:p>
        </w:tc>
        <w:tc>
          <w:tcPr>
            <w:tcW w:w="1336" w:type="dxa"/>
            <w:vAlign w:val="center"/>
          </w:tcPr>
          <w:p/>
        </w:tc>
        <w:tc>
          <w:tcPr>
            <w:tcW w:w="1399" w:type="dxa"/>
          </w:tcPr>
          <w:p/>
        </w:tc>
        <w:tc>
          <w:tcPr>
            <w:tcW w:w="125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jc w:val="center"/>
              <w:rPr>
                <w:rFonts w:asciiTheme="minorEastAsia" w:hAnsiTheme="minorEastAsia"/>
                <w:spacing w:val="-2"/>
              </w:rPr>
            </w:pPr>
            <w:r>
              <w:rPr>
                <w:rFonts w:asciiTheme="minorEastAsia" w:hAnsiTheme="minorEastAsia"/>
                <w:spacing w:val="-2"/>
              </w:rPr>
              <w:t>4</w:t>
            </w:r>
            <w:r>
              <w:rPr>
                <w:rFonts w:hint="eastAsia" w:asciiTheme="minorEastAsia" w:hAnsiTheme="minorEastAsia"/>
                <w:spacing w:val="-2"/>
              </w:rPr>
              <w:t>5</w:t>
            </w:r>
          </w:p>
        </w:tc>
        <w:tc>
          <w:tcPr>
            <w:tcW w:w="1185" w:type="dxa"/>
            <w:vMerge w:val="continue"/>
            <w:vAlign w:val="center"/>
          </w:tcPr>
          <w:p>
            <w:pPr>
              <w:jc w:val="left"/>
              <w:rPr>
                <w:spacing w:val="-2"/>
              </w:rPr>
            </w:pPr>
          </w:p>
        </w:tc>
        <w:tc>
          <w:tcPr>
            <w:tcW w:w="5535" w:type="dxa"/>
            <w:vAlign w:val="center"/>
          </w:tcPr>
          <w:p>
            <w:pPr>
              <w:adjustRightInd w:val="0"/>
              <w:snapToGrid w:val="0"/>
              <w:jc w:val="left"/>
              <w:rPr>
                <w:spacing w:val="-2"/>
              </w:rPr>
            </w:pPr>
            <w:r>
              <w:rPr>
                <w:rFonts w:hint="eastAsia" w:cs="宋体"/>
                <w:spacing w:val="-2"/>
              </w:rPr>
              <w:t>空气压缩设备必须装设温度保护装置，在超温时能自动切断电源并报警。</w:t>
            </w:r>
          </w:p>
          <w:p>
            <w:pPr>
              <w:adjustRightInd w:val="0"/>
              <w:snapToGrid w:val="0"/>
              <w:jc w:val="left"/>
              <w:rPr>
                <w:spacing w:val="-2"/>
              </w:rPr>
            </w:pPr>
            <w:r>
              <w:rPr>
                <w:rFonts w:hint="eastAsia" w:cs="宋体"/>
                <w:spacing w:val="-2"/>
              </w:rPr>
              <w:t>储气罐装有超温保护装置，在超温时能自动切断电源并报警。</w:t>
            </w:r>
          </w:p>
        </w:tc>
        <w:tc>
          <w:tcPr>
            <w:tcW w:w="2308" w:type="dxa"/>
            <w:vAlign w:val="center"/>
          </w:tcPr>
          <w:p>
            <w:pPr>
              <w:jc w:val="left"/>
              <w:rPr>
                <w:rFonts w:ascii="宋体" w:hAnsi="宋体" w:cs="宋体"/>
                <w:spacing w:val="-2"/>
              </w:rPr>
            </w:pPr>
            <w:r>
              <w:rPr>
                <w:rFonts w:hint="eastAsia" w:ascii="宋体" w:hAnsi="宋体" w:cs="宋体"/>
                <w:spacing w:val="-2"/>
              </w:rPr>
              <w:t>《煤矿安全规程》第434条。</w:t>
            </w:r>
          </w:p>
        </w:tc>
        <w:tc>
          <w:tcPr>
            <w:tcW w:w="1336" w:type="dxa"/>
            <w:vAlign w:val="center"/>
          </w:tcPr>
          <w:p/>
        </w:tc>
        <w:tc>
          <w:tcPr>
            <w:tcW w:w="1399" w:type="dxa"/>
          </w:tcPr>
          <w:p/>
        </w:tc>
        <w:tc>
          <w:tcPr>
            <w:tcW w:w="1250" w:type="dxa"/>
          </w:tcPr>
          <w:p/>
        </w:tc>
      </w:tr>
    </w:tbl>
    <w:p>
      <w:r>
        <w:rPr>
          <w:rFonts w:hint="eastAsia" w:ascii="黑体" w:hAnsi="黑体" w:eastAsia="黑体" w:cs="黑体"/>
          <w:sz w:val="28"/>
          <w:szCs w:val="28"/>
          <w:lang w:val="en-US" w:eastAsia="zh-CN"/>
        </w:rPr>
        <w:t>八</w:t>
      </w:r>
      <w:r>
        <w:rPr>
          <w:rFonts w:hint="eastAsia" w:ascii="黑体" w:hAnsi="黑体" w:eastAsia="黑体" w:cs="黑体"/>
          <w:sz w:val="28"/>
          <w:szCs w:val="28"/>
        </w:rPr>
        <w:t>、停工停产矿井单元（</w:t>
      </w:r>
      <w:r>
        <w:rPr>
          <w:rFonts w:ascii="黑体" w:hAnsi="黑体" w:eastAsia="黑体" w:cs="黑体"/>
          <w:sz w:val="28"/>
          <w:szCs w:val="28"/>
        </w:rPr>
        <w:t>7）</w:t>
      </w:r>
    </w:p>
    <w:tbl>
      <w:tblPr>
        <w:tblStyle w:val="23"/>
        <w:tblW w:w="13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207"/>
        <w:gridCol w:w="5600"/>
        <w:gridCol w:w="2328"/>
        <w:gridCol w:w="1316"/>
        <w:gridCol w:w="144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Align w:val="center"/>
          </w:tcPr>
          <w:p>
            <w:pPr>
              <w:jc w:val="center"/>
              <w:rPr>
                <w:rFonts w:ascii="黑体" w:hAnsi="黑体" w:eastAsia="黑体" w:cs="宋体"/>
                <w:bCs/>
              </w:rPr>
            </w:pPr>
            <w:r>
              <w:rPr>
                <w:rFonts w:hint="eastAsia" w:ascii="黑体" w:hAnsi="黑体" w:eastAsia="黑体" w:cs="宋体"/>
                <w:bCs/>
                <w:kern w:val="0"/>
              </w:rPr>
              <w:t>序号</w:t>
            </w:r>
          </w:p>
        </w:tc>
        <w:tc>
          <w:tcPr>
            <w:tcW w:w="1207" w:type="dxa"/>
            <w:vAlign w:val="center"/>
          </w:tcPr>
          <w:p>
            <w:pPr>
              <w:jc w:val="center"/>
              <w:rPr>
                <w:rFonts w:ascii="黑体" w:hAnsi="黑体" w:eastAsia="黑体" w:cs="宋体"/>
                <w:bCs/>
              </w:rPr>
            </w:pPr>
            <w:r>
              <w:rPr>
                <w:rFonts w:hint="eastAsia" w:ascii="黑体" w:hAnsi="黑体" w:eastAsia="黑体" w:cs="宋体"/>
                <w:bCs/>
                <w:kern w:val="0"/>
              </w:rPr>
              <w:t>检查项目</w:t>
            </w:r>
          </w:p>
        </w:tc>
        <w:tc>
          <w:tcPr>
            <w:tcW w:w="5600" w:type="dxa"/>
            <w:vAlign w:val="center"/>
          </w:tcPr>
          <w:p>
            <w:pPr>
              <w:jc w:val="center"/>
              <w:rPr>
                <w:rFonts w:ascii="黑体" w:hAnsi="黑体" w:eastAsia="黑体" w:cs="宋体"/>
                <w:bCs/>
              </w:rPr>
            </w:pPr>
            <w:r>
              <w:rPr>
                <w:rFonts w:hint="eastAsia" w:ascii="黑体" w:hAnsi="黑体" w:eastAsia="黑体" w:cs="宋体"/>
                <w:bCs/>
                <w:kern w:val="0"/>
              </w:rPr>
              <w:t>检查内容</w:t>
            </w:r>
          </w:p>
        </w:tc>
        <w:tc>
          <w:tcPr>
            <w:tcW w:w="2328" w:type="dxa"/>
            <w:vAlign w:val="center"/>
          </w:tcPr>
          <w:p>
            <w:pPr>
              <w:jc w:val="center"/>
              <w:rPr>
                <w:rFonts w:ascii="黑体" w:hAnsi="黑体" w:eastAsia="黑体" w:cs="宋体"/>
                <w:bCs/>
              </w:rPr>
            </w:pPr>
            <w:r>
              <w:rPr>
                <w:rFonts w:hint="eastAsia" w:ascii="黑体" w:hAnsi="黑体" w:eastAsia="黑体" w:cs="宋体"/>
                <w:bCs/>
                <w:kern w:val="0"/>
              </w:rPr>
              <w:t>检查依据</w:t>
            </w:r>
          </w:p>
        </w:tc>
        <w:tc>
          <w:tcPr>
            <w:tcW w:w="1316" w:type="dxa"/>
            <w:vAlign w:val="center"/>
          </w:tcPr>
          <w:p>
            <w:pPr>
              <w:jc w:val="center"/>
              <w:rPr>
                <w:rFonts w:ascii="黑体" w:hAnsi="黑体" w:eastAsia="黑体" w:cs="宋体"/>
                <w:bCs/>
              </w:rPr>
            </w:pPr>
            <w:r>
              <w:rPr>
                <w:rFonts w:hint="eastAsia" w:ascii="黑体" w:hAnsi="黑体" w:eastAsia="黑体" w:cs="宋体"/>
                <w:bCs/>
                <w:kern w:val="0"/>
              </w:rPr>
              <w:t>现状描述</w:t>
            </w:r>
          </w:p>
        </w:tc>
        <w:tc>
          <w:tcPr>
            <w:tcW w:w="1441" w:type="dxa"/>
            <w:vAlign w:val="center"/>
          </w:tcPr>
          <w:p>
            <w:pPr>
              <w:jc w:val="center"/>
              <w:rPr>
                <w:rFonts w:ascii="黑体" w:hAnsi="黑体" w:eastAsia="黑体" w:cs="宋体"/>
                <w:bCs/>
                <w:kern w:val="0"/>
              </w:rPr>
            </w:pPr>
            <w:r>
              <w:rPr>
                <w:rFonts w:hint="eastAsia" w:ascii="黑体" w:hAnsi="黑体" w:eastAsia="黑体" w:cs="宋体"/>
                <w:bCs/>
                <w:kern w:val="0"/>
              </w:rPr>
              <w:t>存在问题</w:t>
            </w:r>
          </w:p>
        </w:tc>
        <w:tc>
          <w:tcPr>
            <w:tcW w:w="1210" w:type="dxa"/>
            <w:vAlign w:val="center"/>
          </w:tcPr>
          <w:p>
            <w:pPr>
              <w:jc w:val="center"/>
              <w:rPr>
                <w:rFonts w:ascii="黑体" w:hAnsi="黑体" w:eastAsia="黑体" w:cs="宋体"/>
                <w:bCs/>
                <w:kern w:val="0"/>
              </w:rPr>
            </w:pPr>
            <w:r>
              <w:rPr>
                <w:rFonts w:hint="eastAsia" w:ascii="黑体" w:hAnsi="黑体" w:eastAsia="黑体" w:cs="宋体"/>
                <w:bCs/>
                <w:kern w:val="0"/>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Align w:val="center"/>
          </w:tcPr>
          <w:p>
            <w:pPr>
              <w:jc w:val="center"/>
              <w:rPr>
                <w:rFonts w:ascii="宋体" w:hAnsi="宋体" w:cs="宋体"/>
              </w:rPr>
            </w:pPr>
            <w:r>
              <w:rPr>
                <w:rFonts w:ascii="宋体" w:hAnsi="宋体" w:cs="宋体"/>
              </w:rPr>
              <w:t>1</w:t>
            </w:r>
          </w:p>
        </w:tc>
        <w:tc>
          <w:tcPr>
            <w:tcW w:w="1207" w:type="dxa"/>
            <w:vMerge w:val="restart"/>
            <w:vAlign w:val="center"/>
          </w:tcPr>
          <w:p>
            <w:pPr>
              <w:jc w:val="left"/>
              <w:rPr>
                <w:rFonts w:ascii="宋体" w:cs="宋体"/>
                <w:kern w:val="0"/>
              </w:rPr>
            </w:pPr>
            <w:r>
              <w:rPr>
                <w:rFonts w:hint="eastAsia" w:ascii="宋体" w:hAnsi="宋体" w:cs="宋体"/>
                <w:kern w:val="0"/>
              </w:rPr>
              <w:t>严格监管</w:t>
            </w:r>
          </w:p>
        </w:tc>
        <w:tc>
          <w:tcPr>
            <w:tcW w:w="5600" w:type="dxa"/>
            <w:vAlign w:val="center"/>
          </w:tcPr>
          <w:p>
            <w:pPr>
              <w:jc w:val="left"/>
              <w:rPr>
                <w:rFonts w:ascii="宋体" w:cs="宋体"/>
              </w:rPr>
            </w:pPr>
            <w:r>
              <w:rPr>
                <w:rFonts w:hint="eastAsia" w:ascii="宋体" w:hAnsi="宋体" w:cs="宋体"/>
                <w:kern w:val="0"/>
              </w:rPr>
              <w:t>是否采取停止或限制供电，停止供应火工品等措施。</w:t>
            </w:r>
          </w:p>
        </w:tc>
        <w:tc>
          <w:tcPr>
            <w:tcW w:w="2328" w:type="dxa"/>
            <w:vMerge w:val="restart"/>
            <w:vAlign w:val="center"/>
          </w:tcPr>
          <w:p>
            <w:pPr>
              <w:jc w:val="left"/>
              <w:rPr>
                <w:rFonts w:ascii="宋体" w:cs="宋体"/>
                <w:kern w:val="0"/>
              </w:rPr>
            </w:pPr>
            <w:r>
              <w:rPr>
                <w:rFonts w:hint="eastAsia" w:ascii="宋体" w:hAnsi="宋体" w:cs="宋体"/>
                <w:kern w:val="0"/>
              </w:rPr>
              <w:t>国家矿山安全监察局《关于进一步压实矿山安全监管监察责任切实消除监管盲区的通知》矿安</w:t>
            </w:r>
            <w:r>
              <w:rPr>
                <w:rFonts w:ascii="宋体" w:hAnsi="宋体" w:cs="宋体"/>
                <w:kern w:val="0"/>
              </w:rPr>
              <w:t>[2021]</w:t>
            </w:r>
            <w:r>
              <w:rPr>
                <w:rFonts w:hint="eastAsia" w:ascii="宋体" w:hAnsi="宋体" w:cs="宋体"/>
                <w:kern w:val="0"/>
              </w:rPr>
              <w:t>50号。</w:t>
            </w:r>
          </w:p>
          <w:p>
            <w:pPr>
              <w:jc w:val="left"/>
              <w:rPr>
                <w:rFonts w:ascii="宋体" w:cs="宋体"/>
              </w:rPr>
            </w:pPr>
          </w:p>
        </w:tc>
        <w:tc>
          <w:tcPr>
            <w:tcW w:w="1316" w:type="dxa"/>
            <w:vAlign w:val="center"/>
          </w:tcPr>
          <w:p>
            <w:pPr>
              <w:jc w:val="left"/>
              <w:rPr>
                <w:rFonts w:ascii="宋体" w:cs="宋体"/>
              </w:rPr>
            </w:pPr>
          </w:p>
        </w:tc>
        <w:tc>
          <w:tcPr>
            <w:tcW w:w="1441" w:type="dxa"/>
            <w:vAlign w:val="center"/>
          </w:tcPr>
          <w:p>
            <w:pPr>
              <w:jc w:val="left"/>
              <w:rPr>
                <w:rFonts w:ascii="宋体" w:cs="宋体"/>
              </w:rPr>
            </w:pPr>
          </w:p>
        </w:tc>
        <w:tc>
          <w:tcPr>
            <w:tcW w:w="1210" w:type="dxa"/>
            <w:vAlign w:val="center"/>
          </w:tcPr>
          <w:p>
            <w:pPr>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Align w:val="center"/>
          </w:tcPr>
          <w:p>
            <w:pPr>
              <w:jc w:val="center"/>
              <w:rPr>
                <w:rFonts w:ascii="宋体" w:hAnsi="宋体" w:cs="宋体"/>
              </w:rPr>
            </w:pPr>
            <w:r>
              <w:rPr>
                <w:rFonts w:ascii="宋体" w:hAnsi="宋体" w:cs="宋体"/>
              </w:rPr>
              <w:t>2</w:t>
            </w:r>
          </w:p>
        </w:tc>
        <w:tc>
          <w:tcPr>
            <w:tcW w:w="1207" w:type="dxa"/>
            <w:vMerge w:val="continue"/>
            <w:vAlign w:val="center"/>
          </w:tcPr>
          <w:p>
            <w:pPr>
              <w:jc w:val="left"/>
              <w:rPr>
                <w:rFonts w:ascii="宋体" w:hAnsi="宋体" w:cs="宋体"/>
              </w:rPr>
            </w:pPr>
          </w:p>
        </w:tc>
        <w:tc>
          <w:tcPr>
            <w:tcW w:w="5600" w:type="dxa"/>
            <w:vAlign w:val="center"/>
          </w:tcPr>
          <w:p>
            <w:pPr>
              <w:jc w:val="left"/>
              <w:rPr>
                <w:rFonts w:ascii="宋体" w:cs="宋体"/>
              </w:rPr>
            </w:pPr>
            <w:r>
              <w:rPr>
                <w:rFonts w:hint="eastAsia" w:ascii="宋体" w:hAnsi="宋体" w:cs="宋体"/>
                <w:kern w:val="0"/>
              </w:rPr>
              <w:t>是否采取加装视频监控、电子锁等电子封条。</w:t>
            </w:r>
          </w:p>
        </w:tc>
        <w:tc>
          <w:tcPr>
            <w:tcW w:w="2328" w:type="dxa"/>
            <w:vMerge w:val="continue"/>
            <w:vAlign w:val="center"/>
          </w:tcPr>
          <w:p>
            <w:pPr>
              <w:jc w:val="left"/>
              <w:rPr>
                <w:rFonts w:ascii="宋体" w:cs="宋体"/>
              </w:rPr>
            </w:pPr>
          </w:p>
        </w:tc>
        <w:tc>
          <w:tcPr>
            <w:tcW w:w="1316" w:type="dxa"/>
            <w:vAlign w:val="center"/>
          </w:tcPr>
          <w:p>
            <w:pPr>
              <w:jc w:val="left"/>
              <w:rPr>
                <w:rFonts w:ascii="宋体" w:cs="宋体"/>
              </w:rPr>
            </w:pPr>
          </w:p>
        </w:tc>
        <w:tc>
          <w:tcPr>
            <w:tcW w:w="1441" w:type="dxa"/>
            <w:vAlign w:val="center"/>
          </w:tcPr>
          <w:p>
            <w:pPr>
              <w:jc w:val="left"/>
              <w:rPr>
                <w:rFonts w:ascii="宋体" w:cs="宋体"/>
              </w:rPr>
            </w:pPr>
          </w:p>
        </w:tc>
        <w:tc>
          <w:tcPr>
            <w:tcW w:w="1210" w:type="dxa"/>
            <w:vAlign w:val="center"/>
          </w:tcPr>
          <w:p>
            <w:pPr>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Align w:val="center"/>
          </w:tcPr>
          <w:p>
            <w:pPr>
              <w:jc w:val="center"/>
              <w:rPr>
                <w:rFonts w:ascii="宋体" w:hAnsi="宋体" w:cs="宋体"/>
              </w:rPr>
            </w:pPr>
            <w:r>
              <w:rPr>
                <w:rFonts w:ascii="宋体" w:hAnsi="宋体" w:cs="宋体"/>
              </w:rPr>
              <w:t>3</w:t>
            </w:r>
          </w:p>
        </w:tc>
        <w:tc>
          <w:tcPr>
            <w:tcW w:w="1207" w:type="dxa"/>
            <w:vMerge w:val="continue"/>
            <w:vAlign w:val="center"/>
          </w:tcPr>
          <w:p>
            <w:pPr>
              <w:jc w:val="left"/>
              <w:rPr>
                <w:rFonts w:ascii="宋体" w:hAnsi="宋体" w:cs="宋体"/>
              </w:rPr>
            </w:pPr>
          </w:p>
        </w:tc>
        <w:tc>
          <w:tcPr>
            <w:tcW w:w="5600" w:type="dxa"/>
            <w:vAlign w:val="center"/>
          </w:tcPr>
          <w:p>
            <w:pPr>
              <w:jc w:val="left"/>
              <w:rPr>
                <w:rFonts w:ascii="宋体" w:cs="宋体"/>
              </w:rPr>
            </w:pPr>
            <w:r>
              <w:rPr>
                <w:rFonts w:hint="eastAsia" w:ascii="宋体" w:hAnsi="宋体" w:cs="宋体"/>
              </w:rPr>
              <w:t>是否明确停产停工监管部门责任。</w:t>
            </w:r>
          </w:p>
        </w:tc>
        <w:tc>
          <w:tcPr>
            <w:tcW w:w="2328" w:type="dxa"/>
            <w:vMerge w:val="continue"/>
            <w:vAlign w:val="center"/>
          </w:tcPr>
          <w:p>
            <w:pPr>
              <w:jc w:val="left"/>
              <w:rPr>
                <w:rFonts w:ascii="宋体" w:cs="宋体"/>
              </w:rPr>
            </w:pPr>
          </w:p>
        </w:tc>
        <w:tc>
          <w:tcPr>
            <w:tcW w:w="1316" w:type="dxa"/>
            <w:vAlign w:val="center"/>
          </w:tcPr>
          <w:p>
            <w:pPr>
              <w:jc w:val="left"/>
              <w:rPr>
                <w:rFonts w:ascii="宋体" w:cs="宋体"/>
              </w:rPr>
            </w:pPr>
          </w:p>
        </w:tc>
        <w:tc>
          <w:tcPr>
            <w:tcW w:w="1441" w:type="dxa"/>
            <w:vAlign w:val="center"/>
          </w:tcPr>
          <w:p>
            <w:pPr>
              <w:jc w:val="left"/>
              <w:rPr>
                <w:rFonts w:ascii="宋体" w:cs="宋体"/>
              </w:rPr>
            </w:pPr>
          </w:p>
        </w:tc>
        <w:tc>
          <w:tcPr>
            <w:tcW w:w="1210" w:type="dxa"/>
            <w:vAlign w:val="center"/>
          </w:tcPr>
          <w:p>
            <w:pPr>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Align w:val="center"/>
          </w:tcPr>
          <w:p>
            <w:pPr>
              <w:jc w:val="center"/>
              <w:rPr>
                <w:rFonts w:ascii="宋体" w:hAnsi="宋体" w:cs="宋体"/>
              </w:rPr>
            </w:pPr>
            <w:r>
              <w:rPr>
                <w:rFonts w:ascii="宋体" w:hAnsi="宋体" w:cs="宋体"/>
              </w:rPr>
              <w:t>4</w:t>
            </w:r>
          </w:p>
        </w:tc>
        <w:tc>
          <w:tcPr>
            <w:tcW w:w="1207" w:type="dxa"/>
            <w:vMerge w:val="continue"/>
            <w:vAlign w:val="center"/>
          </w:tcPr>
          <w:p>
            <w:pPr>
              <w:jc w:val="left"/>
              <w:rPr>
                <w:rFonts w:ascii="宋体" w:hAnsi="宋体" w:cs="宋体"/>
              </w:rPr>
            </w:pPr>
          </w:p>
        </w:tc>
        <w:tc>
          <w:tcPr>
            <w:tcW w:w="5600" w:type="dxa"/>
            <w:vAlign w:val="center"/>
          </w:tcPr>
          <w:p>
            <w:pPr>
              <w:jc w:val="left"/>
              <w:rPr>
                <w:rFonts w:ascii="宋体" w:cs="宋体"/>
              </w:rPr>
            </w:pPr>
            <w:r>
              <w:rPr>
                <w:rFonts w:hint="eastAsia" w:ascii="宋体" w:hAnsi="宋体" w:cs="宋体"/>
              </w:rPr>
              <w:t>是否落实驻矿盯守或定期巡查人员。</w:t>
            </w:r>
          </w:p>
        </w:tc>
        <w:tc>
          <w:tcPr>
            <w:tcW w:w="2328" w:type="dxa"/>
            <w:vMerge w:val="continue"/>
            <w:vAlign w:val="center"/>
          </w:tcPr>
          <w:p>
            <w:pPr>
              <w:jc w:val="left"/>
              <w:rPr>
                <w:rFonts w:ascii="宋体" w:cs="宋体"/>
              </w:rPr>
            </w:pPr>
          </w:p>
        </w:tc>
        <w:tc>
          <w:tcPr>
            <w:tcW w:w="1316" w:type="dxa"/>
            <w:vAlign w:val="center"/>
          </w:tcPr>
          <w:p>
            <w:pPr>
              <w:jc w:val="left"/>
              <w:rPr>
                <w:rFonts w:ascii="宋体" w:cs="宋体"/>
              </w:rPr>
            </w:pPr>
          </w:p>
        </w:tc>
        <w:tc>
          <w:tcPr>
            <w:tcW w:w="1441" w:type="dxa"/>
            <w:vAlign w:val="center"/>
          </w:tcPr>
          <w:p>
            <w:pPr>
              <w:jc w:val="left"/>
              <w:rPr>
                <w:rFonts w:ascii="宋体" w:cs="宋体"/>
              </w:rPr>
            </w:pPr>
          </w:p>
        </w:tc>
        <w:tc>
          <w:tcPr>
            <w:tcW w:w="1210" w:type="dxa"/>
            <w:vAlign w:val="center"/>
          </w:tcPr>
          <w:p>
            <w:pPr>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Align w:val="center"/>
          </w:tcPr>
          <w:p>
            <w:pPr>
              <w:jc w:val="center"/>
              <w:rPr>
                <w:rFonts w:ascii="宋体" w:hAnsi="宋体" w:cs="宋体"/>
              </w:rPr>
            </w:pPr>
            <w:r>
              <w:rPr>
                <w:rFonts w:ascii="宋体" w:hAnsi="宋体" w:cs="宋体"/>
              </w:rPr>
              <w:t>5</w:t>
            </w:r>
          </w:p>
        </w:tc>
        <w:tc>
          <w:tcPr>
            <w:tcW w:w="1207" w:type="dxa"/>
            <w:vMerge w:val="continue"/>
            <w:vAlign w:val="center"/>
          </w:tcPr>
          <w:p>
            <w:pPr>
              <w:jc w:val="left"/>
              <w:rPr>
                <w:rFonts w:ascii="宋体" w:hAnsi="宋体" w:cs="宋体"/>
              </w:rPr>
            </w:pPr>
          </w:p>
        </w:tc>
        <w:tc>
          <w:tcPr>
            <w:tcW w:w="5600" w:type="dxa"/>
            <w:vAlign w:val="center"/>
          </w:tcPr>
          <w:p>
            <w:pPr>
              <w:jc w:val="left"/>
              <w:rPr>
                <w:rFonts w:ascii="宋体" w:cs="宋体"/>
              </w:rPr>
            </w:pPr>
            <w:r>
              <w:rPr>
                <w:rFonts w:hint="eastAsia" w:ascii="宋体" w:hAnsi="宋体" w:cs="宋体"/>
              </w:rPr>
              <w:t>是否每半年在当地主流媒体或本部门官方网站公布公布驻矿盯守、安全巡查等责任人信息。</w:t>
            </w:r>
          </w:p>
        </w:tc>
        <w:tc>
          <w:tcPr>
            <w:tcW w:w="2328" w:type="dxa"/>
            <w:vMerge w:val="continue"/>
            <w:vAlign w:val="center"/>
          </w:tcPr>
          <w:p>
            <w:pPr>
              <w:jc w:val="left"/>
              <w:rPr>
                <w:rFonts w:ascii="宋体" w:cs="宋体"/>
              </w:rPr>
            </w:pPr>
          </w:p>
        </w:tc>
        <w:tc>
          <w:tcPr>
            <w:tcW w:w="1316" w:type="dxa"/>
            <w:vAlign w:val="center"/>
          </w:tcPr>
          <w:p>
            <w:pPr>
              <w:jc w:val="left"/>
              <w:rPr>
                <w:rFonts w:ascii="宋体" w:cs="宋体"/>
              </w:rPr>
            </w:pPr>
          </w:p>
        </w:tc>
        <w:tc>
          <w:tcPr>
            <w:tcW w:w="1441" w:type="dxa"/>
            <w:vAlign w:val="center"/>
          </w:tcPr>
          <w:p>
            <w:pPr>
              <w:jc w:val="left"/>
              <w:rPr>
                <w:rFonts w:ascii="宋体" w:cs="宋体"/>
              </w:rPr>
            </w:pPr>
          </w:p>
        </w:tc>
        <w:tc>
          <w:tcPr>
            <w:tcW w:w="1210" w:type="dxa"/>
            <w:vAlign w:val="center"/>
          </w:tcPr>
          <w:p>
            <w:pPr>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Align w:val="center"/>
          </w:tcPr>
          <w:p>
            <w:pPr>
              <w:jc w:val="center"/>
              <w:rPr>
                <w:rFonts w:ascii="宋体" w:hAnsi="宋体" w:cs="宋体"/>
              </w:rPr>
            </w:pPr>
            <w:r>
              <w:rPr>
                <w:rFonts w:ascii="宋体" w:hAnsi="宋体" w:cs="宋体"/>
              </w:rPr>
              <w:t>6</w:t>
            </w:r>
          </w:p>
        </w:tc>
        <w:tc>
          <w:tcPr>
            <w:tcW w:w="1207" w:type="dxa"/>
            <w:vMerge w:val="continue"/>
            <w:vAlign w:val="center"/>
          </w:tcPr>
          <w:p>
            <w:pPr>
              <w:jc w:val="left"/>
              <w:rPr>
                <w:rFonts w:ascii="宋体" w:hAnsi="宋体" w:cs="宋体"/>
              </w:rPr>
            </w:pPr>
          </w:p>
        </w:tc>
        <w:tc>
          <w:tcPr>
            <w:tcW w:w="5600" w:type="dxa"/>
            <w:vAlign w:val="center"/>
          </w:tcPr>
          <w:p>
            <w:pPr>
              <w:jc w:val="left"/>
              <w:rPr>
                <w:rFonts w:ascii="宋体" w:cs="宋体"/>
              </w:rPr>
            </w:pPr>
            <w:r>
              <w:rPr>
                <w:rFonts w:hint="eastAsia" w:ascii="宋体" w:hAnsi="宋体" w:cs="宋体"/>
                <w:kern w:val="0"/>
              </w:rPr>
              <w:t>是否违规设置“回撤期”、“过渡期”，违规转包井下回撤工程。</w:t>
            </w:r>
          </w:p>
        </w:tc>
        <w:tc>
          <w:tcPr>
            <w:tcW w:w="2328" w:type="dxa"/>
            <w:vMerge w:val="continue"/>
            <w:vAlign w:val="center"/>
          </w:tcPr>
          <w:p>
            <w:pPr>
              <w:jc w:val="left"/>
              <w:rPr>
                <w:rFonts w:ascii="宋体" w:cs="宋体"/>
              </w:rPr>
            </w:pPr>
          </w:p>
        </w:tc>
        <w:tc>
          <w:tcPr>
            <w:tcW w:w="1316" w:type="dxa"/>
            <w:vAlign w:val="center"/>
          </w:tcPr>
          <w:p>
            <w:pPr>
              <w:jc w:val="left"/>
              <w:rPr>
                <w:rFonts w:ascii="宋体" w:cs="宋体"/>
              </w:rPr>
            </w:pPr>
          </w:p>
        </w:tc>
        <w:tc>
          <w:tcPr>
            <w:tcW w:w="1441" w:type="dxa"/>
            <w:vAlign w:val="center"/>
          </w:tcPr>
          <w:p>
            <w:pPr>
              <w:jc w:val="left"/>
              <w:rPr>
                <w:rFonts w:ascii="宋体" w:cs="宋体"/>
              </w:rPr>
            </w:pPr>
          </w:p>
        </w:tc>
        <w:tc>
          <w:tcPr>
            <w:tcW w:w="1210" w:type="dxa"/>
            <w:vAlign w:val="center"/>
          </w:tcPr>
          <w:p>
            <w:pPr>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Align w:val="center"/>
          </w:tcPr>
          <w:p>
            <w:pPr>
              <w:jc w:val="center"/>
              <w:rPr>
                <w:rFonts w:ascii="宋体" w:hAnsi="宋体" w:cs="宋体"/>
              </w:rPr>
            </w:pPr>
            <w:r>
              <w:rPr>
                <w:rFonts w:ascii="宋体" w:hAnsi="宋体" w:cs="宋体"/>
              </w:rPr>
              <w:t>7</w:t>
            </w:r>
          </w:p>
        </w:tc>
        <w:tc>
          <w:tcPr>
            <w:tcW w:w="1207" w:type="dxa"/>
            <w:vAlign w:val="center"/>
          </w:tcPr>
          <w:p>
            <w:pPr>
              <w:jc w:val="left"/>
              <w:rPr>
                <w:rFonts w:ascii="宋体" w:cs="宋体"/>
              </w:rPr>
            </w:pPr>
            <w:r>
              <w:rPr>
                <w:rFonts w:hint="eastAsia" w:ascii="宋体" w:hAnsi="宋体" w:cs="宋体"/>
              </w:rPr>
              <w:t>责任落实</w:t>
            </w:r>
          </w:p>
        </w:tc>
        <w:tc>
          <w:tcPr>
            <w:tcW w:w="5600" w:type="dxa"/>
            <w:vAlign w:val="center"/>
          </w:tcPr>
          <w:p>
            <w:pPr>
              <w:jc w:val="left"/>
              <w:rPr>
                <w:rFonts w:ascii="宋体" w:cs="宋体"/>
                <w:kern w:val="0"/>
              </w:rPr>
            </w:pPr>
            <w:r>
              <w:rPr>
                <w:rFonts w:hint="eastAsia" w:ascii="宋体" w:hAnsi="宋体" w:cs="宋体"/>
                <w:kern w:val="0"/>
              </w:rPr>
              <w:t>是否存在未经验收批准擅自复工复产、明停暗开等违法违规行为。</w:t>
            </w:r>
          </w:p>
        </w:tc>
        <w:tc>
          <w:tcPr>
            <w:tcW w:w="2328" w:type="dxa"/>
            <w:vAlign w:val="center"/>
          </w:tcPr>
          <w:p>
            <w:pPr>
              <w:jc w:val="left"/>
              <w:rPr>
                <w:rFonts w:ascii="宋体" w:cs="宋体"/>
                <w:kern w:val="0"/>
              </w:rPr>
            </w:pPr>
          </w:p>
        </w:tc>
        <w:tc>
          <w:tcPr>
            <w:tcW w:w="1316" w:type="dxa"/>
            <w:vAlign w:val="center"/>
          </w:tcPr>
          <w:p>
            <w:pPr>
              <w:jc w:val="left"/>
              <w:rPr>
                <w:rFonts w:ascii="宋体" w:cs="宋体"/>
              </w:rPr>
            </w:pPr>
          </w:p>
        </w:tc>
        <w:tc>
          <w:tcPr>
            <w:tcW w:w="1441" w:type="dxa"/>
            <w:vAlign w:val="center"/>
          </w:tcPr>
          <w:p>
            <w:pPr>
              <w:jc w:val="left"/>
              <w:rPr>
                <w:rFonts w:ascii="宋体" w:cs="宋体"/>
              </w:rPr>
            </w:pPr>
          </w:p>
        </w:tc>
        <w:tc>
          <w:tcPr>
            <w:tcW w:w="1210" w:type="dxa"/>
            <w:vAlign w:val="center"/>
          </w:tcPr>
          <w:p>
            <w:pPr>
              <w:jc w:val="left"/>
              <w:rPr>
                <w:rFonts w:ascii="宋体" w:cs="宋体"/>
              </w:rPr>
            </w:pPr>
          </w:p>
        </w:tc>
      </w:tr>
    </w:tbl>
    <w:p/>
    <w:p/>
    <w:p/>
    <w:p>
      <w:r>
        <w:rPr>
          <w:rFonts w:hint="eastAsia" w:ascii="黑体" w:hAnsi="黑体" w:eastAsia="黑体" w:cs="黑体"/>
          <w:sz w:val="28"/>
          <w:szCs w:val="28"/>
          <w:lang w:val="en-US" w:eastAsia="zh-CN"/>
        </w:rPr>
        <w:t>九</w:t>
      </w:r>
      <w:r>
        <w:rPr>
          <w:rFonts w:hint="eastAsia" w:ascii="黑体" w:hAnsi="黑体" w:eastAsia="黑体" w:cs="黑体"/>
          <w:sz w:val="28"/>
          <w:szCs w:val="28"/>
        </w:rPr>
        <w:t>、建设项目单元（31</w:t>
      </w:r>
      <w:r>
        <w:rPr>
          <w:rFonts w:ascii="黑体" w:hAnsi="黑体" w:eastAsia="黑体" w:cs="黑体"/>
          <w:sz w:val="28"/>
          <w:szCs w:val="28"/>
        </w:rPr>
        <w:t>）</w:t>
      </w:r>
    </w:p>
    <w:tbl>
      <w:tblPr>
        <w:tblStyle w:val="23"/>
        <w:tblW w:w="13741" w:type="dxa"/>
        <w:jc w:val="center"/>
        <w:tblLayout w:type="fixed"/>
        <w:tblCellMar>
          <w:top w:w="0" w:type="dxa"/>
          <w:left w:w="108" w:type="dxa"/>
          <w:bottom w:w="0" w:type="dxa"/>
          <w:right w:w="108" w:type="dxa"/>
        </w:tblCellMar>
      </w:tblPr>
      <w:tblGrid>
        <w:gridCol w:w="699"/>
        <w:gridCol w:w="1176"/>
        <w:gridCol w:w="5586"/>
        <w:gridCol w:w="2323"/>
        <w:gridCol w:w="1321"/>
        <w:gridCol w:w="1427"/>
        <w:gridCol w:w="1209"/>
      </w:tblGrid>
      <w:tr>
        <w:tblPrEx>
          <w:tblCellMar>
            <w:top w:w="0" w:type="dxa"/>
            <w:left w:w="108" w:type="dxa"/>
            <w:bottom w:w="0" w:type="dxa"/>
            <w:right w:w="108" w:type="dxa"/>
          </w:tblCellMar>
        </w:tblPrEx>
        <w:trPr>
          <w:tblHeader/>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Cs/>
                <w:kern w:val="0"/>
              </w:rPr>
            </w:pPr>
            <w:r>
              <w:rPr>
                <w:rFonts w:hint="eastAsia" w:ascii="黑体" w:hAnsi="黑体" w:eastAsia="黑体" w:cs="宋体"/>
                <w:bCs/>
                <w:kern w:val="0"/>
              </w:rPr>
              <w:t>序号</w:t>
            </w:r>
          </w:p>
        </w:tc>
        <w:tc>
          <w:tcPr>
            <w:tcW w:w="1176"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bCs/>
                <w:kern w:val="0"/>
              </w:rPr>
            </w:pPr>
            <w:r>
              <w:rPr>
                <w:rFonts w:hint="eastAsia" w:ascii="黑体" w:hAnsi="黑体" w:eastAsia="黑体" w:cs="宋体"/>
                <w:bCs/>
                <w:kern w:val="0"/>
              </w:rPr>
              <w:t>检查项目</w:t>
            </w:r>
          </w:p>
        </w:tc>
        <w:tc>
          <w:tcPr>
            <w:tcW w:w="5586"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bCs/>
                <w:kern w:val="0"/>
              </w:rPr>
            </w:pPr>
            <w:r>
              <w:rPr>
                <w:rFonts w:hint="eastAsia" w:ascii="黑体" w:hAnsi="黑体" w:eastAsia="黑体" w:cs="宋体"/>
                <w:bCs/>
                <w:kern w:val="0"/>
              </w:rPr>
              <w:t>检查内容</w:t>
            </w:r>
          </w:p>
        </w:tc>
        <w:tc>
          <w:tcPr>
            <w:tcW w:w="2323"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bCs/>
                <w:kern w:val="0"/>
              </w:rPr>
            </w:pPr>
            <w:r>
              <w:rPr>
                <w:rFonts w:hint="eastAsia" w:ascii="黑体" w:hAnsi="黑体" w:eastAsia="黑体" w:cs="宋体"/>
                <w:bCs/>
                <w:kern w:val="0"/>
              </w:rPr>
              <w:t>检查依据</w:t>
            </w:r>
          </w:p>
        </w:tc>
        <w:tc>
          <w:tcPr>
            <w:tcW w:w="1321"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bCs/>
                <w:kern w:val="0"/>
              </w:rPr>
            </w:pPr>
            <w:r>
              <w:rPr>
                <w:rFonts w:hint="eastAsia" w:ascii="黑体" w:hAnsi="黑体" w:eastAsia="黑体" w:cs="宋体"/>
                <w:bCs/>
                <w:kern w:val="0"/>
              </w:rPr>
              <w:t>现状描述</w:t>
            </w:r>
          </w:p>
        </w:tc>
        <w:tc>
          <w:tcPr>
            <w:tcW w:w="1427"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bCs/>
                <w:kern w:val="0"/>
              </w:rPr>
            </w:pPr>
            <w:r>
              <w:rPr>
                <w:rFonts w:hint="eastAsia" w:ascii="黑体" w:hAnsi="黑体" w:eastAsia="黑体" w:cs="宋体"/>
                <w:bCs/>
                <w:kern w:val="0"/>
              </w:rPr>
              <w:t>存在问题</w:t>
            </w:r>
          </w:p>
        </w:tc>
        <w:tc>
          <w:tcPr>
            <w:tcW w:w="1209" w:type="dxa"/>
            <w:tcBorders>
              <w:top w:val="single" w:color="auto" w:sz="4" w:space="0"/>
              <w:left w:val="nil"/>
              <w:bottom w:val="single" w:color="auto" w:sz="4" w:space="0"/>
              <w:right w:val="single" w:color="auto" w:sz="4" w:space="0"/>
            </w:tcBorders>
            <w:vAlign w:val="center"/>
          </w:tcPr>
          <w:p>
            <w:pPr>
              <w:jc w:val="center"/>
              <w:rPr>
                <w:rFonts w:ascii="黑体" w:hAnsi="黑体" w:eastAsia="黑体" w:cs="宋体"/>
                <w:bCs/>
                <w:kern w:val="0"/>
              </w:rPr>
            </w:pPr>
            <w:r>
              <w:rPr>
                <w:rFonts w:hint="eastAsia" w:ascii="黑体" w:hAnsi="黑体" w:eastAsia="黑体" w:cs="宋体"/>
                <w:bCs/>
                <w:kern w:val="0"/>
              </w:rPr>
              <w:t>处置措施</w:t>
            </w:r>
          </w:p>
        </w:tc>
      </w:tr>
      <w:tr>
        <w:tblPrEx>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rPr>
            </w:pPr>
            <w:r>
              <w:rPr>
                <w:rFonts w:ascii="宋体" w:hAnsi="宋体" w:cs="宋体"/>
                <w:kern w:val="0"/>
              </w:rPr>
              <w:t>1</w:t>
            </w:r>
          </w:p>
        </w:tc>
        <w:tc>
          <w:tcPr>
            <w:tcW w:w="1176"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建设项目手续</w:t>
            </w:r>
          </w:p>
        </w:tc>
        <w:tc>
          <w:tcPr>
            <w:tcW w:w="5586"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建设项目审批手续、采矿许可证。</w:t>
            </w:r>
          </w:p>
        </w:tc>
        <w:tc>
          <w:tcPr>
            <w:tcW w:w="2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rPr>
            </w:pPr>
            <w:bookmarkStart w:id="0" w:name="SectionMark0"/>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bookmarkEnd w:id="0"/>
            <w:bookmarkStart w:id="1" w:name="_Toc349056954"/>
            <w:bookmarkEnd w:id="1"/>
            <w:r>
              <w:rPr>
                <w:rFonts w:ascii="宋体" w:hAnsi="宋体" w:cs="宋体"/>
                <w:kern w:val="0"/>
              </w:rPr>
              <w:t>4.1</w:t>
            </w:r>
            <w:r>
              <w:rPr>
                <w:rFonts w:hint="eastAsia" w:ascii="宋体" w:hAnsi="宋体" w:cs="宋体"/>
                <w:kern w:val="0"/>
              </w:rPr>
              <w:t>。</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cs="宋体"/>
                <w:kern w:val="0"/>
              </w:rPr>
            </w:pPr>
          </w:p>
        </w:tc>
        <w:tc>
          <w:tcPr>
            <w:tcW w:w="1427" w:type="dxa"/>
            <w:tcBorders>
              <w:top w:val="nil"/>
              <w:left w:val="single" w:color="auto" w:sz="4" w:space="0"/>
              <w:bottom w:val="single" w:color="000000" w:sz="4" w:space="0"/>
              <w:right w:val="single" w:color="auto" w:sz="4" w:space="0"/>
            </w:tcBorders>
          </w:tcPr>
          <w:p>
            <w:pPr>
              <w:rPr>
                <w:rFonts w:ascii="宋体" w:cs="宋体"/>
                <w:kern w:val="0"/>
              </w:rPr>
            </w:pPr>
          </w:p>
        </w:tc>
        <w:tc>
          <w:tcPr>
            <w:tcW w:w="1209" w:type="dxa"/>
            <w:tcBorders>
              <w:top w:val="nil"/>
              <w:left w:val="single" w:color="auto" w:sz="4" w:space="0"/>
              <w:bottom w:val="single" w:color="000000"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rPr>
            </w:pPr>
            <w:r>
              <w:rPr>
                <w:rFonts w:hint="eastAsia" w:ascii="宋体" w:cs="宋体"/>
                <w:kern w:val="0"/>
              </w:rPr>
              <w:t>2</w:t>
            </w: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p>
        </w:tc>
        <w:tc>
          <w:tcPr>
            <w:tcW w:w="5586"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kern w:val="0"/>
              </w:rPr>
              <w:t>初步设施设计、安全设施设计必须经有关部门审查批准，批准后发生重大变化变更设计的应当按规定再次审批。</w:t>
            </w:r>
          </w:p>
        </w:tc>
        <w:tc>
          <w:tcPr>
            <w:tcW w:w="2323"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《煤矿建设项目安全设施监察规定》第六条，第二十二条。</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cs="宋体"/>
                <w:kern w:val="0"/>
              </w:rPr>
            </w:pPr>
          </w:p>
        </w:tc>
        <w:tc>
          <w:tcPr>
            <w:tcW w:w="1427" w:type="dxa"/>
            <w:tcBorders>
              <w:top w:val="nil"/>
              <w:left w:val="single" w:color="auto" w:sz="4" w:space="0"/>
              <w:bottom w:val="single" w:color="auto" w:sz="4" w:space="0"/>
              <w:right w:val="single" w:color="auto" w:sz="4" w:space="0"/>
            </w:tcBorders>
          </w:tcPr>
          <w:p>
            <w:pPr>
              <w:rPr>
                <w:rFonts w:ascii="宋体" w:cs="宋体"/>
                <w:kern w:val="0"/>
              </w:rPr>
            </w:pPr>
          </w:p>
        </w:tc>
        <w:tc>
          <w:tcPr>
            <w:tcW w:w="1209" w:type="dxa"/>
            <w:tcBorders>
              <w:top w:val="nil"/>
              <w:left w:val="single" w:color="auto" w:sz="4" w:space="0"/>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rPr>
            </w:pPr>
            <w:r>
              <w:rPr>
                <w:rFonts w:hint="eastAsia" w:ascii="宋体" w:cs="宋体"/>
                <w:kern w:val="0"/>
              </w:rPr>
              <w:t>3</w:t>
            </w: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p>
        </w:tc>
        <w:tc>
          <w:tcPr>
            <w:tcW w:w="5586"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是否按批准的设计组织施工。</w:t>
            </w:r>
          </w:p>
          <w:p>
            <w:pPr>
              <w:jc w:val="left"/>
              <w:rPr>
                <w:rFonts w:ascii="宋体" w:cs="宋体"/>
                <w:kern w:val="0"/>
              </w:rPr>
            </w:pPr>
            <w:r>
              <w:rPr>
                <w:rFonts w:hint="eastAsia" w:ascii="宋体" w:hAnsi="宋体" w:cs="宋体"/>
                <w:kern w:val="0"/>
              </w:rPr>
              <w:t>改扩建矿井是否在改扩建区域生产。改扩建矿井在非改扩建区域是否超出设计规定范围和规模生产。</w:t>
            </w:r>
          </w:p>
        </w:tc>
        <w:tc>
          <w:tcPr>
            <w:tcW w:w="2323"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《煤矿建设项目安全设施监察规定》第二十三条第二款；第二十九条。</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cs="宋体"/>
                <w:kern w:val="0"/>
              </w:rPr>
            </w:pPr>
          </w:p>
        </w:tc>
        <w:tc>
          <w:tcPr>
            <w:tcW w:w="1427" w:type="dxa"/>
            <w:tcBorders>
              <w:top w:val="single" w:color="auto" w:sz="4" w:space="0"/>
              <w:left w:val="single" w:color="auto" w:sz="4" w:space="0"/>
              <w:bottom w:val="single" w:color="auto" w:sz="4" w:space="0"/>
              <w:right w:val="single" w:color="auto" w:sz="4" w:space="0"/>
            </w:tcBorders>
          </w:tcPr>
          <w:p>
            <w:pPr>
              <w:rPr>
                <w:rFonts w:ascii="宋体" w:cs="宋体"/>
                <w:kern w:val="0"/>
              </w:rPr>
            </w:pPr>
          </w:p>
        </w:tc>
        <w:tc>
          <w:tcPr>
            <w:tcW w:w="1209" w:type="dxa"/>
            <w:tcBorders>
              <w:top w:val="single" w:color="auto" w:sz="4" w:space="0"/>
              <w:left w:val="single" w:color="auto" w:sz="4" w:space="0"/>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4</w:t>
            </w:r>
          </w:p>
        </w:tc>
        <w:tc>
          <w:tcPr>
            <w:tcW w:w="1176"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建设项目地质预报</w:t>
            </w:r>
          </w:p>
        </w:tc>
        <w:tc>
          <w:tcPr>
            <w:tcW w:w="5586"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单项工程、单位工程开工前，施工单位必须根据建设单位提供的地质资料，编制承包工程范围内的地质预测报告，说明施工过程中可能遇到地质灾害因素及采取的预防措施</w:t>
            </w:r>
          </w:p>
        </w:tc>
        <w:tc>
          <w:tcPr>
            <w:tcW w:w="2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5.2.1</w:t>
            </w:r>
            <w:r>
              <w:rPr>
                <w:rFonts w:hint="eastAsia" w:ascii="宋体" w:hAnsi="宋体" w:cs="宋体"/>
                <w:kern w:val="0"/>
              </w:rPr>
              <w:t>。</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cs="宋体"/>
                <w:kern w:val="0"/>
              </w:rPr>
            </w:pPr>
          </w:p>
        </w:tc>
        <w:tc>
          <w:tcPr>
            <w:tcW w:w="1427" w:type="dxa"/>
            <w:tcBorders>
              <w:top w:val="single" w:color="auto" w:sz="4" w:space="0"/>
              <w:left w:val="single" w:color="auto" w:sz="4" w:space="0"/>
              <w:bottom w:val="single" w:color="auto" w:sz="4" w:space="0"/>
              <w:right w:val="single" w:color="auto" w:sz="4" w:space="0"/>
            </w:tcBorders>
          </w:tcPr>
          <w:p>
            <w:pPr>
              <w:rPr>
                <w:rFonts w:ascii="宋体" w:cs="宋体"/>
                <w:kern w:val="0"/>
              </w:rPr>
            </w:pPr>
          </w:p>
        </w:tc>
        <w:tc>
          <w:tcPr>
            <w:tcW w:w="1209" w:type="dxa"/>
            <w:tcBorders>
              <w:top w:val="single" w:color="auto" w:sz="4" w:space="0"/>
              <w:left w:val="single" w:color="auto" w:sz="4" w:space="0"/>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5</w:t>
            </w:r>
          </w:p>
        </w:tc>
        <w:tc>
          <w:tcPr>
            <w:tcW w:w="1176" w:type="dxa"/>
            <w:vMerge w:val="continue"/>
            <w:tcBorders>
              <w:top w:val="single" w:color="auto" w:sz="4" w:space="0"/>
              <w:left w:val="single" w:color="auto" w:sz="4" w:space="0"/>
              <w:right w:val="single" w:color="auto" w:sz="4" w:space="0"/>
            </w:tcBorders>
            <w:vAlign w:val="center"/>
          </w:tcPr>
          <w:p>
            <w:pPr>
              <w:jc w:val="left"/>
              <w:rPr>
                <w:rFonts w:ascii="宋体" w:cs="宋体"/>
                <w:kern w:val="0"/>
              </w:rPr>
            </w:pPr>
          </w:p>
        </w:tc>
        <w:tc>
          <w:tcPr>
            <w:tcW w:w="5586"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在施工期间，施工单位应根据工程进度情况，适时编制单位工程地质预报，必须做到一工程一预报</w:t>
            </w:r>
          </w:p>
        </w:tc>
        <w:tc>
          <w:tcPr>
            <w:tcW w:w="2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5.2.2</w:t>
            </w:r>
            <w:r>
              <w:rPr>
                <w:rFonts w:hint="eastAsia" w:ascii="宋体" w:hAnsi="宋体" w:cs="宋体"/>
                <w:kern w:val="0"/>
              </w:rPr>
              <w:t>。</w:t>
            </w: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rPr>
                <w:rFonts w:ascii="宋体" w:cs="宋体"/>
                <w:kern w:val="0"/>
              </w:rPr>
            </w:pPr>
          </w:p>
        </w:tc>
        <w:tc>
          <w:tcPr>
            <w:tcW w:w="1427" w:type="dxa"/>
            <w:vMerge w:val="restart"/>
            <w:tcBorders>
              <w:top w:val="single" w:color="auto" w:sz="4" w:space="0"/>
              <w:left w:val="single" w:color="auto" w:sz="4" w:space="0"/>
              <w:right w:val="single" w:color="auto" w:sz="4" w:space="0"/>
            </w:tcBorders>
          </w:tcPr>
          <w:p>
            <w:pPr>
              <w:rPr>
                <w:rFonts w:ascii="宋体" w:cs="宋体"/>
                <w:kern w:val="0"/>
              </w:rPr>
            </w:pPr>
          </w:p>
        </w:tc>
        <w:tc>
          <w:tcPr>
            <w:tcW w:w="1209" w:type="dxa"/>
            <w:vMerge w:val="restart"/>
            <w:tcBorders>
              <w:top w:val="single" w:color="auto" w:sz="4" w:space="0"/>
              <w:left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rPr>
            </w:pPr>
            <w:r>
              <w:rPr>
                <w:rFonts w:hint="eastAsia" w:ascii="宋体" w:cs="宋体"/>
                <w:kern w:val="0"/>
              </w:rPr>
              <w:t>6</w:t>
            </w:r>
          </w:p>
        </w:tc>
        <w:tc>
          <w:tcPr>
            <w:tcW w:w="1176" w:type="dxa"/>
            <w:vMerge w:val="continue"/>
            <w:tcBorders>
              <w:left w:val="single" w:color="auto" w:sz="4" w:space="0"/>
              <w:bottom w:val="single" w:color="auto" w:sz="4" w:space="0"/>
              <w:right w:val="single" w:color="auto" w:sz="4" w:space="0"/>
            </w:tcBorders>
            <w:vAlign w:val="center"/>
          </w:tcPr>
          <w:p>
            <w:pPr>
              <w:jc w:val="left"/>
              <w:rPr>
                <w:rFonts w:ascii="宋体" w:cs="宋体"/>
                <w:kern w:val="0"/>
              </w:rPr>
            </w:pPr>
          </w:p>
        </w:tc>
        <w:tc>
          <w:tcPr>
            <w:tcW w:w="5586" w:type="dxa"/>
            <w:tcBorders>
              <w:top w:val="single" w:color="auto" w:sz="4" w:space="0"/>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当井巷工程施工至接近有预报的地质灾害区域时，施工单位的地测部门必须提前发出地质、水文地质通知单，并制定预防地质灾害因素的专项措施</w:t>
            </w:r>
          </w:p>
        </w:tc>
        <w:tc>
          <w:tcPr>
            <w:tcW w:w="2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5.2.3</w:t>
            </w:r>
            <w:r>
              <w:rPr>
                <w:rFonts w:hint="eastAsia" w:ascii="宋体" w:hAnsi="宋体" w:cs="宋体"/>
                <w:kern w:val="0"/>
              </w:rPr>
              <w:t>。</w:t>
            </w: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rPr>
            </w:pPr>
          </w:p>
        </w:tc>
        <w:tc>
          <w:tcPr>
            <w:tcW w:w="1427" w:type="dxa"/>
            <w:vMerge w:val="continue"/>
            <w:tcBorders>
              <w:left w:val="single" w:color="auto" w:sz="4" w:space="0"/>
              <w:bottom w:val="single" w:color="auto" w:sz="4" w:space="0"/>
              <w:right w:val="single" w:color="auto" w:sz="4" w:space="0"/>
            </w:tcBorders>
          </w:tcPr>
          <w:p>
            <w:pPr>
              <w:rPr>
                <w:rFonts w:ascii="宋体" w:hAnsi="宋体" w:cs="宋体"/>
                <w:kern w:val="0"/>
              </w:rPr>
            </w:pPr>
          </w:p>
        </w:tc>
        <w:tc>
          <w:tcPr>
            <w:tcW w:w="1209" w:type="dxa"/>
            <w:vMerge w:val="continue"/>
            <w:tcBorders>
              <w:left w:val="single" w:color="auto" w:sz="4" w:space="0"/>
              <w:bottom w:val="single" w:color="auto" w:sz="4" w:space="0"/>
              <w:right w:val="single" w:color="auto" w:sz="4" w:space="0"/>
            </w:tcBorders>
          </w:tcPr>
          <w:p>
            <w:pPr>
              <w:rPr>
                <w:rFonts w:ascii="宋体" w:hAns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7</w:t>
            </w:r>
          </w:p>
        </w:tc>
        <w:tc>
          <w:tcPr>
            <w:tcW w:w="1176" w:type="dxa"/>
            <w:vMerge w:val="restart"/>
            <w:tcBorders>
              <w:top w:val="nil"/>
              <w:left w:val="single" w:color="auto" w:sz="4" w:space="0"/>
              <w:right w:val="single" w:color="auto" w:sz="4" w:space="0"/>
            </w:tcBorders>
            <w:vAlign w:val="center"/>
          </w:tcPr>
          <w:p>
            <w:pPr>
              <w:jc w:val="left"/>
              <w:rPr>
                <w:rFonts w:ascii="宋体" w:cs="宋体"/>
                <w:kern w:val="0"/>
              </w:rPr>
            </w:pPr>
            <w:r>
              <w:rPr>
                <w:rFonts w:hint="eastAsia" w:ascii="宋体" w:hAnsi="宋体" w:cs="宋体"/>
                <w:kern w:val="0"/>
              </w:rPr>
              <w:t>建设项目施工组织设计</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单项工程施工组织设计按规定编制，并根据年度施工进展情况进行调整。施工组织设计需经设计、监理、施工等相关单位会审后组织实施</w:t>
            </w:r>
            <w:r>
              <w:rPr>
                <w:rFonts w:ascii="宋体" w:hAnsi="宋体" w:cs="宋体"/>
                <w:kern w:val="0"/>
              </w:rPr>
              <w:t>,</w:t>
            </w:r>
            <w:r>
              <w:rPr>
                <w:rFonts w:hint="eastAsia" w:ascii="宋体" w:hAnsi="宋体" w:cs="宋体"/>
                <w:kern w:val="0"/>
              </w:rPr>
              <w:t>原设计变更的应作相应调整变更。</w:t>
            </w:r>
          </w:p>
        </w:tc>
        <w:tc>
          <w:tcPr>
            <w:tcW w:w="2323" w:type="dxa"/>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5.2.1</w:t>
            </w:r>
            <w:r>
              <w:rPr>
                <w:rFonts w:hint="eastAsia" w:ascii="宋体" w:hAnsi="宋体" w:cs="宋体"/>
                <w:kern w:val="0"/>
              </w:rPr>
              <w:t>。</w:t>
            </w: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rPr>
                <w:rFonts w:ascii="宋体" w:cs="宋体"/>
                <w:kern w:val="0"/>
              </w:rPr>
            </w:pPr>
          </w:p>
        </w:tc>
        <w:tc>
          <w:tcPr>
            <w:tcW w:w="1427" w:type="dxa"/>
            <w:vMerge w:val="restart"/>
            <w:tcBorders>
              <w:top w:val="single" w:color="auto" w:sz="4" w:space="0"/>
              <w:left w:val="single" w:color="auto" w:sz="4" w:space="0"/>
              <w:right w:val="single" w:color="auto" w:sz="4" w:space="0"/>
            </w:tcBorders>
          </w:tcPr>
          <w:p>
            <w:pPr>
              <w:rPr>
                <w:rFonts w:ascii="宋体" w:cs="宋体"/>
                <w:kern w:val="0"/>
              </w:rPr>
            </w:pPr>
          </w:p>
        </w:tc>
        <w:tc>
          <w:tcPr>
            <w:tcW w:w="1209" w:type="dxa"/>
            <w:vMerge w:val="restart"/>
            <w:tcBorders>
              <w:top w:val="single" w:color="auto" w:sz="4" w:space="0"/>
              <w:left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cs="宋体"/>
                <w:kern w:val="0"/>
              </w:rPr>
            </w:pPr>
            <w:r>
              <w:rPr>
                <w:rFonts w:hint="eastAsia" w:ascii="宋体" w:cs="宋体"/>
                <w:kern w:val="0"/>
              </w:rPr>
              <w:t>8</w:t>
            </w:r>
          </w:p>
        </w:tc>
        <w:tc>
          <w:tcPr>
            <w:tcW w:w="1176" w:type="dxa"/>
            <w:vMerge w:val="continue"/>
            <w:tcBorders>
              <w:left w:val="single" w:color="auto" w:sz="4" w:space="0"/>
              <w:bottom w:val="single" w:color="000000" w:sz="4" w:space="0"/>
              <w:right w:val="single" w:color="auto" w:sz="4" w:space="0"/>
            </w:tcBorders>
            <w:vAlign w:val="center"/>
          </w:tcPr>
          <w:p>
            <w:pPr>
              <w:jc w:val="left"/>
              <w:rPr>
                <w:rFonts w:ascii="宋体" w:cs="宋体"/>
                <w:kern w:val="0"/>
              </w:rPr>
            </w:pP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单位工程施工组织设计、作业规程、安全技术措施按规定编制、审批，批准后报送建设单位和监理单位；无上级主管单位的施工单位，报送建设单位批准实施。</w:t>
            </w:r>
          </w:p>
        </w:tc>
        <w:tc>
          <w:tcPr>
            <w:tcW w:w="2323" w:type="dxa"/>
            <w:tcBorders>
              <w:top w:val="nil"/>
              <w:left w:val="single" w:color="auto" w:sz="4" w:space="0"/>
              <w:bottom w:val="single" w:color="000000" w:sz="4" w:space="0"/>
              <w:right w:val="single" w:color="auto" w:sz="4" w:space="0"/>
            </w:tcBorders>
            <w:vAlign w:val="center"/>
          </w:tcPr>
          <w:p>
            <w:pPr>
              <w:jc w:val="left"/>
              <w:rPr>
                <w:rFonts w:ascii="宋体" w:cs="宋体"/>
                <w:kern w:val="0"/>
              </w:rPr>
            </w:pPr>
            <w:r>
              <w:rPr>
                <w:rFonts w:hint="eastAsia" w:ascii="宋体" w:hAnsi="宋体" w:cs="宋体"/>
                <w:kern w:val="0"/>
              </w:rPr>
              <w:t>煤矿建设安全规范</w:t>
            </w:r>
          </w:p>
          <w:p>
            <w:pPr>
              <w:jc w:val="left"/>
              <w:rPr>
                <w:rFonts w:ascii="宋体" w:hAnsi="宋体" w:cs="宋体"/>
                <w:kern w:val="0"/>
              </w:rPr>
            </w:pPr>
            <w:r>
              <w:rPr>
                <w:rFonts w:hint="eastAsia" w:ascii="宋体" w:hAnsi="宋体" w:cs="宋体"/>
                <w:kern w:val="0"/>
              </w:rPr>
              <w:t>（</w:t>
            </w:r>
            <w:r>
              <w:rPr>
                <w:rFonts w:ascii="宋体" w:hAnsi="宋体" w:cs="宋体"/>
                <w:kern w:val="0"/>
              </w:rPr>
              <w:t>AQ 1083—2011</w:t>
            </w:r>
            <w:r>
              <w:rPr>
                <w:rFonts w:hint="eastAsia" w:ascii="宋体" w:hAnsi="宋体" w:cs="宋体"/>
                <w:kern w:val="0"/>
              </w:rPr>
              <w:t>）</w:t>
            </w:r>
            <w:r>
              <w:rPr>
                <w:rFonts w:ascii="宋体" w:hAnsi="宋体" w:cs="宋体"/>
                <w:kern w:val="0"/>
              </w:rPr>
              <w:t>4.11</w:t>
            </w:r>
            <w:r>
              <w:rPr>
                <w:rFonts w:hint="eastAsia" w:ascii="宋体" w:hAnsi="宋体" w:cs="宋体"/>
                <w:kern w:val="0"/>
              </w:rPr>
              <w:t>。</w:t>
            </w: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rPr>
            </w:pPr>
          </w:p>
        </w:tc>
        <w:tc>
          <w:tcPr>
            <w:tcW w:w="1427" w:type="dxa"/>
            <w:vMerge w:val="continue"/>
            <w:tcBorders>
              <w:left w:val="single" w:color="auto" w:sz="4" w:space="0"/>
              <w:bottom w:val="single" w:color="auto" w:sz="4" w:space="0"/>
              <w:right w:val="single" w:color="auto" w:sz="4" w:space="0"/>
            </w:tcBorders>
          </w:tcPr>
          <w:p>
            <w:pPr>
              <w:rPr>
                <w:rFonts w:ascii="宋体" w:hAnsi="宋体" w:cs="宋体"/>
                <w:kern w:val="0"/>
              </w:rPr>
            </w:pPr>
          </w:p>
        </w:tc>
        <w:tc>
          <w:tcPr>
            <w:tcW w:w="1209" w:type="dxa"/>
            <w:vMerge w:val="continue"/>
            <w:tcBorders>
              <w:left w:val="single" w:color="auto" w:sz="4" w:space="0"/>
              <w:bottom w:val="single" w:color="auto" w:sz="4" w:space="0"/>
              <w:right w:val="single" w:color="auto" w:sz="4" w:space="0"/>
            </w:tcBorders>
          </w:tcPr>
          <w:p>
            <w:pPr>
              <w:rPr>
                <w:rFonts w:ascii="宋体" w:hAns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9</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建设项目施工组织设计变更</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当施工过程中发现设计存在重大缺陷，或者地质条件变化较大时，应立即停止施工并向建设单位报告。建设单位应及时组织相关各方制定应急安全防范措施，组织修改设计并按规定重新报批。</w:t>
            </w:r>
          </w:p>
        </w:tc>
        <w:tc>
          <w:tcPr>
            <w:tcW w:w="2323"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煤矿建设安全规范</w:t>
            </w:r>
          </w:p>
          <w:p>
            <w:pPr>
              <w:jc w:val="left"/>
              <w:rPr>
                <w:rFonts w:ascii="宋体" w:hAnsi="宋体" w:cs="宋体"/>
                <w:kern w:val="0"/>
              </w:rPr>
            </w:pPr>
            <w:r>
              <w:rPr>
                <w:rFonts w:hint="eastAsia" w:ascii="宋体" w:hAnsi="宋体" w:cs="宋体"/>
                <w:kern w:val="0"/>
              </w:rPr>
              <w:t>（</w:t>
            </w:r>
            <w:r>
              <w:rPr>
                <w:rFonts w:ascii="宋体" w:hAnsi="宋体" w:cs="宋体"/>
                <w:kern w:val="0"/>
              </w:rPr>
              <w:t>AQ 1083—2011</w:t>
            </w:r>
            <w:r>
              <w:rPr>
                <w:rFonts w:hint="eastAsia" w:ascii="宋体" w:hAnsi="宋体" w:cs="宋体"/>
                <w:kern w:val="0"/>
              </w:rPr>
              <w:t>）</w:t>
            </w:r>
            <w:r>
              <w:rPr>
                <w:rFonts w:ascii="宋体" w:hAnsi="宋体" w:cs="宋体"/>
                <w:kern w:val="0"/>
              </w:rPr>
              <w:t>4.13</w:t>
            </w:r>
            <w:r>
              <w:rPr>
                <w:rFonts w:hint="eastAsia" w:ascii="宋体" w:hAnsi="宋体" w:cs="宋体"/>
                <w:kern w:val="0"/>
              </w:rPr>
              <w:t>。</w:t>
            </w:r>
          </w:p>
        </w:tc>
        <w:tc>
          <w:tcPr>
            <w:tcW w:w="1321" w:type="dxa"/>
            <w:tcBorders>
              <w:top w:val="single" w:color="auto" w:sz="4" w:space="0"/>
              <w:left w:val="nil"/>
              <w:bottom w:val="single" w:color="auto" w:sz="4" w:space="0"/>
              <w:right w:val="single" w:color="auto" w:sz="4" w:space="0"/>
            </w:tcBorders>
            <w:vAlign w:val="center"/>
          </w:tcPr>
          <w:p>
            <w:pPr>
              <w:rPr>
                <w:rFonts w:ascii="宋体" w:cs="宋体"/>
                <w:kern w:val="0"/>
              </w:rPr>
            </w:pPr>
          </w:p>
        </w:tc>
        <w:tc>
          <w:tcPr>
            <w:tcW w:w="1427" w:type="dxa"/>
            <w:tcBorders>
              <w:top w:val="single" w:color="auto" w:sz="4" w:space="0"/>
              <w:left w:val="nil"/>
              <w:bottom w:val="single" w:color="auto" w:sz="4" w:space="0"/>
              <w:right w:val="single" w:color="auto" w:sz="4" w:space="0"/>
            </w:tcBorders>
          </w:tcPr>
          <w:p>
            <w:pPr>
              <w:rPr>
                <w:rFonts w:ascii="宋体" w:cs="宋体"/>
                <w:kern w:val="0"/>
              </w:rPr>
            </w:pPr>
          </w:p>
        </w:tc>
        <w:tc>
          <w:tcPr>
            <w:tcW w:w="1209" w:type="dxa"/>
            <w:tcBorders>
              <w:top w:val="single" w:color="auto" w:sz="4" w:space="0"/>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10</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建设项目施工组织管理</w:t>
            </w:r>
          </w:p>
        </w:tc>
        <w:tc>
          <w:tcPr>
            <w:tcW w:w="5586" w:type="dxa"/>
            <w:tcBorders>
              <w:top w:val="single" w:color="auto" w:sz="4" w:space="0"/>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施工单位必须严格按批准的设计、施工组织设计组织施工。当施工过程中发现设计存在重大缺陷，或者地质条件变化较大时，应立即停止施工并向建设单位报告。</w:t>
            </w:r>
          </w:p>
        </w:tc>
        <w:tc>
          <w:tcPr>
            <w:tcW w:w="2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4.13</w:t>
            </w:r>
            <w:r>
              <w:rPr>
                <w:rFonts w:hint="eastAsia" w:ascii="宋体" w:hAnsi="宋体" w:cs="宋体"/>
                <w:kern w:val="0"/>
              </w:rPr>
              <w:t>。</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cs="宋体"/>
                <w:kern w:val="0"/>
              </w:rPr>
            </w:pPr>
          </w:p>
        </w:tc>
        <w:tc>
          <w:tcPr>
            <w:tcW w:w="1427" w:type="dxa"/>
            <w:tcBorders>
              <w:top w:val="single" w:color="auto" w:sz="4" w:space="0"/>
              <w:left w:val="single" w:color="auto" w:sz="4" w:space="0"/>
              <w:bottom w:val="single" w:color="auto" w:sz="4" w:space="0"/>
              <w:right w:val="single" w:color="auto" w:sz="4" w:space="0"/>
            </w:tcBorders>
          </w:tcPr>
          <w:p>
            <w:pPr>
              <w:rPr>
                <w:rFonts w:ascii="宋体" w:cs="宋体"/>
                <w:kern w:val="0"/>
              </w:rPr>
            </w:pPr>
          </w:p>
        </w:tc>
        <w:tc>
          <w:tcPr>
            <w:tcW w:w="1209" w:type="dxa"/>
            <w:tcBorders>
              <w:top w:val="single" w:color="auto" w:sz="4" w:space="0"/>
              <w:left w:val="single" w:color="auto" w:sz="4" w:space="0"/>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11</w:t>
            </w:r>
          </w:p>
        </w:tc>
        <w:tc>
          <w:tcPr>
            <w:tcW w:w="1176" w:type="dxa"/>
            <w:vMerge w:val="restart"/>
            <w:tcBorders>
              <w:top w:val="nil"/>
              <w:left w:val="single" w:color="auto" w:sz="4" w:space="0"/>
              <w:right w:val="single" w:color="auto" w:sz="4" w:space="0"/>
            </w:tcBorders>
            <w:vAlign w:val="center"/>
          </w:tcPr>
          <w:p>
            <w:pPr>
              <w:jc w:val="left"/>
              <w:rPr>
                <w:rFonts w:ascii="宋体" w:cs="宋体"/>
                <w:kern w:val="0"/>
              </w:rPr>
            </w:pPr>
            <w:r>
              <w:rPr>
                <w:rFonts w:hint="eastAsia" w:ascii="宋体" w:hAnsi="宋体" w:cs="宋体"/>
                <w:kern w:val="0"/>
              </w:rPr>
              <w:t>施工单位资质管理</w:t>
            </w:r>
          </w:p>
        </w:tc>
        <w:tc>
          <w:tcPr>
            <w:tcW w:w="5586" w:type="dxa"/>
            <w:tcBorders>
              <w:top w:val="single" w:color="auto" w:sz="4" w:space="0"/>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施工单位有工商登记、施工资质和安全生产许可证，施工资质与工程级别相符。</w:t>
            </w:r>
          </w:p>
        </w:tc>
        <w:tc>
          <w:tcPr>
            <w:tcW w:w="2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4.2</w:t>
            </w:r>
            <w:r>
              <w:rPr>
                <w:rFonts w:hint="eastAsia" w:ascii="宋体" w:hAnsi="宋体" w:cs="宋体"/>
                <w:kern w:val="0"/>
              </w:rPr>
              <w:t>。</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cs="宋体"/>
                <w:kern w:val="0"/>
              </w:rPr>
            </w:pPr>
          </w:p>
        </w:tc>
        <w:tc>
          <w:tcPr>
            <w:tcW w:w="1427" w:type="dxa"/>
            <w:tcBorders>
              <w:top w:val="single" w:color="auto" w:sz="4" w:space="0"/>
              <w:left w:val="single" w:color="auto" w:sz="4" w:space="0"/>
              <w:bottom w:val="single" w:color="auto" w:sz="4" w:space="0"/>
              <w:right w:val="single" w:color="auto" w:sz="4" w:space="0"/>
            </w:tcBorders>
          </w:tcPr>
          <w:p>
            <w:pPr>
              <w:rPr>
                <w:rFonts w:ascii="宋体" w:cs="宋体"/>
                <w:kern w:val="0"/>
              </w:rPr>
            </w:pPr>
          </w:p>
        </w:tc>
        <w:tc>
          <w:tcPr>
            <w:tcW w:w="1209" w:type="dxa"/>
            <w:tcBorders>
              <w:top w:val="single" w:color="auto" w:sz="4" w:space="0"/>
              <w:left w:val="single" w:color="auto" w:sz="4" w:space="0"/>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12</w:t>
            </w:r>
          </w:p>
        </w:tc>
        <w:tc>
          <w:tcPr>
            <w:tcW w:w="1176" w:type="dxa"/>
            <w:vMerge w:val="continue"/>
            <w:tcBorders>
              <w:left w:val="single" w:color="auto" w:sz="4" w:space="0"/>
              <w:bottom w:val="single" w:color="auto" w:sz="4" w:space="0"/>
              <w:right w:val="single" w:color="auto" w:sz="4" w:space="0"/>
            </w:tcBorders>
            <w:vAlign w:val="center"/>
          </w:tcPr>
          <w:p>
            <w:pPr>
              <w:jc w:val="left"/>
              <w:rPr>
                <w:rFonts w:ascii="宋体" w:hAnsi="宋体" w:cs="宋体"/>
                <w:kern w:val="0"/>
              </w:rPr>
            </w:pPr>
          </w:p>
        </w:tc>
        <w:tc>
          <w:tcPr>
            <w:tcW w:w="5586"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一个建设项目单项工程（或同类专业工程），原则上发包给</w:t>
            </w:r>
            <w:r>
              <w:rPr>
                <w:rFonts w:ascii="宋体" w:hAnsi="宋体" w:cs="宋体"/>
                <w:kern w:val="0"/>
              </w:rPr>
              <w:t xml:space="preserve">1 </w:t>
            </w:r>
            <w:r>
              <w:rPr>
                <w:rFonts w:hint="eastAsia" w:ascii="宋体" w:hAnsi="宋体" w:cs="宋体"/>
                <w:kern w:val="0"/>
              </w:rPr>
              <w:t>家有相应资质的施工单位，大型及以上项目单项工程（或同类专业工程）施工单位不得超过</w:t>
            </w:r>
            <w:r>
              <w:rPr>
                <w:rFonts w:ascii="宋体" w:hAnsi="宋体" w:cs="宋体"/>
                <w:kern w:val="0"/>
              </w:rPr>
              <w:t xml:space="preserve">2 </w:t>
            </w:r>
            <w:r>
              <w:rPr>
                <w:rFonts w:hint="eastAsia" w:ascii="宋体" w:hAnsi="宋体" w:cs="宋体"/>
                <w:kern w:val="0"/>
              </w:rPr>
              <w:t>家。</w:t>
            </w:r>
          </w:p>
          <w:p>
            <w:pPr>
              <w:jc w:val="left"/>
              <w:rPr>
                <w:rFonts w:ascii="宋体" w:hAnsi="宋体" w:cs="宋体"/>
                <w:kern w:val="0"/>
              </w:rPr>
            </w:pPr>
            <w:r>
              <w:rPr>
                <w:rFonts w:hint="eastAsia" w:ascii="宋体" w:hAnsi="宋体" w:cs="宋体"/>
                <w:kern w:val="0"/>
              </w:rPr>
              <w:t>高瓦斯及煤（岩）与瓦斯（二氧化碳）突出矿井、水文地质条件复杂及以上的矿井、立井井深大于</w:t>
            </w:r>
            <w:r>
              <w:rPr>
                <w:rFonts w:ascii="宋体" w:hAnsi="宋体" w:cs="宋体"/>
                <w:kern w:val="0"/>
              </w:rPr>
              <w:t>600m</w:t>
            </w:r>
            <w:r>
              <w:rPr>
                <w:rFonts w:hint="eastAsia" w:ascii="宋体" w:hAnsi="宋体" w:cs="宋体"/>
                <w:kern w:val="0"/>
              </w:rPr>
              <w:t>、斜井长度大于</w:t>
            </w:r>
            <w:r>
              <w:rPr>
                <w:rFonts w:ascii="宋体" w:hAnsi="宋体" w:cs="宋体"/>
                <w:kern w:val="0"/>
              </w:rPr>
              <w:t xml:space="preserve">1000m </w:t>
            </w:r>
            <w:r>
              <w:rPr>
                <w:rFonts w:hint="eastAsia" w:ascii="宋体" w:hAnsi="宋体" w:cs="宋体"/>
                <w:kern w:val="0"/>
              </w:rPr>
              <w:t>或垂深大于</w:t>
            </w:r>
            <w:r>
              <w:rPr>
                <w:rFonts w:ascii="宋体" w:hAnsi="宋体" w:cs="宋体"/>
                <w:kern w:val="0"/>
              </w:rPr>
              <w:t xml:space="preserve">200m </w:t>
            </w:r>
            <w:r>
              <w:rPr>
                <w:rFonts w:hint="eastAsia" w:ascii="宋体" w:hAnsi="宋体" w:cs="宋体"/>
                <w:kern w:val="0"/>
              </w:rPr>
              <w:t>的项目，施工单位必须具有相应的煤矿施工业绩，同时具有国家一级及以上施工资质。</w:t>
            </w:r>
          </w:p>
          <w:p>
            <w:pPr>
              <w:jc w:val="left"/>
              <w:rPr>
                <w:rFonts w:ascii="宋体" w:cs="宋体"/>
                <w:kern w:val="0"/>
              </w:rPr>
            </w:pPr>
            <w:r>
              <w:rPr>
                <w:rFonts w:hint="eastAsia" w:ascii="宋体" w:hAnsi="宋体" w:cs="宋体"/>
                <w:kern w:val="0"/>
              </w:rPr>
              <w:t>煤矿建设项目由</w:t>
            </w:r>
            <w:r>
              <w:rPr>
                <w:rFonts w:ascii="宋体" w:hAnsi="宋体" w:cs="宋体"/>
                <w:kern w:val="0"/>
              </w:rPr>
              <w:t xml:space="preserve">2 </w:t>
            </w:r>
            <w:r>
              <w:rPr>
                <w:rFonts w:hint="eastAsia" w:ascii="宋体" w:hAnsi="宋体" w:cs="宋体"/>
                <w:kern w:val="0"/>
              </w:rPr>
              <w:t>家施工单位共同施工的，由建设单位负责组织制定和督促落实有关安全技术措施，并签订安全生产管理协议。</w:t>
            </w:r>
          </w:p>
        </w:tc>
        <w:tc>
          <w:tcPr>
            <w:tcW w:w="2323"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4.2</w:t>
            </w:r>
            <w:r>
              <w:rPr>
                <w:rFonts w:hint="eastAsia" w:ascii="宋体" w:hAnsi="宋体" w:cs="宋体"/>
                <w:kern w:val="0"/>
              </w:rPr>
              <w:t>、</w:t>
            </w:r>
            <w:r>
              <w:rPr>
                <w:rFonts w:ascii="宋体" w:hAnsi="宋体" w:cs="宋体"/>
                <w:kern w:val="0"/>
              </w:rPr>
              <w:t>4.3</w:t>
            </w:r>
            <w:r>
              <w:rPr>
                <w:rFonts w:hint="eastAsia" w:ascii="宋体" w:hAnsi="宋体" w:cs="宋体"/>
                <w:kern w:val="0"/>
              </w:rPr>
              <w:t>、</w:t>
            </w:r>
            <w:r>
              <w:rPr>
                <w:rFonts w:ascii="宋体" w:hAnsi="宋体" w:cs="宋体"/>
                <w:kern w:val="0"/>
              </w:rPr>
              <w:t>4.8</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13</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建设单位机构设置及人员配备</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煤矿建设单位必须设置安全生产管理机构，配备满足安全生产需要的专职安全生产管理人员和装备。煤矿施工项目部必须配备满足需要的矿建、机电、通风、地测等工程技术人员和特种作业人员。</w:t>
            </w:r>
          </w:p>
        </w:tc>
        <w:tc>
          <w:tcPr>
            <w:tcW w:w="2323"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4.4</w:t>
            </w:r>
            <w:r>
              <w:rPr>
                <w:rFonts w:hint="eastAsia" w:ascii="宋体" w:hAnsi="宋体" w:cs="宋体"/>
                <w:kern w:val="0"/>
              </w:rPr>
              <w:t>、</w:t>
            </w:r>
            <w:r>
              <w:rPr>
                <w:rFonts w:ascii="宋体" w:hAnsi="宋体" w:cs="宋体"/>
                <w:kern w:val="0"/>
              </w:rPr>
              <w:t>4.5</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14</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建设单位安全管理制度建立</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煤矿建设单位必须建立健全安全生产责任制度、安全目标管理制度、安全投入保障制度、安全教育与培训制度、事故隐患排查与整改制度、安全监督检查制度、安全技术审批制度、安全会议等制度。</w:t>
            </w:r>
          </w:p>
        </w:tc>
        <w:tc>
          <w:tcPr>
            <w:tcW w:w="2323"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4.3</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ascii="宋体" w:hAnsi="宋体" w:cs="宋体"/>
                <w:kern w:val="0"/>
              </w:rPr>
              <w:t>1</w:t>
            </w:r>
            <w:r>
              <w:rPr>
                <w:rFonts w:hint="eastAsia" w:ascii="宋体" w:hAnsi="宋体" w:cs="宋体"/>
                <w:kern w:val="0"/>
              </w:rPr>
              <w:t>5</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施工单位机构设置及人员配备</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煤矿施工单位必须设置安全生产管理机构，配备满足安全生产需要的专职安全生产管理人员和装备。煤矿施工项目部必须配备满足需要的矿建、机电、通风、地测等工程技术人员和特种作业人员。</w:t>
            </w:r>
          </w:p>
        </w:tc>
        <w:tc>
          <w:tcPr>
            <w:tcW w:w="2323"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4.4</w:t>
            </w:r>
            <w:r>
              <w:rPr>
                <w:rFonts w:hint="eastAsia" w:ascii="宋体" w:hAnsi="宋体" w:cs="宋体"/>
                <w:kern w:val="0"/>
              </w:rPr>
              <w:t>、</w:t>
            </w:r>
            <w:r>
              <w:rPr>
                <w:rFonts w:ascii="宋体" w:hAnsi="宋体" w:cs="宋体"/>
                <w:kern w:val="0"/>
              </w:rPr>
              <w:t>4.5</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16</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施工单位安全管理制度建立</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施工单位必须建立健全安全生产责任制度、安全目标管理制度、安全投入保障制度、安全教育与培训制度、事故隐患排查与整改制度、安全监督检查制度、安全技术审批制度、安全会议、设备、设施检查维修、干部值班和下井带班制度等制度。</w:t>
            </w:r>
          </w:p>
        </w:tc>
        <w:tc>
          <w:tcPr>
            <w:tcW w:w="2323"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4.3</w:t>
            </w:r>
            <w:r>
              <w:rPr>
                <w:rFonts w:hint="eastAsia" w:ascii="宋体" w:hAnsi="宋体" w:cs="宋体"/>
                <w:kern w:val="0"/>
              </w:rPr>
              <w:t>、</w:t>
            </w:r>
            <w:r>
              <w:rPr>
                <w:rFonts w:ascii="宋体" w:hAnsi="宋体" w:cs="宋体"/>
                <w:kern w:val="0"/>
              </w:rPr>
              <w:t>4.23</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ascii="宋体" w:hAnsi="宋体" w:cs="宋体"/>
                <w:kern w:val="0"/>
              </w:rPr>
              <w:t>1</w:t>
            </w:r>
            <w:r>
              <w:rPr>
                <w:rFonts w:hint="eastAsia" w:ascii="宋体" w:hAnsi="宋体" w:cs="宋体"/>
                <w:kern w:val="0"/>
              </w:rPr>
              <w:t>7</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施工单位安全管理制度落实</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是否严格执行本单位的安全生产规章制度。</w:t>
            </w:r>
          </w:p>
        </w:tc>
        <w:tc>
          <w:tcPr>
            <w:tcW w:w="2323"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4.3</w:t>
            </w:r>
            <w:r>
              <w:rPr>
                <w:rFonts w:hint="eastAsia" w:ascii="宋体" w:hAnsi="宋体" w:cs="宋体"/>
                <w:kern w:val="0"/>
              </w:rPr>
              <w:t>、</w:t>
            </w:r>
            <w:r>
              <w:rPr>
                <w:rFonts w:ascii="宋体" w:hAnsi="宋体" w:cs="宋体"/>
                <w:kern w:val="0"/>
              </w:rPr>
              <w:t>4.23</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ascii="宋体" w:hAnsi="宋体" w:cs="宋体"/>
                <w:kern w:val="0"/>
              </w:rPr>
              <w:t>1</w:t>
            </w:r>
            <w:r>
              <w:rPr>
                <w:rFonts w:hint="eastAsia" w:ascii="宋体" w:hAnsi="宋体" w:cs="宋体"/>
                <w:kern w:val="0"/>
              </w:rPr>
              <w:t>8</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监理单位资质</w:t>
            </w:r>
          </w:p>
        </w:tc>
        <w:tc>
          <w:tcPr>
            <w:tcW w:w="5586"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监理单位的资质有效并与工程级别相符，现场监理人员执有效监理资格证书。</w:t>
            </w:r>
          </w:p>
          <w:p>
            <w:pPr>
              <w:jc w:val="left"/>
              <w:rPr>
                <w:rFonts w:ascii="宋体" w:cs="宋体"/>
                <w:kern w:val="0"/>
              </w:rPr>
            </w:pPr>
            <w:r>
              <w:rPr>
                <w:rFonts w:hint="eastAsia" w:ascii="宋体" w:hAnsi="宋体" w:cs="宋体"/>
                <w:kern w:val="0"/>
              </w:rPr>
              <w:t>人员配备能够满足工程监理需要。</w:t>
            </w:r>
          </w:p>
        </w:tc>
        <w:tc>
          <w:tcPr>
            <w:tcW w:w="2323"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《建设工程监理规范》（</w:t>
            </w:r>
            <w:r>
              <w:rPr>
                <w:rFonts w:ascii="宋体" w:hAnsi="宋体" w:cs="宋体"/>
                <w:kern w:val="0"/>
              </w:rPr>
              <w:t>GB/T 50319</w:t>
            </w:r>
            <w:r>
              <w:rPr>
                <w:rFonts w:hint="eastAsia" w:ascii="宋体" w:hAnsi="宋体" w:cs="宋体"/>
                <w:kern w:val="0"/>
              </w:rPr>
              <w:t>－</w:t>
            </w:r>
            <w:r>
              <w:rPr>
                <w:rFonts w:ascii="宋体" w:hAnsi="宋体" w:cs="宋体"/>
                <w:kern w:val="0"/>
              </w:rPr>
              <w:t>2013</w:t>
            </w:r>
            <w:r>
              <w:rPr>
                <w:rFonts w:hint="eastAsia" w:ascii="宋体" w:hAnsi="宋体" w:cs="宋体"/>
                <w:kern w:val="0"/>
              </w:rPr>
              <w:t>）</w:t>
            </w:r>
            <w:r>
              <w:rPr>
                <w:rFonts w:ascii="宋体" w:hAnsi="宋体" w:cs="宋体"/>
                <w:kern w:val="0"/>
              </w:rPr>
              <w:t>1.0.3</w:t>
            </w:r>
            <w:r>
              <w:rPr>
                <w:rFonts w:hint="eastAsia" w:ascii="宋体" w:hAnsi="宋体" w:cs="宋体"/>
                <w:kern w:val="0"/>
              </w:rPr>
              <w:t>、</w:t>
            </w:r>
            <w:r>
              <w:rPr>
                <w:rFonts w:ascii="宋体" w:hAnsi="宋体" w:cs="宋体"/>
                <w:kern w:val="0"/>
              </w:rPr>
              <w:t>3.1.2</w:t>
            </w:r>
            <w:r>
              <w:rPr>
                <w:rFonts w:hint="eastAsia" w:ascii="宋体" w:hAnsi="宋体" w:cs="宋体"/>
                <w:kern w:val="0"/>
              </w:rPr>
              <w:t>。</w:t>
            </w:r>
          </w:p>
          <w:p>
            <w:pPr>
              <w:jc w:val="left"/>
              <w:rPr>
                <w:rFonts w:ascii="宋体" w:hAnsi="宋体" w:cs="宋体"/>
                <w:kern w:val="0"/>
              </w:rPr>
            </w:pP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ascii="宋体" w:hAnsi="宋体" w:cs="宋体"/>
                <w:kern w:val="0"/>
              </w:rPr>
              <w:t>1</w:t>
            </w:r>
            <w:r>
              <w:rPr>
                <w:rFonts w:hint="eastAsia" w:ascii="宋体" w:hAnsi="宋体" w:cs="宋体"/>
                <w:kern w:val="0"/>
              </w:rPr>
              <w:t>9</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入井人员管理</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矿井施工二、三期工程时，每班同时进行掘进作业人员不超过</w:t>
            </w:r>
            <w:r>
              <w:rPr>
                <w:rFonts w:ascii="宋体" w:hAnsi="宋体" w:cs="宋体"/>
                <w:kern w:val="0"/>
              </w:rPr>
              <w:t xml:space="preserve"> 100 </w:t>
            </w:r>
            <w:r>
              <w:rPr>
                <w:rFonts w:hint="eastAsia" w:ascii="宋体" w:hAnsi="宋体" w:cs="宋体"/>
                <w:kern w:val="0"/>
              </w:rPr>
              <w:t>人。</w:t>
            </w:r>
          </w:p>
        </w:tc>
        <w:tc>
          <w:tcPr>
            <w:tcW w:w="2323"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4.25</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20</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建设单位应急管理</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建设单位必须有矿山救护队为其服务。煤矿建设单位根据工程进展情况组织编制应急预案，成立应急救援领导小组，指定兼职应急救援人员，配备必要的救援器材、设备，保证正常运转。及时修订应急预案，每年必须至少组织</w:t>
            </w:r>
            <w:r>
              <w:rPr>
                <w:rFonts w:ascii="宋体" w:hAnsi="宋体" w:cs="宋体"/>
                <w:kern w:val="0"/>
              </w:rPr>
              <w:t xml:space="preserve"> 1 </w:t>
            </w:r>
            <w:r>
              <w:rPr>
                <w:rFonts w:hint="eastAsia" w:ascii="宋体" w:hAnsi="宋体" w:cs="宋体"/>
                <w:kern w:val="0"/>
              </w:rPr>
              <w:t>次矿井救灾演习。</w:t>
            </w:r>
          </w:p>
        </w:tc>
        <w:tc>
          <w:tcPr>
            <w:tcW w:w="2323"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4.28</w:t>
            </w:r>
            <w:r>
              <w:rPr>
                <w:rFonts w:hint="eastAsia" w:ascii="宋体" w:hAnsi="宋体" w:cs="宋体"/>
                <w:kern w:val="0"/>
              </w:rPr>
              <w:t>、</w:t>
            </w:r>
            <w:r>
              <w:rPr>
                <w:rFonts w:ascii="宋体" w:hAnsi="宋体" w:cs="宋体"/>
                <w:kern w:val="0"/>
              </w:rPr>
              <w:t>4.29</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21</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施工单位应急管理</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煤矿施工单位根据工程进展情况组织编制应急预案，成立应急救援领导小组，指定兼职应急救援人员，配备必要的救援器材、设备，保证正常运转。及时修订应急预案，每年必须至少组织</w:t>
            </w:r>
            <w:r>
              <w:rPr>
                <w:rFonts w:ascii="宋体" w:hAnsi="宋体" w:cs="宋体"/>
                <w:kern w:val="0"/>
              </w:rPr>
              <w:t xml:space="preserve"> 1 </w:t>
            </w:r>
            <w:r>
              <w:rPr>
                <w:rFonts w:hint="eastAsia" w:ascii="宋体" w:hAnsi="宋体" w:cs="宋体"/>
                <w:kern w:val="0"/>
              </w:rPr>
              <w:t>次矿井救灾演习。</w:t>
            </w:r>
          </w:p>
        </w:tc>
        <w:tc>
          <w:tcPr>
            <w:tcW w:w="2323"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4.29</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22</w:t>
            </w:r>
          </w:p>
        </w:tc>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供电电源</w:t>
            </w:r>
          </w:p>
        </w:tc>
        <w:tc>
          <w:tcPr>
            <w:tcW w:w="55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建井期间应当形成两回路供电。</w:t>
            </w:r>
          </w:p>
          <w:p>
            <w:pPr>
              <w:jc w:val="left"/>
              <w:rPr>
                <w:rFonts w:ascii="宋体" w:hAnsi="宋体" w:cs="宋体"/>
                <w:kern w:val="0"/>
              </w:rPr>
            </w:pPr>
            <w:r>
              <w:rPr>
                <w:rFonts w:hint="eastAsia" w:ascii="宋体" w:hAnsi="宋体" w:cs="宋体"/>
                <w:kern w:val="0"/>
              </w:rPr>
              <w:t>当任一回路停止供电时，另一回路应当能担负矿井全部用电负荷。</w:t>
            </w:r>
          </w:p>
          <w:p>
            <w:pPr>
              <w:jc w:val="left"/>
              <w:rPr>
                <w:rFonts w:ascii="宋体" w:cs="宋体"/>
                <w:kern w:val="0"/>
              </w:rPr>
            </w:pPr>
            <w:r>
              <w:rPr>
                <w:rFonts w:hint="eastAsia" w:ascii="宋体" w:hAnsi="宋体" w:cs="宋体"/>
                <w:kern w:val="0"/>
              </w:rPr>
              <w:t>暂不能形成两回路供电的，必须有备用电源，备用电源的容量应当满足通风、排水和撤出人员的需要。</w:t>
            </w:r>
          </w:p>
          <w:p>
            <w:pPr>
              <w:jc w:val="left"/>
              <w:rPr>
                <w:rFonts w:ascii="宋体" w:cs="宋体"/>
                <w:kern w:val="0"/>
              </w:rPr>
            </w:pPr>
            <w:r>
              <w:rPr>
                <w:rFonts w:hint="eastAsia" w:ascii="宋体" w:hAnsi="宋体" w:cs="宋体"/>
                <w:kern w:val="0"/>
              </w:rPr>
              <w:t>高瓦斯、煤（岩）与瓦斯（二氧化碳）突出、有突水危险或水文地质条件类型复杂及以上的矿井进入二期工程前，其他矿井进入三期工程前，必须按设计建成双回路供电。</w:t>
            </w:r>
          </w:p>
        </w:tc>
        <w:tc>
          <w:tcPr>
            <w:tcW w:w="2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6.10.1.1</w:t>
            </w:r>
            <w:r>
              <w:rPr>
                <w:rFonts w:hint="eastAsia" w:ascii="宋体" w:hAnsi="宋体" w:cs="宋体"/>
                <w:kern w:val="0"/>
              </w:rPr>
              <w:t>。</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cs="宋体"/>
                <w:kern w:val="0"/>
              </w:rPr>
            </w:pPr>
          </w:p>
        </w:tc>
        <w:tc>
          <w:tcPr>
            <w:tcW w:w="1427" w:type="dxa"/>
            <w:tcBorders>
              <w:top w:val="single" w:color="auto" w:sz="4" w:space="0"/>
              <w:left w:val="single" w:color="auto" w:sz="4" w:space="0"/>
              <w:bottom w:val="single" w:color="auto" w:sz="4" w:space="0"/>
              <w:right w:val="single" w:color="auto" w:sz="4" w:space="0"/>
            </w:tcBorders>
          </w:tcPr>
          <w:p>
            <w:pPr>
              <w:rPr>
                <w:rFonts w:ascii="宋体" w:cs="宋体"/>
                <w:kern w:val="0"/>
              </w:rPr>
            </w:pPr>
          </w:p>
        </w:tc>
        <w:tc>
          <w:tcPr>
            <w:tcW w:w="1209" w:type="dxa"/>
            <w:tcBorders>
              <w:top w:val="single" w:color="auto" w:sz="4" w:space="0"/>
              <w:left w:val="single" w:color="auto" w:sz="4" w:space="0"/>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23</w:t>
            </w:r>
          </w:p>
        </w:tc>
        <w:tc>
          <w:tcPr>
            <w:tcW w:w="1176"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通风系统</w:t>
            </w:r>
          </w:p>
        </w:tc>
        <w:tc>
          <w:tcPr>
            <w:tcW w:w="558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rPr>
            </w:pPr>
            <w:r>
              <w:rPr>
                <w:rFonts w:hint="eastAsia" w:ascii="宋体" w:hAnsi="宋体" w:cs="宋体"/>
              </w:rPr>
              <w:t>井筒贯通后，必须按规定安设临时通风机，实现全风压通风。</w:t>
            </w:r>
          </w:p>
          <w:p>
            <w:pPr>
              <w:jc w:val="left"/>
              <w:rPr>
                <w:rFonts w:ascii="宋体" w:hAnsi="宋体" w:cs="宋体"/>
              </w:rPr>
            </w:pPr>
            <w:r>
              <w:rPr>
                <w:rFonts w:hint="eastAsia" w:ascii="宋体" w:hAnsi="宋体" w:cs="宋体"/>
              </w:rPr>
              <w:t>矿井临时通风机应安装在地面。低瓦斯矿井临时通风机确需安装在井下时，必须制定专项措施。</w:t>
            </w:r>
          </w:p>
          <w:p>
            <w:pPr>
              <w:jc w:val="left"/>
              <w:rPr>
                <w:rFonts w:ascii="宋体" w:cs="宋体"/>
              </w:rPr>
            </w:pPr>
            <w:r>
              <w:rPr>
                <w:rFonts w:hint="eastAsia" w:ascii="宋体" w:hAnsi="宋体" w:cs="宋体"/>
              </w:rPr>
              <w:t>矿井采用临时通风机通风时，必须设置备用通风机，备用通风机必须能在</w:t>
            </w:r>
            <w:r>
              <w:rPr>
                <w:rFonts w:ascii="宋体" w:hAnsi="宋体" w:cs="宋体"/>
              </w:rPr>
              <w:t>10min</w:t>
            </w:r>
            <w:r>
              <w:rPr>
                <w:rFonts w:hint="eastAsia" w:ascii="宋体" w:hAnsi="宋体" w:cs="宋体"/>
              </w:rPr>
              <w:t>内启动。</w:t>
            </w:r>
          </w:p>
          <w:p>
            <w:pPr>
              <w:jc w:val="left"/>
              <w:rPr>
                <w:rFonts w:ascii="宋体" w:cs="宋体"/>
              </w:rPr>
            </w:pPr>
            <w:r>
              <w:rPr>
                <w:rFonts w:hint="eastAsia" w:ascii="宋体" w:hAnsi="宋体" w:cs="宋体"/>
              </w:rPr>
              <w:t>高瓦斯、煤与瓦斯突出矿井，进入二期工程前，必须形成地面通风机供风的全风压通风系统。</w:t>
            </w:r>
          </w:p>
          <w:p>
            <w:pPr>
              <w:jc w:val="left"/>
              <w:rPr>
                <w:rFonts w:ascii="宋体" w:cs="宋体"/>
                <w:kern w:val="0"/>
              </w:rPr>
            </w:pPr>
            <w:r>
              <w:rPr>
                <w:rFonts w:hint="eastAsia" w:ascii="宋体" w:hAnsi="宋体" w:cs="宋体"/>
              </w:rPr>
              <w:t>矿井进入三期工程前，地面主要通风机必须投入使用，实现全风压通风。</w:t>
            </w:r>
          </w:p>
        </w:tc>
        <w:tc>
          <w:tcPr>
            <w:tcW w:w="23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6.2.1.12</w:t>
            </w:r>
            <w:r>
              <w:rPr>
                <w:rFonts w:hint="eastAsia" w:ascii="宋体" w:hAnsi="宋体" w:cs="宋体"/>
                <w:kern w:val="0"/>
              </w:rPr>
              <w:t>。</w:t>
            </w:r>
          </w:p>
        </w:tc>
        <w:tc>
          <w:tcPr>
            <w:tcW w:w="1321" w:type="dxa"/>
            <w:tcBorders>
              <w:top w:val="single" w:color="auto" w:sz="4" w:space="0"/>
              <w:left w:val="single" w:color="auto" w:sz="4" w:space="0"/>
              <w:bottom w:val="single" w:color="auto" w:sz="4" w:space="0"/>
              <w:right w:val="single" w:color="auto" w:sz="4" w:space="0"/>
            </w:tcBorders>
            <w:vAlign w:val="center"/>
          </w:tcPr>
          <w:p>
            <w:pPr>
              <w:rPr>
                <w:rFonts w:ascii="宋体" w:cs="宋体"/>
                <w:kern w:val="0"/>
              </w:rPr>
            </w:pPr>
          </w:p>
        </w:tc>
        <w:tc>
          <w:tcPr>
            <w:tcW w:w="1427" w:type="dxa"/>
            <w:tcBorders>
              <w:top w:val="single" w:color="auto" w:sz="4" w:space="0"/>
              <w:left w:val="single" w:color="auto" w:sz="4" w:space="0"/>
              <w:bottom w:val="single" w:color="auto" w:sz="4" w:space="0"/>
              <w:right w:val="single" w:color="auto" w:sz="4" w:space="0"/>
            </w:tcBorders>
          </w:tcPr>
          <w:p>
            <w:pPr>
              <w:rPr>
                <w:rFonts w:ascii="宋体" w:cs="宋体"/>
                <w:kern w:val="0"/>
              </w:rPr>
            </w:pPr>
          </w:p>
        </w:tc>
        <w:tc>
          <w:tcPr>
            <w:tcW w:w="1209" w:type="dxa"/>
            <w:tcBorders>
              <w:top w:val="single" w:color="auto" w:sz="4" w:space="0"/>
              <w:left w:val="single" w:color="auto" w:sz="4" w:space="0"/>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24</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供排水系统</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建井期间应尽早形成永久的供排水系统，未形成系统前，必须建设临时系统。井筒开凿到底后，应当先施工永久排水系统</w:t>
            </w:r>
            <w:r>
              <w:rPr>
                <w:rFonts w:ascii="宋体" w:hAnsi="宋体" w:cs="宋体"/>
                <w:kern w:val="0"/>
              </w:rPr>
              <w:t>,</w:t>
            </w:r>
            <w:r>
              <w:rPr>
                <w:rFonts w:hint="eastAsia" w:ascii="宋体" w:hAnsi="宋体" w:cs="宋体"/>
                <w:kern w:val="0"/>
              </w:rPr>
              <w:t>并在进入采区施工前完成。</w:t>
            </w:r>
          </w:p>
          <w:p>
            <w:pPr>
              <w:jc w:val="left"/>
              <w:rPr>
                <w:rFonts w:ascii="宋体" w:cs="宋体"/>
                <w:kern w:val="0"/>
              </w:rPr>
            </w:pPr>
            <w:r>
              <w:rPr>
                <w:rFonts w:hint="eastAsia" w:ascii="宋体" w:hAnsi="宋体" w:cs="宋体"/>
                <w:kern w:val="0"/>
              </w:rPr>
              <w:t>有突水危险或水文地质条件类型复杂及以上的矿井，进入三期工程前，必须形成永久排水系统。</w:t>
            </w:r>
          </w:p>
        </w:tc>
        <w:tc>
          <w:tcPr>
            <w:tcW w:w="2323" w:type="dxa"/>
            <w:tcBorders>
              <w:top w:val="nil"/>
              <w:left w:val="nil"/>
              <w:bottom w:val="single" w:color="auto" w:sz="4" w:space="0"/>
              <w:right w:val="single" w:color="auto" w:sz="4" w:space="0"/>
            </w:tcBorders>
            <w:vAlign w:val="center"/>
          </w:tcPr>
          <w:p>
            <w:pPr>
              <w:autoSpaceDE w:val="0"/>
              <w:autoSpaceDN w:val="0"/>
              <w:adjustRightInd w:val="0"/>
              <w:jc w:val="left"/>
              <w:rPr>
                <w:rFonts w:ascii="宋体" w:cs="宋体"/>
                <w:kern w:val="0"/>
              </w:rPr>
            </w:pPr>
            <w:r>
              <w:rPr>
                <w:rFonts w:hint="eastAsia" w:ascii="宋体" w:hAnsi="宋体" w:cs="宋体"/>
                <w:kern w:val="0"/>
                <w:lang w:val="zh-CN"/>
              </w:rPr>
              <w:t>煤矿建设安全规范（</w:t>
            </w:r>
            <w:r>
              <w:rPr>
                <w:rFonts w:ascii="宋体" w:hAnsi="宋体" w:cs="宋体"/>
                <w:kern w:val="0"/>
              </w:rPr>
              <w:t>AQ 1083</w:t>
            </w:r>
            <w:r>
              <w:rPr>
                <w:rFonts w:ascii="宋体" w:hAnsi="宋体" w:cs="宋体"/>
                <w:kern w:val="0"/>
                <w:lang w:val="zh-CN"/>
              </w:rPr>
              <w:t>—</w:t>
            </w:r>
            <w:r>
              <w:rPr>
                <w:rFonts w:ascii="宋体" w:hAnsi="宋体" w:cs="宋体"/>
                <w:kern w:val="0"/>
              </w:rPr>
              <w:t>2011</w:t>
            </w:r>
            <w:r>
              <w:rPr>
                <w:rFonts w:hint="eastAsia" w:ascii="宋体" w:hAnsi="宋体" w:cs="宋体"/>
                <w:kern w:val="0"/>
                <w:lang w:val="zh-CN"/>
              </w:rPr>
              <w:t>）第</w:t>
            </w:r>
            <w:r>
              <w:rPr>
                <w:rFonts w:ascii="宋体" w:hAnsi="宋体" w:cs="宋体"/>
                <w:spacing w:val="-4"/>
                <w:kern w:val="0"/>
              </w:rPr>
              <w:t>6.6.13</w:t>
            </w:r>
            <w:r>
              <w:rPr>
                <w:rFonts w:hint="eastAsia" w:ascii="宋体" w:hAnsi="宋体" w:cs="宋体"/>
                <w:spacing w:val="-4"/>
                <w:kern w:val="0"/>
              </w:rPr>
              <w:t>。</w:t>
            </w:r>
          </w:p>
          <w:p>
            <w:pPr>
              <w:jc w:val="left"/>
              <w:rPr>
                <w:rFonts w:ascii="宋体" w:cs="宋体"/>
                <w:kern w:val="0"/>
              </w:rPr>
            </w:pP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5</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抽采系统</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煤（岩）与瓦斯（二氧化碳）突出矿井揭露突出煤层前，必须建成瓦斯抽采系统并投入运行。</w:t>
            </w:r>
          </w:p>
          <w:p>
            <w:pPr>
              <w:jc w:val="left"/>
              <w:rPr>
                <w:rFonts w:ascii="宋体" w:cs="宋体"/>
                <w:kern w:val="0"/>
              </w:rPr>
            </w:pPr>
            <w:r>
              <w:rPr>
                <w:rFonts w:hint="eastAsia" w:ascii="宋体" w:hAnsi="宋体" w:cs="宋体"/>
                <w:kern w:val="0"/>
              </w:rPr>
              <w:t>高瓦斯矿井进入三期工程前，必须形成瓦斯抽采系统。</w:t>
            </w:r>
          </w:p>
        </w:tc>
        <w:tc>
          <w:tcPr>
            <w:tcW w:w="2323"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《煤矿安全规程》第八十五条。</w:t>
            </w:r>
          </w:p>
          <w:p>
            <w:pPr>
              <w:jc w:val="left"/>
              <w:rPr>
                <w:rFonts w:ascii="宋体" w:hAnsi="宋体" w:cs="宋体"/>
                <w:kern w:val="0"/>
              </w:rPr>
            </w:pPr>
            <w:r>
              <w:rPr>
                <w:rFonts w:hint="eastAsia" w:ascii="宋体" w:hAnsi="宋体" w:cs="宋体"/>
                <w:kern w:val="0"/>
                <w:lang w:val="zh-CN"/>
              </w:rPr>
              <w:t>煤矿建设安全规范（</w:t>
            </w:r>
            <w:r>
              <w:rPr>
                <w:rFonts w:ascii="宋体" w:hAnsi="宋体" w:cs="宋体"/>
                <w:kern w:val="0"/>
              </w:rPr>
              <w:t>AQ 1083</w:t>
            </w:r>
            <w:r>
              <w:rPr>
                <w:rFonts w:ascii="宋体" w:hAnsi="宋体" w:cs="宋体"/>
                <w:kern w:val="0"/>
                <w:lang w:val="zh-CN"/>
              </w:rPr>
              <w:t>—</w:t>
            </w:r>
            <w:r>
              <w:rPr>
                <w:rFonts w:ascii="宋体" w:hAnsi="宋体" w:cs="宋体"/>
                <w:kern w:val="0"/>
              </w:rPr>
              <w:t>2011</w:t>
            </w:r>
            <w:r>
              <w:rPr>
                <w:rFonts w:hint="eastAsia" w:ascii="宋体" w:hAnsi="宋体" w:cs="宋体"/>
                <w:kern w:val="0"/>
                <w:lang w:val="zh-CN"/>
              </w:rPr>
              <w:t>）第</w:t>
            </w:r>
            <w:r>
              <w:rPr>
                <w:rFonts w:ascii="宋体" w:hAnsi="宋体" w:cs="宋体"/>
                <w:kern w:val="0"/>
              </w:rPr>
              <w:t>6.2.2.1</w:t>
            </w:r>
            <w:r>
              <w:rPr>
                <w:rFonts w:hint="eastAsia" w:ascii="宋体" w:hAnsi="宋体" w:cs="宋体"/>
                <w:kern w:val="0"/>
              </w:rPr>
              <w:t>5。</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6</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安全监控系统</w:t>
            </w:r>
          </w:p>
        </w:tc>
        <w:tc>
          <w:tcPr>
            <w:tcW w:w="5586"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矿井进入二期工程施工前，必须安装安全监控系统。</w:t>
            </w:r>
          </w:p>
          <w:p>
            <w:pPr>
              <w:jc w:val="left"/>
              <w:rPr>
                <w:rFonts w:ascii="宋体" w:cs="宋体"/>
                <w:kern w:val="0"/>
              </w:rPr>
            </w:pPr>
            <w:r>
              <w:rPr>
                <w:rFonts w:hint="eastAsia" w:ascii="宋体" w:hAnsi="宋体" w:cs="宋体"/>
                <w:kern w:val="0"/>
              </w:rPr>
              <w:t>井筒施工进入基岩段后</w:t>
            </w:r>
            <w:r>
              <w:rPr>
                <w:rFonts w:ascii="宋体" w:hAnsi="宋体" w:cs="宋体"/>
                <w:kern w:val="0"/>
              </w:rPr>
              <w:t>,</w:t>
            </w:r>
            <w:r>
              <w:rPr>
                <w:rFonts w:hint="eastAsia" w:ascii="宋体" w:hAnsi="宋体" w:cs="宋体"/>
                <w:kern w:val="0"/>
              </w:rPr>
              <w:t>必须装备甲烷风电闭锁装置。</w:t>
            </w:r>
          </w:p>
        </w:tc>
        <w:tc>
          <w:tcPr>
            <w:tcW w:w="2323" w:type="dxa"/>
            <w:tcBorders>
              <w:top w:val="nil"/>
              <w:left w:val="nil"/>
              <w:bottom w:val="single" w:color="auto" w:sz="4" w:space="0"/>
              <w:right w:val="single" w:color="auto" w:sz="4" w:space="0"/>
            </w:tcBorders>
            <w:vAlign w:val="center"/>
          </w:tcPr>
          <w:p>
            <w:pPr>
              <w:autoSpaceDE w:val="0"/>
              <w:autoSpaceDN w:val="0"/>
              <w:jc w:val="left"/>
              <w:rPr>
                <w:rFonts w:ascii="宋体" w:hAnsi="宋体" w:cs="宋体"/>
                <w:kern w:val="0"/>
              </w:rPr>
            </w:pPr>
            <w:r>
              <w:rPr>
                <w:rFonts w:hint="eastAsia" w:ascii="宋体" w:hAnsi="宋体" w:cs="宋体"/>
                <w:kern w:val="0"/>
                <w:lang w:val="zh-CN"/>
              </w:rPr>
              <w:t>煤矿建设安全规范（</w:t>
            </w:r>
            <w:r>
              <w:rPr>
                <w:rFonts w:ascii="宋体" w:hAnsi="宋体" w:cs="宋体"/>
                <w:kern w:val="0"/>
              </w:rPr>
              <w:t>AQ 1083</w:t>
            </w:r>
            <w:r>
              <w:rPr>
                <w:rFonts w:ascii="宋体" w:hAnsi="宋体" w:cs="宋体"/>
                <w:kern w:val="0"/>
                <w:lang w:val="zh-CN"/>
              </w:rPr>
              <w:t>—</w:t>
            </w:r>
            <w:r>
              <w:rPr>
                <w:rFonts w:ascii="宋体" w:hAnsi="宋体" w:cs="宋体"/>
                <w:kern w:val="0"/>
              </w:rPr>
              <w:t>2011</w:t>
            </w:r>
            <w:r>
              <w:rPr>
                <w:rFonts w:hint="eastAsia" w:ascii="宋体" w:hAnsi="宋体" w:cs="宋体"/>
                <w:kern w:val="0"/>
                <w:lang w:val="zh-CN"/>
              </w:rPr>
              <w:t>）第</w:t>
            </w:r>
            <w:r>
              <w:rPr>
                <w:rFonts w:ascii="宋体" w:hAnsi="宋体" w:cs="宋体"/>
                <w:kern w:val="0"/>
              </w:rPr>
              <w:t>6.3.1.1</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7</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人员位置监测系统</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矿井井巷施工必须安装人员位置监测系统。</w:t>
            </w:r>
          </w:p>
        </w:tc>
        <w:tc>
          <w:tcPr>
            <w:tcW w:w="2323"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《煤矿安全规程》第四百八十七条。</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8</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先抽后建。</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有突出危险煤层的新建矿井必须先抽后建。矿井建设开工前</w:t>
            </w:r>
            <w:r>
              <w:rPr>
                <w:rFonts w:ascii="宋体" w:hAnsi="宋体" w:cs="宋体"/>
                <w:kern w:val="0"/>
              </w:rPr>
              <w:t>,</w:t>
            </w:r>
            <w:r>
              <w:rPr>
                <w:rFonts w:hint="eastAsia" w:ascii="宋体" w:hAnsi="宋体" w:cs="宋体"/>
                <w:kern w:val="0"/>
              </w:rPr>
              <w:t>应当对首采区突出煤层进行地面钻井预抽瓦斯</w:t>
            </w:r>
            <w:r>
              <w:rPr>
                <w:rFonts w:ascii="宋体" w:hAnsi="宋体" w:cs="宋体"/>
                <w:kern w:val="0"/>
              </w:rPr>
              <w:t>,</w:t>
            </w:r>
            <w:r>
              <w:rPr>
                <w:rFonts w:hint="eastAsia" w:ascii="宋体" w:hAnsi="宋体" w:cs="宋体"/>
                <w:kern w:val="0"/>
              </w:rPr>
              <w:t>且预抽率应当达到３０％以上。</w:t>
            </w:r>
          </w:p>
        </w:tc>
        <w:tc>
          <w:tcPr>
            <w:tcW w:w="2323"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《煤矿安全规程》第三十五条。</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ascii="宋体" w:hAnsi="宋体" w:cs="宋体"/>
                <w:kern w:val="0"/>
              </w:rPr>
              <w:t>2</w:t>
            </w:r>
            <w:r>
              <w:rPr>
                <w:rFonts w:hint="eastAsia" w:ascii="宋体" w:hAnsi="宋体" w:cs="宋体"/>
                <w:kern w:val="0"/>
              </w:rPr>
              <w:t>9</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安全出口</w:t>
            </w:r>
          </w:p>
        </w:tc>
        <w:tc>
          <w:tcPr>
            <w:tcW w:w="5586"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开凿或者延深立井时，井筒内必须设有在提升设备发生故障时专供人员出井的安全设施和出口。</w:t>
            </w:r>
          </w:p>
          <w:p>
            <w:pPr>
              <w:jc w:val="left"/>
              <w:rPr>
                <w:rFonts w:ascii="宋体" w:cs="宋体"/>
                <w:kern w:val="0"/>
              </w:rPr>
            </w:pPr>
            <w:r>
              <w:rPr>
                <w:rFonts w:hint="eastAsia" w:ascii="宋体" w:hAnsi="宋体" w:cs="宋体"/>
                <w:kern w:val="0"/>
              </w:rPr>
              <w:t>井筒到底后，应当先短路贯通，形成至少</w:t>
            </w:r>
            <w:r>
              <w:rPr>
                <w:rFonts w:ascii="宋体" w:hAnsi="宋体" w:cs="宋体"/>
                <w:kern w:val="0"/>
              </w:rPr>
              <w:t>2</w:t>
            </w:r>
            <w:r>
              <w:rPr>
                <w:rFonts w:hint="eastAsia" w:ascii="宋体" w:hAnsi="宋体" w:cs="宋体"/>
                <w:kern w:val="0"/>
              </w:rPr>
              <w:t>个通达地面的安全出口。</w:t>
            </w:r>
          </w:p>
        </w:tc>
        <w:tc>
          <w:tcPr>
            <w:tcW w:w="2323"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《煤矿安全规程》第四十条。</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30</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平硐井口支护</w:t>
            </w:r>
          </w:p>
        </w:tc>
        <w:tc>
          <w:tcPr>
            <w:tcW w:w="558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开凿平硐时</w:t>
            </w:r>
            <w:r>
              <w:rPr>
                <w:rFonts w:ascii="宋体" w:hAnsi="宋体" w:cs="宋体"/>
                <w:kern w:val="0"/>
              </w:rPr>
              <w:t>,</w:t>
            </w:r>
            <w:r>
              <w:rPr>
                <w:rFonts w:hint="eastAsia" w:ascii="宋体" w:hAnsi="宋体" w:cs="宋体"/>
                <w:kern w:val="0"/>
              </w:rPr>
              <w:t>井口与坚硬岩层之间的井巷必须砌碹或者用混凝土砌</w:t>
            </w:r>
            <w:r>
              <w:rPr>
                <w:rFonts w:ascii="宋体" w:hAnsi="宋体" w:cs="宋体"/>
                <w:kern w:val="0"/>
              </w:rPr>
              <w:t>(</w:t>
            </w:r>
            <w:r>
              <w:rPr>
                <w:rFonts w:hint="eastAsia" w:ascii="宋体" w:hAnsi="宋体" w:cs="宋体"/>
                <w:kern w:val="0"/>
              </w:rPr>
              <w:t>浇</w:t>
            </w:r>
            <w:r>
              <w:rPr>
                <w:rFonts w:ascii="宋体" w:hAnsi="宋体" w:cs="宋体"/>
                <w:kern w:val="0"/>
              </w:rPr>
              <w:t>)</w:t>
            </w:r>
            <w:r>
              <w:rPr>
                <w:rFonts w:hint="eastAsia" w:ascii="宋体" w:hAnsi="宋体" w:cs="宋体"/>
                <w:kern w:val="0"/>
              </w:rPr>
              <w:t>筑</w:t>
            </w:r>
            <w:r>
              <w:rPr>
                <w:rFonts w:ascii="宋体" w:hAnsi="宋体" w:cs="宋体"/>
                <w:kern w:val="0"/>
              </w:rPr>
              <w:t>,</w:t>
            </w:r>
            <w:r>
              <w:rPr>
                <w:rFonts w:hint="eastAsia" w:ascii="宋体" w:hAnsi="宋体" w:cs="宋体"/>
                <w:kern w:val="0"/>
              </w:rPr>
              <w:t>并向坚硬岩层内至少延深</w:t>
            </w:r>
            <w:r>
              <w:rPr>
                <w:rFonts w:ascii="宋体" w:hAnsi="宋体" w:cs="宋体"/>
                <w:kern w:val="0"/>
              </w:rPr>
              <w:t>5m</w:t>
            </w:r>
            <w:r>
              <w:rPr>
                <w:rFonts w:hint="eastAsia" w:ascii="宋体" w:hAnsi="宋体" w:cs="宋体"/>
                <w:kern w:val="0"/>
              </w:rPr>
              <w:t>。在山坡下开凿平硐时</w:t>
            </w:r>
            <w:r>
              <w:rPr>
                <w:rFonts w:ascii="宋体" w:hAnsi="宋体" w:cs="宋体"/>
                <w:kern w:val="0"/>
              </w:rPr>
              <w:t>,</w:t>
            </w:r>
            <w:r>
              <w:rPr>
                <w:rFonts w:hint="eastAsia" w:ascii="宋体" w:hAnsi="宋体" w:cs="宋体"/>
                <w:kern w:val="0"/>
              </w:rPr>
              <w:t>井口顶、侧必须构筑挡墙和防洪水沟。</w:t>
            </w:r>
          </w:p>
        </w:tc>
        <w:tc>
          <w:tcPr>
            <w:tcW w:w="2323" w:type="dxa"/>
            <w:tcBorders>
              <w:top w:val="nil"/>
              <w:left w:val="nil"/>
              <w:bottom w:val="single" w:color="auto" w:sz="4" w:space="0"/>
              <w:right w:val="single" w:color="auto" w:sz="4" w:space="0"/>
            </w:tcBorders>
            <w:vAlign w:val="center"/>
          </w:tcPr>
          <w:p>
            <w:pPr>
              <w:autoSpaceDE w:val="0"/>
              <w:autoSpaceDN w:val="0"/>
              <w:adjustRightInd w:val="0"/>
              <w:jc w:val="left"/>
              <w:rPr>
                <w:rFonts w:ascii="宋体" w:hAnsi="宋体" w:cs="宋体"/>
                <w:kern w:val="0"/>
              </w:rPr>
            </w:pPr>
            <w:r>
              <w:rPr>
                <w:rFonts w:hint="eastAsia" w:ascii="宋体" w:hAnsi="宋体" w:cs="宋体"/>
                <w:kern w:val="0"/>
                <w:lang w:val="zh-CN"/>
              </w:rPr>
              <w:t>煤矿建设安全规范（</w:t>
            </w:r>
            <w:r>
              <w:rPr>
                <w:rFonts w:ascii="宋体" w:hAnsi="宋体" w:cs="宋体"/>
                <w:kern w:val="0"/>
              </w:rPr>
              <w:t>AQ 1083</w:t>
            </w:r>
            <w:r>
              <w:rPr>
                <w:rFonts w:ascii="宋体" w:hAnsi="宋体" w:cs="宋体"/>
                <w:kern w:val="0"/>
                <w:lang w:val="zh-CN"/>
              </w:rPr>
              <w:t>—</w:t>
            </w:r>
            <w:r>
              <w:rPr>
                <w:rFonts w:ascii="宋体" w:hAnsi="宋体" w:cs="宋体"/>
                <w:kern w:val="0"/>
              </w:rPr>
              <w:t>2011</w:t>
            </w:r>
            <w:r>
              <w:rPr>
                <w:rFonts w:hint="eastAsia" w:ascii="宋体" w:hAnsi="宋体" w:cs="宋体"/>
                <w:kern w:val="0"/>
                <w:lang w:val="zh-CN"/>
              </w:rPr>
              <w:t>）第</w:t>
            </w:r>
            <w:r>
              <w:rPr>
                <w:rFonts w:ascii="宋体" w:hAnsi="宋体" w:cs="宋体"/>
                <w:kern w:val="0"/>
              </w:rPr>
              <w:t>6.1.1.1</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r>
        <w:tblPrEx>
          <w:tblCellMar>
            <w:top w:w="0" w:type="dxa"/>
            <w:left w:w="108" w:type="dxa"/>
            <w:bottom w:w="0" w:type="dxa"/>
            <w:right w:w="108" w:type="dxa"/>
          </w:tblCellMar>
        </w:tblPrEx>
        <w:trPr>
          <w:jc w:val="center"/>
        </w:trPr>
        <w:tc>
          <w:tcPr>
            <w:tcW w:w="699"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31</w:t>
            </w:r>
          </w:p>
        </w:tc>
        <w:tc>
          <w:tcPr>
            <w:tcW w:w="1176" w:type="dxa"/>
            <w:tcBorders>
              <w:top w:val="nil"/>
              <w:left w:val="nil"/>
              <w:bottom w:val="single" w:color="auto" w:sz="4" w:space="0"/>
              <w:right w:val="single" w:color="auto" w:sz="4" w:space="0"/>
            </w:tcBorders>
            <w:vAlign w:val="center"/>
          </w:tcPr>
          <w:p>
            <w:pPr>
              <w:jc w:val="left"/>
              <w:rPr>
                <w:rFonts w:ascii="宋体" w:cs="宋体"/>
                <w:kern w:val="0"/>
              </w:rPr>
            </w:pPr>
            <w:r>
              <w:rPr>
                <w:rFonts w:hint="eastAsia" w:ascii="宋体" w:hAnsi="宋体" w:cs="宋体"/>
                <w:kern w:val="0"/>
              </w:rPr>
              <w:t>井筒装备施工安全管理</w:t>
            </w:r>
          </w:p>
        </w:tc>
        <w:tc>
          <w:tcPr>
            <w:tcW w:w="5586"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在高瓦斯矿井和煤与瓦斯突出矿井中，已揭煤的尚未贯通的井筒和处于回风的井筒，严禁进行井筒装备施工。</w:t>
            </w:r>
          </w:p>
          <w:p>
            <w:pPr>
              <w:jc w:val="left"/>
              <w:rPr>
                <w:rFonts w:ascii="宋体" w:cs="宋体"/>
                <w:kern w:val="0"/>
              </w:rPr>
            </w:pPr>
            <w:r>
              <w:rPr>
                <w:rFonts w:hint="eastAsia" w:ascii="宋体" w:hAnsi="宋体" w:cs="宋体"/>
                <w:kern w:val="0"/>
              </w:rPr>
              <w:t>立井施工期间，提升钢丝绳与吊桶的连接，应采用矿山专用钩头装置。钩头装置必须有保险装置，卸力装置应处于灵活状态。钩头装置每年应进行一次无损探伤试验。</w:t>
            </w:r>
          </w:p>
        </w:tc>
        <w:tc>
          <w:tcPr>
            <w:tcW w:w="2323" w:type="dxa"/>
            <w:tcBorders>
              <w:top w:val="nil"/>
              <w:left w:val="nil"/>
              <w:bottom w:val="single" w:color="auto" w:sz="4" w:space="0"/>
              <w:right w:val="single" w:color="auto" w:sz="4" w:space="0"/>
            </w:tcBorders>
            <w:vAlign w:val="center"/>
          </w:tcPr>
          <w:p>
            <w:pPr>
              <w:jc w:val="left"/>
              <w:rPr>
                <w:rFonts w:ascii="宋体" w:hAnsi="宋体" w:cs="宋体"/>
                <w:kern w:val="0"/>
              </w:rPr>
            </w:pPr>
            <w:r>
              <w:rPr>
                <w:rFonts w:hint="eastAsia" w:ascii="宋体" w:hAnsi="宋体" w:cs="宋体"/>
                <w:kern w:val="0"/>
              </w:rPr>
              <w:t>煤矿建设安全规范（</w:t>
            </w:r>
            <w:r>
              <w:rPr>
                <w:rFonts w:ascii="宋体" w:hAnsi="宋体" w:cs="宋体"/>
                <w:kern w:val="0"/>
              </w:rPr>
              <w:t>AQ 1083—2011</w:t>
            </w:r>
            <w:r>
              <w:rPr>
                <w:rFonts w:hint="eastAsia" w:ascii="宋体" w:hAnsi="宋体" w:cs="宋体"/>
                <w:kern w:val="0"/>
              </w:rPr>
              <w:t>）</w:t>
            </w:r>
            <w:r>
              <w:rPr>
                <w:rFonts w:ascii="宋体" w:hAnsi="宋体" w:cs="宋体"/>
                <w:kern w:val="0"/>
              </w:rPr>
              <w:t>6.11.3.1</w:t>
            </w:r>
            <w:r>
              <w:rPr>
                <w:rFonts w:hint="eastAsia" w:ascii="宋体" w:hAnsi="宋体" w:cs="宋体"/>
                <w:kern w:val="0"/>
              </w:rPr>
              <w:t>。</w:t>
            </w:r>
          </w:p>
        </w:tc>
        <w:tc>
          <w:tcPr>
            <w:tcW w:w="1321" w:type="dxa"/>
            <w:tcBorders>
              <w:top w:val="nil"/>
              <w:left w:val="nil"/>
              <w:bottom w:val="single" w:color="auto" w:sz="4" w:space="0"/>
              <w:right w:val="single" w:color="auto" w:sz="4" w:space="0"/>
            </w:tcBorders>
            <w:vAlign w:val="center"/>
          </w:tcPr>
          <w:p>
            <w:pPr>
              <w:rPr>
                <w:rFonts w:ascii="宋体" w:cs="宋体"/>
                <w:kern w:val="0"/>
              </w:rPr>
            </w:pPr>
          </w:p>
        </w:tc>
        <w:tc>
          <w:tcPr>
            <w:tcW w:w="1427" w:type="dxa"/>
            <w:tcBorders>
              <w:top w:val="nil"/>
              <w:left w:val="nil"/>
              <w:bottom w:val="single" w:color="auto" w:sz="4" w:space="0"/>
              <w:right w:val="single" w:color="auto" w:sz="4" w:space="0"/>
            </w:tcBorders>
          </w:tcPr>
          <w:p>
            <w:pPr>
              <w:rPr>
                <w:rFonts w:ascii="宋体" w:cs="宋体"/>
                <w:kern w:val="0"/>
              </w:rPr>
            </w:pPr>
          </w:p>
        </w:tc>
        <w:tc>
          <w:tcPr>
            <w:tcW w:w="1209" w:type="dxa"/>
            <w:tcBorders>
              <w:top w:val="nil"/>
              <w:left w:val="nil"/>
              <w:bottom w:val="single" w:color="auto" w:sz="4" w:space="0"/>
              <w:right w:val="single" w:color="auto" w:sz="4" w:space="0"/>
            </w:tcBorders>
          </w:tcPr>
          <w:p>
            <w:pPr>
              <w:rPr>
                <w:rFonts w:ascii="宋体" w:cs="宋体"/>
                <w:kern w:val="0"/>
              </w:rPr>
            </w:pPr>
          </w:p>
        </w:tc>
      </w:tr>
    </w:tbl>
    <w:p/>
    <w:p/>
    <w:p>
      <w:r>
        <w:rPr>
          <w:rFonts w:hint="eastAsia" w:ascii="黑体" w:hAnsi="黑体" w:eastAsia="黑体" w:cs="黑体"/>
          <w:sz w:val="28"/>
          <w:szCs w:val="28"/>
        </w:rPr>
        <w:t>十、应急处置与救援单元（7）</w:t>
      </w:r>
    </w:p>
    <w:tbl>
      <w:tblPr>
        <w:tblStyle w:val="23"/>
        <w:tblW w:w="13762" w:type="dxa"/>
        <w:jc w:val="center"/>
        <w:tblLayout w:type="fixed"/>
        <w:tblCellMar>
          <w:top w:w="0" w:type="dxa"/>
          <w:left w:w="0" w:type="dxa"/>
          <w:bottom w:w="0" w:type="dxa"/>
          <w:right w:w="0" w:type="dxa"/>
        </w:tblCellMar>
      </w:tblPr>
      <w:tblGrid>
        <w:gridCol w:w="721"/>
        <w:gridCol w:w="1134"/>
        <w:gridCol w:w="5550"/>
        <w:gridCol w:w="2310"/>
        <w:gridCol w:w="1358"/>
        <w:gridCol w:w="1357"/>
        <w:gridCol w:w="1332"/>
      </w:tblGrid>
      <w:tr>
        <w:tblPrEx>
          <w:tblCellMar>
            <w:top w:w="0" w:type="dxa"/>
            <w:left w:w="0" w:type="dxa"/>
            <w:bottom w:w="0" w:type="dxa"/>
            <w:right w:w="0" w:type="dxa"/>
          </w:tblCellMar>
        </w:tblPrEx>
        <w:trPr>
          <w:tblHeader/>
          <w:jc w:val="center"/>
        </w:trPr>
        <w:tc>
          <w:tcPr>
            <w:tcW w:w="7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黑体" w:hAnsi="黑体" w:eastAsia="黑体" w:cs="宋体"/>
                <w:kern w:val="0"/>
                <w:szCs w:val="21"/>
              </w:rPr>
            </w:pPr>
            <w:r>
              <w:rPr>
                <w:rFonts w:ascii="黑体" w:hAnsi="黑体" w:eastAsia="黑体" w:cs="宋体"/>
                <w:kern w:val="0"/>
                <w:szCs w:val="21"/>
              </w:rPr>
              <w:t>序号</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黑体" w:hAnsi="黑体" w:eastAsia="黑体" w:cs="Arial"/>
                <w:kern w:val="0"/>
                <w:szCs w:val="21"/>
              </w:rPr>
            </w:pPr>
            <w:r>
              <w:rPr>
                <w:rFonts w:hint="eastAsia" w:ascii="黑体" w:hAnsi="黑体" w:eastAsia="黑体" w:cs="宋体"/>
                <w:bCs/>
                <w:kern w:val="0"/>
              </w:rPr>
              <w:t>检查项目</w:t>
            </w:r>
          </w:p>
        </w:tc>
        <w:tc>
          <w:tcPr>
            <w:tcW w:w="5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黑体" w:hAnsi="黑体" w:eastAsia="黑体" w:cs="宋体"/>
                <w:bCs/>
              </w:rPr>
            </w:pPr>
            <w:r>
              <w:rPr>
                <w:rFonts w:hint="eastAsia" w:ascii="黑体" w:hAnsi="黑体" w:eastAsia="黑体" w:cs="宋体"/>
                <w:bCs/>
                <w:kern w:val="0"/>
              </w:rPr>
              <w:t>检查内容</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rPr>
            </w:pPr>
            <w:r>
              <w:rPr>
                <w:rFonts w:hint="eastAsia" w:ascii="黑体" w:hAnsi="黑体" w:eastAsia="黑体" w:cs="宋体"/>
                <w:bCs/>
                <w:kern w:val="0"/>
              </w:rPr>
              <w:t>检查依据</w:t>
            </w:r>
          </w:p>
        </w:tc>
        <w:tc>
          <w:tcPr>
            <w:tcW w:w="13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黑体" w:hAnsi="黑体" w:eastAsia="黑体" w:cs="宋体"/>
                <w:bCs/>
                <w:kern w:val="0"/>
              </w:rPr>
            </w:pPr>
            <w:r>
              <w:rPr>
                <w:rFonts w:hint="eastAsia" w:ascii="黑体" w:hAnsi="黑体" w:eastAsia="黑体" w:cs="宋体"/>
                <w:bCs/>
                <w:kern w:val="0"/>
              </w:rPr>
              <w:t>现状描述</w:t>
            </w:r>
          </w:p>
        </w:tc>
        <w:tc>
          <w:tcPr>
            <w:tcW w:w="135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黑体" w:hAnsi="黑体" w:eastAsia="黑体" w:cs="宋体"/>
                <w:bCs/>
                <w:kern w:val="0"/>
              </w:rPr>
            </w:pPr>
            <w:r>
              <w:rPr>
                <w:rFonts w:hint="eastAsia" w:ascii="黑体" w:hAnsi="黑体" w:eastAsia="黑体" w:cs="宋体"/>
                <w:bCs/>
                <w:kern w:val="0"/>
              </w:rPr>
              <w:t>存在问题</w:t>
            </w:r>
          </w:p>
        </w:tc>
        <w:tc>
          <w:tcPr>
            <w:tcW w:w="1332"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黑体" w:hAnsi="黑体" w:eastAsia="黑体" w:cs="宋体"/>
                <w:bCs/>
                <w:kern w:val="0"/>
              </w:rPr>
            </w:pPr>
            <w:r>
              <w:rPr>
                <w:rFonts w:hint="eastAsia" w:ascii="黑体" w:hAnsi="黑体" w:eastAsia="黑体" w:cs="宋体"/>
                <w:bCs/>
                <w:kern w:val="0"/>
              </w:rPr>
              <w:t>处置措施</w:t>
            </w:r>
          </w:p>
        </w:tc>
      </w:tr>
      <w:tr>
        <w:tblPrEx>
          <w:tblCellMar>
            <w:top w:w="0" w:type="dxa"/>
            <w:left w:w="0" w:type="dxa"/>
            <w:bottom w:w="0" w:type="dxa"/>
            <w:right w:w="0" w:type="dxa"/>
          </w:tblCellMar>
        </w:tblPrEx>
        <w:trPr>
          <w:jc w:val="center"/>
        </w:trPr>
        <w:tc>
          <w:tcPr>
            <w:tcW w:w="7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210" w:firstLineChars="100"/>
              <w:rPr>
                <w:rFonts w:cs="宋体" w:asciiTheme="majorEastAsia" w:hAnsiTheme="majorEastAsia" w:eastAsiaTheme="majorEastAsia"/>
                <w:kern w:val="0"/>
                <w:szCs w:val="21"/>
              </w:rPr>
            </w:pPr>
            <w:r>
              <w:rPr>
                <w:rFonts w:asciiTheme="majorEastAsia" w:hAnsiTheme="majorEastAsia" w:eastAsiaTheme="majorEastAsia"/>
                <w:szCs w:val="21"/>
              </w:rPr>
              <w:t>1</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应急预案</w:t>
            </w:r>
          </w:p>
        </w:tc>
        <w:tc>
          <w:tcPr>
            <w:tcW w:w="5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Theme="majorEastAsia" w:hAnsiTheme="majorEastAsia" w:eastAsiaTheme="majorEastAsia"/>
                <w:szCs w:val="21"/>
              </w:rPr>
            </w:pPr>
            <w:r>
              <w:rPr>
                <w:rFonts w:hint="eastAsia" w:asciiTheme="majorEastAsia" w:hAnsiTheme="majorEastAsia" w:eastAsiaTheme="majorEastAsia"/>
                <w:szCs w:val="21"/>
              </w:rPr>
              <w:t>制定应急救援预案，符合规定。</w:t>
            </w:r>
          </w:p>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每年至少组织一次综合应急预案演练或者专项应急预案演练，每半年至少组织一次现场处置方案演练。</w:t>
            </w:r>
          </w:p>
        </w:tc>
        <w:tc>
          <w:tcPr>
            <w:tcW w:w="2310" w:type="dxa"/>
            <w:tcBorders>
              <w:top w:val="single" w:color="000000" w:sz="4" w:space="0"/>
              <w:left w:val="single" w:color="000000" w:sz="4" w:space="0"/>
              <w:bottom w:val="single" w:color="000000" w:sz="4" w:space="0"/>
              <w:right w:val="single" w:color="000000" w:sz="4" w:space="0"/>
            </w:tcBorders>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《中华人民共和国安全生产法》第八十一</w:t>
            </w:r>
            <w:r>
              <w:rPr>
                <w:rFonts w:asciiTheme="majorEastAsia" w:hAnsiTheme="majorEastAsia" w:eastAsiaTheme="majorEastAsia"/>
                <w:szCs w:val="21"/>
              </w:rPr>
              <w:t>条规定</w:t>
            </w:r>
            <w:r>
              <w:rPr>
                <w:rFonts w:hint="eastAsia" w:asciiTheme="majorEastAsia" w:hAnsiTheme="majorEastAsia" w:eastAsiaTheme="majorEastAsia"/>
                <w:szCs w:val="21"/>
              </w:rPr>
              <w:t>。</w:t>
            </w:r>
          </w:p>
        </w:tc>
        <w:tc>
          <w:tcPr>
            <w:tcW w:w="13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keepLines/>
              <w:spacing w:before="260" w:after="260"/>
              <w:rPr>
                <w:rFonts w:cs="宋体" w:asciiTheme="majorEastAsia" w:hAnsiTheme="majorEastAsia" w:eastAsiaTheme="majorEastAsia"/>
                <w:kern w:val="0"/>
                <w:szCs w:val="21"/>
              </w:rPr>
            </w:pPr>
          </w:p>
        </w:tc>
        <w:tc>
          <w:tcPr>
            <w:tcW w:w="1357"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c>
          <w:tcPr>
            <w:tcW w:w="1332"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r>
      <w:tr>
        <w:tblPrEx>
          <w:tblCellMar>
            <w:top w:w="0" w:type="dxa"/>
            <w:left w:w="0" w:type="dxa"/>
            <w:bottom w:w="0" w:type="dxa"/>
            <w:right w:w="0" w:type="dxa"/>
          </w:tblCellMar>
        </w:tblPrEx>
        <w:trPr>
          <w:jc w:val="center"/>
        </w:trPr>
        <w:tc>
          <w:tcPr>
            <w:tcW w:w="7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210" w:firstLineChars="100"/>
              <w:rPr>
                <w:rFonts w:asciiTheme="majorEastAsia" w:hAnsiTheme="majorEastAsia" w:eastAsiaTheme="majorEastAsia"/>
                <w:szCs w:val="21"/>
              </w:rPr>
            </w:pPr>
            <w:r>
              <w:rPr>
                <w:rFonts w:hint="eastAsia" w:asciiTheme="majorEastAsia" w:hAnsiTheme="majorEastAsia" w:eastAsiaTheme="majorEastAsia"/>
                <w:szCs w:val="21"/>
              </w:rPr>
              <w:t>2</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Theme="majorEastAsia" w:hAnsiTheme="majorEastAsia" w:eastAsiaTheme="majorEastAsia"/>
                <w:szCs w:val="21"/>
              </w:rPr>
            </w:pPr>
            <w:r>
              <w:rPr>
                <w:rFonts w:hint="eastAsia" w:ascii="宋体" w:hAnsi="宋体" w:cs="宋体"/>
                <w:kern w:val="0"/>
              </w:rPr>
              <w:t>应急广播</w:t>
            </w:r>
          </w:p>
        </w:tc>
        <w:tc>
          <w:tcPr>
            <w:tcW w:w="5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asciiTheme="majorEastAsia" w:hAnsiTheme="majorEastAsia" w:eastAsiaTheme="majorEastAsia"/>
                <w:szCs w:val="21"/>
              </w:rPr>
            </w:pPr>
            <w:r>
              <w:rPr>
                <w:rFonts w:hint="eastAsia" w:ascii="宋体" w:hAnsi="宋体" w:cs="宋体"/>
                <w:kern w:val="0"/>
              </w:rPr>
              <w:t>矿井应当设置井下应急广播系统，保证井下人员能够清晰听见应急指令。</w:t>
            </w:r>
          </w:p>
        </w:tc>
        <w:tc>
          <w:tcPr>
            <w:tcW w:w="2310" w:type="dxa"/>
            <w:tcBorders>
              <w:top w:val="single" w:color="000000" w:sz="4" w:space="0"/>
              <w:left w:val="single" w:color="000000" w:sz="4" w:space="0"/>
              <w:bottom w:val="single" w:color="000000" w:sz="4" w:space="0"/>
              <w:right w:val="single" w:color="000000" w:sz="4" w:space="0"/>
            </w:tcBorders>
            <w:vAlign w:val="center"/>
          </w:tcPr>
          <w:p>
            <w:pPr>
              <w:jc w:val="left"/>
              <w:rPr>
                <w:rFonts w:asciiTheme="majorEastAsia" w:hAnsiTheme="majorEastAsia" w:eastAsiaTheme="majorEastAsia"/>
                <w:szCs w:val="21"/>
              </w:rPr>
            </w:pPr>
            <w:r>
              <w:rPr>
                <w:rFonts w:hint="eastAsia" w:ascii="宋体" w:hAnsi="宋体" w:cs="宋体"/>
                <w:kern w:val="0"/>
              </w:rPr>
              <w:t>《煤矿安全规程》第六百八十五条。</w:t>
            </w:r>
          </w:p>
        </w:tc>
        <w:tc>
          <w:tcPr>
            <w:tcW w:w="13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keepLines/>
              <w:spacing w:before="260" w:after="260"/>
              <w:rPr>
                <w:rFonts w:cs="宋体" w:asciiTheme="majorEastAsia" w:hAnsiTheme="majorEastAsia" w:eastAsiaTheme="majorEastAsia"/>
                <w:kern w:val="0"/>
                <w:szCs w:val="21"/>
              </w:rPr>
            </w:pPr>
          </w:p>
        </w:tc>
        <w:tc>
          <w:tcPr>
            <w:tcW w:w="1357"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c>
          <w:tcPr>
            <w:tcW w:w="1332"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r>
      <w:tr>
        <w:tblPrEx>
          <w:tblCellMar>
            <w:top w:w="0" w:type="dxa"/>
            <w:left w:w="0" w:type="dxa"/>
            <w:bottom w:w="0" w:type="dxa"/>
            <w:right w:w="0" w:type="dxa"/>
          </w:tblCellMar>
        </w:tblPrEx>
        <w:trPr>
          <w:jc w:val="center"/>
        </w:trPr>
        <w:tc>
          <w:tcPr>
            <w:tcW w:w="7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210" w:firstLineChars="100"/>
              <w:rPr>
                <w:rFonts w:cs="宋体" w:asciiTheme="majorEastAsia" w:hAnsiTheme="majorEastAsia" w:eastAsiaTheme="majorEastAsia"/>
                <w:kern w:val="0"/>
                <w:szCs w:val="21"/>
              </w:rPr>
            </w:pPr>
            <w:r>
              <w:rPr>
                <w:rFonts w:hint="eastAsia" w:asciiTheme="majorEastAsia" w:hAnsiTheme="majorEastAsia" w:eastAsiaTheme="majorEastAsia"/>
                <w:szCs w:val="21"/>
              </w:rPr>
              <w:t>3</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应急救援队伍</w:t>
            </w:r>
          </w:p>
        </w:tc>
        <w:tc>
          <w:tcPr>
            <w:tcW w:w="5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textAlignment w:val="center"/>
              <w:rPr>
                <w:rFonts w:ascii="宋体" w:cs="宋体"/>
                <w:kern w:val="0"/>
              </w:rPr>
            </w:pPr>
            <w:r>
              <w:rPr>
                <w:rFonts w:hint="eastAsia" w:ascii="宋体" w:hAnsi="宋体" w:cs="宋体"/>
                <w:kern w:val="0"/>
              </w:rPr>
              <w:t>所有煤矿必须有矿山救护队为其服务。井工煤矿企业应当设立矿山救护队，不具备设立矿山救护队条件的煤矿企业，所属煤矿应当设立兼职救护队，并与就近的救护队签订救护协议；否则，不得生产。</w:t>
            </w:r>
          </w:p>
          <w:p>
            <w:pPr>
              <w:jc w:val="left"/>
              <w:textAlignment w:val="center"/>
              <w:rPr>
                <w:rFonts w:ascii="宋体" w:cs="宋体"/>
                <w:kern w:val="0"/>
              </w:rPr>
            </w:pPr>
            <w:r>
              <w:rPr>
                <w:rFonts w:hint="eastAsia" w:ascii="宋体" w:hAnsi="宋体" w:cs="宋体"/>
                <w:kern w:val="0"/>
              </w:rPr>
              <w:t>矿山救护队到达服务煤矿的时间应当不超过</w:t>
            </w:r>
            <w:r>
              <w:rPr>
                <w:rFonts w:ascii="宋体" w:hAnsi="宋体" w:cs="宋体"/>
                <w:kern w:val="0"/>
              </w:rPr>
              <w:t>30min</w:t>
            </w:r>
            <w:r>
              <w:rPr>
                <w:rFonts w:hint="eastAsia" w:ascii="宋体" w:hAnsi="宋体" w:cs="宋体"/>
                <w:kern w:val="0"/>
              </w:rPr>
              <w:t>。</w:t>
            </w:r>
          </w:p>
          <w:p>
            <w:pPr>
              <w:jc w:val="left"/>
              <w:rPr>
                <w:rFonts w:cs="宋体" w:asciiTheme="majorEastAsia" w:hAnsiTheme="majorEastAsia" w:eastAsiaTheme="majorEastAsia"/>
                <w:kern w:val="0"/>
                <w:szCs w:val="21"/>
              </w:rPr>
            </w:pPr>
            <w:r>
              <w:rPr>
                <w:rFonts w:hint="eastAsia" w:ascii="宋体" w:hAnsi="宋体" w:cs="宋体"/>
                <w:spacing w:val="-6"/>
                <w:kern w:val="0"/>
              </w:rPr>
              <w:t>建设项目：大型煤矿、灾害严重的中型煤矿、最近矿山救护队至矿井的行车时间超过</w:t>
            </w:r>
            <w:r>
              <w:rPr>
                <w:rFonts w:ascii="宋体" w:hAnsi="宋体" w:cs="宋体"/>
                <w:spacing w:val="-6"/>
                <w:kern w:val="0"/>
              </w:rPr>
              <w:t>30min</w:t>
            </w:r>
            <w:r>
              <w:rPr>
                <w:rFonts w:hint="eastAsia" w:ascii="宋体" w:hAnsi="宋体" w:cs="宋体"/>
                <w:spacing w:val="-6"/>
                <w:kern w:val="0"/>
              </w:rPr>
              <w:t>的中、小型煤矿，应建立矿山救护队。</w:t>
            </w:r>
          </w:p>
        </w:tc>
        <w:tc>
          <w:tcPr>
            <w:tcW w:w="2310" w:type="dxa"/>
            <w:tcBorders>
              <w:top w:val="single" w:color="000000" w:sz="4" w:space="0"/>
              <w:left w:val="single" w:color="000000" w:sz="4" w:space="0"/>
              <w:bottom w:val="single" w:color="000000" w:sz="4" w:space="0"/>
              <w:right w:val="single" w:color="000000" w:sz="4" w:space="0"/>
            </w:tcBorders>
          </w:tcPr>
          <w:p>
            <w:pPr>
              <w:jc w:val="left"/>
              <w:textAlignment w:val="center"/>
              <w:rPr>
                <w:rFonts w:ascii="宋体" w:cs="宋体"/>
                <w:kern w:val="0"/>
              </w:rPr>
            </w:pPr>
            <w:r>
              <w:rPr>
                <w:rFonts w:hint="eastAsia" w:ascii="宋体" w:hAnsi="宋体" w:cs="宋体"/>
                <w:kern w:val="0"/>
              </w:rPr>
              <w:t>煤矿安全规程》第六百七十六条。</w:t>
            </w:r>
          </w:p>
          <w:p>
            <w:pPr>
              <w:jc w:val="left"/>
              <w:rPr>
                <w:rFonts w:cs="宋体" w:asciiTheme="majorEastAsia" w:hAnsiTheme="majorEastAsia" w:eastAsiaTheme="majorEastAsia"/>
                <w:kern w:val="0"/>
                <w:szCs w:val="21"/>
              </w:rPr>
            </w:pPr>
            <w:r>
              <w:rPr>
                <w:rFonts w:hint="eastAsia" w:ascii="宋体" w:hAnsi="宋体" w:cs="宋体"/>
                <w:kern w:val="0"/>
              </w:rPr>
              <w:t>《煤矿建设项目安全设施设计审查和竣工验收规范》（</w:t>
            </w:r>
            <w:r>
              <w:rPr>
                <w:rFonts w:ascii="宋体" w:hAnsi="宋体" w:cs="宋体"/>
                <w:kern w:val="0"/>
              </w:rPr>
              <w:t>AQ1055-2018</w:t>
            </w:r>
            <w:r>
              <w:rPr>
                <w:rFonts w:hint="eastAsia" w:ascii="宋体" w:hAnsi="宋体" w:cs="宋体"/>
                <w:kern w:val="0"/>
              </w:rPr>
              <w:t>）第</w:t>
            </w:r>
            <w:r>
              <w:rPr>
                <w:rFonts w:ascii="宋体" w:hAnsi="宋体" w:cs="宋体"/>
                <w:kern w:val="0"/>
              </w:rPr>
              <w:t>4.11.1.2</w:t>
            </w:r>
            <w:r>
              <w:rPr>
                <w:rFonts w:hint="eastAsia" w:ascii="宋体" w:hAnsi="宋体" w:cs="宋体"/>
                <w:kern w:val="0"/>
              </w:rPr>
              <w:t>。</w:t>
            </w:r>
          </w:p>
        </w:tc>
        <w:tc>
          <w:tcPr>
            <w:tcW w:w="13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keepLines/>
              <w:spacing w:before="260" w:after="260"/>
              <w:rPr>
                <w:rFonts w:cs="宋体" w:asciiTheme="majorEastAsia" w:hAnsiTheme="majorEastAsia" w:eastAsiaTheme="majorEastAsia"/>
                <w:kern w:val="0"/>
                <w:szCs w:val="21"/>
              </w:rPr>
            </w:pPr>
          </w:p>
        </w:tc>
        <w:tc>
          <w:tcPr>
            <w:tcW w:w="1357"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c>
          <w:tcPr>
            <w:tcW w:w="1332"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r>
      <w:tr>
        <w:tblPrEx>
          <w:tblCellMar>
            <w:top w:w="0" w:type="dxa"/>
            <w:left w:w="0" w:type="dxa"/>
            <w:bottom w:w="0" w:type="dxa"/>
            <w:right w:w="0" w:type="dxa"/>
          </w:tblCellMar>
        </w:tblPrEx>
        <w:trPr>
          <w:jc w:val="center"/>
        </w:trPr>
        <w:tc>
          <w:tcPr>
            <w:tcW w:w="7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210" w:firstLineChars="100"/>
              <w:rPr>
                <w:rFonts w:cs="宋体" w:asciiTheme="majorEastAsia" w:hAnsiTheme="majorEastAsia" w:eastAsiaTheme="majorEastAsia"/>
                <w:kern w:val="0"/>
                <w:szCs w:val="21"/>
              </w:rPr>
            </w:pPr>
            <w:r>
              <w:rPr>
                <w:rFonts w:hint="eastAsia" w:asciiTheme="majorEastAsia" w:hAnsiTheme="majorEastAsia" w:eastAsiaTheme="majorEastAsia"/>
                <w:szCs w:val="21"/>
              </w:rPr>
              <w:t>4</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紧急避险系统</w:t>
            </w:r>
          </w:p>
        </w:tc>
        <w:tc>
          <w:tcPr>
            <w:tcW w:w="5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pStyle w:val="18"/>
              <w:spacing w:after="0" w:line="240" w:lineRule="auto"/>
              <w:jc w:val="left"/>
              <w:rPr>
                <w:rFonts w:asciiTheme="majorEastAsia" w:hAnsiTheme="majorEastAsia" w:eastAsiaTheme="majorEastAsia"/>
                <w:kern w:val="2"/>
                <w:sz w:val="21"/>
                <w:szCs w:val="21"/>
              </w:rPr>
            </w:pPr>
            <w:r>
              <w:rPr>
                <w:rFonts w:hint="eastAsia" w:asciiTheme="majorEastAsia" w:hAnsiTheme="majorEastAsia" w:eastAsiaTheme="majorEastAsia"/>
                <w:kern w:val="2"/>
                <w:sz w:val="21"/>
                <w:szCs w:val="21"/>
              </w:rPr>
              <w:t>井下紧急避险设施的设置和管理符合规定。</w:t>
            </w:r>
          </w:p>
          <w:p>
            <w:pPr>
              <w:pStyle w:val="18"/>
              <w:spacing w:after="0" w:line="240" w:lineRule="auto"/>
              <w:jc w:val="left"/>
              <w:rPr>
                <w:rFonts w:asciiTheme="majorEastAsia" w:hAnsiTheme="majorEastAsia" w:eastAsiaTheme="majorEastAsia"/>
                <w:kern w:val="2"/>
                <w:sz w:val="21"/>
                <w:szCs w:val="21"/>
              </w:rPr>
            </w:pPr>
            <w:r>
              <w:rPr>
                <w:rFonts w:hint="eastAsia" w:asciiTheme="majorEastAsia" w:hAnsiTheme="majorEastAsia" w:eastAsiaTheme="majorEastAsia"/>
                <w:kern w:val="2"/>
                <w:sz w:val="21"/>
                <w:szCs w:val="21"/>
              </w:rPr>
              <w:t>井下应急广播系统符合规定。</w:t>
            </w:r>
          </w:p>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紧急避险设施的维护和管理符合规定。</w:t>
            </w:r>
          </w:p>
        </w:tc>
        <w:tc>
          <w:tcPr>
            <w:tcW w:w="2310" w:type="dxa"/>
            <w:tcBorders>
              <w:top w:val="single" w:color="000000" w:sz="4" w:space="0"/>
              <w:left w:val="single" w:color="000000" w:sz="4" w:space="0"/>
              <w:bottom w:val="single" w:color="000000" w:sz="4" w:space="0"/>
              <w:right w:val="single" w:color="000000" w:sz="4" w:space="0"/>
            </w:tcBorders>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《煤矿安全规程》第</w:t>
            </w:r>
            <w:r>
              <w:rPr>
                <w:rFonts w:asciiTheme="majorEastAsia" w:hAnsiTheme="majorEastAsia" w:eastAsiaTheme="majorEastAsia"/>
                <w:szCs w:val="21"/>
              </w:rPr>
              <w:t>673条，第687条，第688条，第689条，第690条，第691条，685</w:t>
            </w:r>
            <w:r>
              <w:rPr>
                <w:rFonts w:hint="eastAsia" w:asciiTheme="majorEastAsia" w:hAnsiTheme="majorEastAsia" w:eastAsiaTheme="majorEastAsia"/>
                <w:szCs w:val="21"/>
              </w:rPr>
              <w:t>条，</w:t>
            </w:r>
            <w:r>
              <w:rPr>
                <w:rFonts w:asciiTheme="majorEastAsia" w:hAnsiTheme="majorEastAsia" w:eastAsiaTheme="majorEastAsia"/>
                <w:szCs w:val="21"/>
              </w:rPr>
              <w:t>692</w:t>
            </w:r>
            <w:r>
              <w:rPr>
                <w:rFonts w:hint="eastAsia" w:asciiTheme="majorEastAsia" w:hAnsiTheme="majorEastAsia" w:eastAsiaTheme="majorEastAsia"/>
                <w:szCs w:val="21"/>
              </w:rPr>
              <w:t>条及《防治煤与瓦斯突出细则》第</w:t>
            </w:r>
            <w:r>
              <w:rPr>
                <w:rFonts w:asciiTheme="majorEastAsia" w:hAnsiTheme="majorEastAsia" w:eastAsiaTheme="majorEastAsia"/>
                <w:szCs w:val="21"/>
              </w:rPr>
              <w:t>117</w:t>
            </w:r>
            <w:r>
              <w:rPr>
                <w:rFonts w:hint="eastAsia" w:asciiTheme="majorEastAsia" w:hAnsiTheme="majorEastAsia" w:eastAsiaTheme="majorEastAsia"/>
                <w:szCs w:val="21"/>
              </w:rPr>
              <w:t>条的规定。</w:t>
            </w:r>
          </w:p>
        </w:tc>
        <w:tc>
          <w:tcPr>
            <w:tcW w:w="13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keepLines/>
              <w:spacing w:before="260" w:after="260"/>
              <w:rPr>
                <w:rFonts w:cs="宋体" w:asciiTheme="majorEastAsia" w:hAnsiTheme="majorEastAsia" w:eastAsiaTheme="majorEastAsia"/>
                <w:kern w:val="0"/>
                <w:szCs w:val="21"/>
              </w:rPr>
            </w:pPr>
          </w:p>
        </w:tc>
        <w:tc>
          <w:tcPr>
            <w:tcW w:w="1357"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c>
          <w:tcPr>
            <w:tcW w:w="1332"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r>
      <w:tr>
        <w:tblPrEx>
          <w:tblCellMar>
            <w:top w:w="0" w:type="dxa"/>
            <w:left w:w="0" w:type="dxa"/>
            <w:bottom w:w="0" w:type="dxa"/>
            <w:right w:w="0" w:type="dxa"/>
          </w:tblCellMar>
        </w:tblPrEx>
        <w:trPr>
          <w:jc w:val="center"/>
        </w:trPr>
        <w:tc>
          <w:tcPr>
            <w:tcW w:w="7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210" w:firstLineChars="100"/>
              <w:rPr>
                <w:rFonts w:cs="宋体" w:asciiTheme="majorEastAsia" w:hAnsiTheme="majorEastAsia" w:eastAsiaTheme="majorEastAsia"/>
                <w:kern w:val="0"/>
                <w:szCs w:val="21"/>
              </w:rPr>
            </w:pPr>
            <w:r>
              <w:rPr>
                <w:rFonts w:hint="eastAsia" w:asciiTheme="majorEastAsia" w:hAnsiTheme="majorEastAsia" w:eastAsiaTheme="majorEastAsia"/>
                <w:szCs w:val="21"/>
              </w:rPr>
              <w:t>5</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避灾路线</w:t>
            </w:r>
          </w:p>
        </w:tc>
        <w:tc>
          <w:tcPr>
            <w:tcW w:w="5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井下所有工作地点必须设置灾害事故避灾路线，巷道交叉口、巷道须设置避灾路线标识。</w:t>
            </w:r>
          </w:p>
        </w:tc>
        <w:tc>
          <w:tcPr>
            <w:tcW w:w="2310" w:type="dxa"/>
            <w:tcBorders>
              <w:top w:val="single" w:color="000000" w:sz="4" w:space="0"/>
              <w:left w:val="single" w:color="000000" w:sz="4" w:space="0"/>
              <w:bottom w:val="single" w:color="000000" w:sz="4" w:space="0"/>
              <w:right w:val="single" w:color="000000" w:sz="4" w:space="0"/>
            </w:tcBorders>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《煤矿安全规程》第</w:t>
            </w:r>
            <w:r>
              <w:rPr>
                <w:rFonts w:asciiTheme="majorEastAsia" w:hAnsiTheme="majorEastAsia" w:eastAsiaTheme="majorEastAsia"/>
                <w:szCs w:val="21"/>
              </w:rPr>
              <w:t>684条</w:t>
            </w:r>
            <w:r>
              <w:rPr>
                <w:rFonts w:hint="eastAsia" w:asciiTheme="majorEastAsia" w:hAnsiTheme="majorEastAsia" w:eastAsiaTheme="majorEastAsia"/>
                <w:szCs w:val="21"/>
              </w:rPr>
              <w:t>。</w:t>
            </w:r>
          </w:p>
        </w:tc>
        <w:tc>
          <w:tcPr>
            <w:tcW w:w="13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keepLines/>
              <w:spacing w:before="260" w:after="260"/>
              <w:rPr>
                <w:rFonts w:cs="宋体" w:asciiTheme="majorEastAsia" w:hAnsiTheme="majorEastAsia" w:eastAsiaTheme="majorEastAsia"/>
                <w:kern w:val="0"/>
                <w:szCs w:val="21"/>
              </w:rPr>
            </w:pPr>
          </w:p>
        </w:tc>
        <w:tc>
          <w:tcPr>
            <w:tcW w:w="1357"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c>
          <w:tcPr>
            <w:tcW w:w="1332"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r>
      <w:tr>
        <w:tblPrEx>
          <w:tblCellMar>
            <w:top w:w="0" w:type="dxa"/>
            <w:left w:w="0" w:type="dxa"/>
            <w:bottom w:w="0" w:type="dxa"/>
            <w:right w:w="0" w:type="dxa"/>
          </w:tblCellMar>
        </w:tblPrEx>
        <w:trPr>
          <w:jc w:val="center"/>
        </w:trPr>
        <w:tc>
          <w:tcPr>
            <w:tcW w:w="7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210" w:firstLineChars="100"/>
              <w:rPr>
                <w:rFonts w:cs="宋体" w:asciiTheme="majorEastAsia" w:hAnsiTheme="majorEastAsia" w:eastAsiaTheme="majorEastAsia"/>
                <w:kern w:val="0"/>
                <w:szCs w:val="21"/>
              </w:rPr>
            </w:pPr>
            <w:r>
              <w:rPr>
                <w:rFonts w:hint="eastAsia" w:asciiTheme="majorEastAsia" w:hAnsiTheme="majorEastAsia" w:eastAsiaTheme="majorEastAsia"/>
                <w:szCs w:val="21"/>
              </w:rPr>
              <w:t>6</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应急撤人</w:t>
            </w:r>
          </w:p>
        </w:tc>
        <w:tc>
          <w:tcPr>
            <w:tcW w:w="5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赋予生产现场带班人员、班组长和调度人员在遇到险情第一时间下达停产撤人命令的直接决策权和指挥权。</w:t>
            </w:r>
          </w:p>
        </w:tc>
        <w:tc>
          <w:tcPr>
            <w:tcW w:w="2310" w:type="dxa"/>
            <w:tcBorders>
              <w:top w:val="single" w:color="000000" w:sz="4" w:space="0"/>
              <w:left w:val="single" w:color="000000" w:sz="4" w:space="0"/>
              <w:bottom w:val="single" w:color="000000" w:sz="4" w:space="0"/>
              <w:right w:val="single" w:color="000000" w:sz="4" w:space="0"/>
            </w:tcBorders>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《国务院关于进一步加强企业安全生产工作的通知》（国发〔</w:t>
            </w:r>
            <w:r>
              <w:rPr>
                <w:rFonts w:asciiTheme="majorEastAsia" w:hAnsiTheme="majorEastAsia" w:eastAsiaTheme="majorEastAsia"/>
                <w:szCs w:val="21"/>
              </w:rPr>
              <w:t>2010〕23号）</w:t>
            </w:r>
            <w:r>
              <w:rPr>
                <w:rFonts w:hint="eastAsia" w:asciiTheme="majorEastAsia" w:hAnsiTheme="majorEastAsia" w:eastAsiaTheme="majorEastAsia"/>
                <w:szCs w:val="21"/>
              </w:rPr>
              <w:t>规定。</w:t>
            </w:r>
          </w:p>
        </w:tc>
        <w:tc>
          <w:tcPr>
            <w:tcW w:w="13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keepLines/>
              <w:spacing w:before="260" w:after="260"/>
              <w:rPr>
                <w:rFonts w:cs="宋体" w:asciiTheme="majorEastAsia" w:hAnsiTheme="majorEastAsia" w:eastAsiaTheme="majorEastAsia"/>
                <w:kern w:val="0"/>
                <w:szCs w:val="21"/>
              </w:rPr>
            </w:pPr>
          </w:p>
        </w:tc>
        <w:tc>
          <w:tcPr>
            <w:tcW w:w="1357"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c>
          <w:tcPr>
            <w:tcW w:w="1332"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r>
      <w:tr>
        <w:tblPrEx>
          <w:tblCellMar>
            <w:top w:w="0" w:type="dxa"/>
            <w:left w:w="0" w:type="dxa"/>
            <w:bottom w:w="0" w:type="dxa"/>
            <w:right w:w="0" w:type="dxa"/>
          </w:tblCellMar>
        </w:tblPrEx>
        <w:trPr>
          <w:jc w:val="center"/>
        </w:trPr>
        <w:tc>
          <w:tcPr>
            <w:tcW w:w="7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210" w:firstLineChars="100"/>
              <w:rPr>
                <w:rFonts w:cs="宋体" w:asciiTheme="majorEastAsia" w:hAnsiTheme="majorEastAsia" w:eastAsiaTheme="majorEastAsia"/>
                <w:kern w:val="0"/>
                <w:szCs w:val="21"/>
              </w:rPr>
            </w:pPr>
            <w:r>
              <w:rPr>
                <w:rFonts w:hint="eastAsia" w:asciiTheme="majorEastAsia" w:hAnsiTheme="majorEastAsia" w:eastAsiaTheme="majorEastAsia"/>
                <w:szCs w:val="21"/>
              </w:rPr>
              <w:t>7</w:t>
            </w:r>
          </w:p>
        </w:tc>
        <w:tc>
          <w:tcPr>
            <w:tcW w:w="11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应急处置</w:t>
            </w:r>
          </w:p>
        </w:tc>
        <w:tc>
          <w:tcPr>
            <w:tcW w:w="555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出现瓦斯、水、火、顶板等灾害预兆时，按应急预案或现场处置方案要求采取应急处置措施；启动应急预案。</w:t>
            </w:r>
          </w:p>
        </w:tc>
        <w:tc>
          <w:tcPr>
            <w:tcW w:w="2310" w:type="dxa"/>
            <w:tcBorders>
              <w:top w:val="single" w:color="000000" w:sz="4" w:space="0"/>
              <w:left w:val="single" w:color="000000" w:sz="4" w:space="0"/>
              <w:bottom w:val="single" w:color="000000" w:sz="4" w:space="0"/>
              <w:right w:val="single" w:color="000000" w:sz="4" w:space="0"/>
            </w:tcBorders>
          </w:tcPr>
          <w:p>
            <w:pPr>
              <w:jc w:val="left"/>
              <w:rPr>
                <w:rFonts w:cs="宋体" w:asciiTheme="majorEastAsia" w:hAnsiTheme="majorEastAsia" w:eastAsiaTheme="majorEastAsia"/>
                <w:kern w:val="0"/>
                <w:szCs w:val="21"/>
              </w:rPr>
            </w:pPr>
            <w:r>
              <w:rPr>
                <w:rFonts w:hint="eastAsia" w:asciiTheme="majorEastAsia" w:hAnsiTheme="majorEastAsia" w:eastAsiaTheme="majorEastAsia"/>
                <w:szCs w:val="21"/>
              </w:rPr>
              <w:t>，符合《煤矿安全规程》第</w:t>
            </w:r>
            <w:r>
              <w:rPr>
                <w:rFonts w:asciiTheme="majorEastAsia" w:hAnsiTheme="majorEastAsia" w:eastAsiaTheme="majorEastAsia"/>
                <w:szCs w:val="21"/>
              </w:rPr>
              <w:t>19条，第680条，第682条规定</w:t>
            </w:r>
            <w:r>
              <w:rPr>
                <w:rFonts w:hint="eastAsia" w:asciiTheme="majorEastAsia" w:hAnsiTheme="majorEastAsia" w:eastAsiaTheme="majorEastAsia"/>
                <w:szCs w:val="21"/>
              </w:rPr>
              <w:t>。</w:t>
            </w:r>
          </w:p>
        </w:tc>
        <w:tc>
          <w:tcPr>
            <w:tcW w:w="13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keepLines/>
              <w:spacing w:before="260" w:after="260"/>
              <w:rPr>
                <w:rFonts w:cs="宋体" w:asciiTheme="majorEastAsia" w:hAnsiTheme="majorEastAsia" w:eastAsiaTheme="majorEastAsia"/>
                <w:kern w:val="0"/>
                <w:szCs w:val="21"/>
              </w:rPr>
            </w:pPr>
          </w:p>
        </w:tc>
        <w:tc>
          <w:tcPr>
            <w:tcW w:w="1357"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c>
          <w:tcPr>
            <w:tcW w:w="1332" w:type="dxa"/>
            <w:tcBorders>
              <w:top w:val="single" w:color="000000" w:sz="4" w:space="0"/>
              <w:left w:val="single" w:color="000000" w:sz="4" w:space="0"/>
              <w:bottom w:val="single" w:color="000000" w:sz="4" w:space="0"/>
              <w:right w:val="single" w:color="000000" w:sz="4" w:space="0"/>
            </w:tcBorders>
          </w:tcPr>
          <w:p>
            <w:pPr>
              <w:keepNext/>
              <w:keepLines/>
              <w:spacing w:before="260" w:after="260"/>
              <w:rPr>
                <w:rFonts w:cs="宋体" w:asciiTheme="majorEastAsia" w:hAnsiTheme="majorEastAsia" w:eastAsiaTheme="majorEastAsia"/>
                <w:kern w:val="0"/>
                <w:szCs w:val="21"/>
              </w:rPr>
            </w:pPr>
          </w:p>
        </w:tc>
      </w:tr>
    </w:tbl>
    <w:p/>
    <w:p/>
    <w:p/>
    <w:p/>
    <w:p/>
    <w:p>
      <w:pPr>
        <w:rPr>
          <w:rFonts w:hint="eastAsia" w:ascii="黑体" w:hAnsi="黑体" w:eastAsia="黑体"/>
          <w:b/>
          <w:sz w:val="28"/>
          <w:szCs w:val="28"/>
        </w:rPr>
      </w:pPr>
    </w:p>
    <w:p>
      <w:pPr>
        <w:rPr>
          <w:rFonts w:hint="eastAsia" w:ascii="黑体" w:hAnsi="黑体" w:eastAsia="黑体"/>
          <w:b/>
          <w:sz w:val="28"/>
          <w:szCs w:val="28"/>
        </w:rPr>
      </w:pPr>
    </w:p>
    <w:p>
      <w:r>
        <w:rPr>
          <w:rFonts w:hint="eastAsia" w:ascii="黑体" w:hAnsi="黑体" w:eastAsia="黑体"/>
          <w:b/>
          <w:sz w:val="28"/>
          <w:szCs w:val="28"/>
        </w:rPr>
        <w:t>十</w:t>
      </w:r>
      <w:r>
        <w:rPr>
          <w:rFonts w:hint="eastAsia" w:ascii="黑体" w:hAnsi="黑体" w:eastAsia="黑体"/>
          <w:b/>
          <w:sz w:val="28"/>
          <w:szCs w:val="28"/>
          <w:lang w:val="en-US" w:eastAsia="zh-CN"/>
        </w:rPr>
        <w:t>一</w:t>
      </w:r>
      <w:r>
        <w:rPr>
          <w:rFonts w:hint="eastAsia" w:ascii="黑体" w:hAnsi="黑体" w:eastAsia="黑体"/>
          <w:b/>
          <w:sz w:val="28"/>
          <w:szCs w:val="28"/>
        </w:rPr>
        <w:t>、</w:t>
      </w:r>
      <w:r>
        <w:rPr>
          <w:rFonts w:hint="eastAsia" w:ascii="黑体" w:hAnsi="黑体" w:eastAsia="黑体" w:cs="黑体"/>
          <w:sz w:val="28"/>
          <w:szCs w:val="28"/>
        </w:rPr>
        <w:t>煤矿上一级企业单元（9）</w:t>
      </w:r>
    </w:p>
    <w:tbl>
      <w:tblPr>
        <w:tblStyle w:val="23"/>
        <w:tblW w:w="13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718"/>
        <w:gridCol w:w="7235"/>
        <w:gridCol w:w="1344"/>
        <w:gridCol w:w="1469"/>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8" w:type="dxa"/>
            <w:vAlign w:val="center"/>
          </w:tcPr>
          <w:p>
            <w:pPr>
              <w:jc w:val="center"/>
              <w:rPr>
                <w:rFonts w:ascii="黑体" w:hAnsi="黑体" w:eastAsia="黑体"/>
                <w:szCs w:val="21"/>
              </w:rPr>
            </w:pPr>
            <w:r>
              <w:rPr>
                <w:rFonts w:hint="eastAsia" w:ascii="黑体" w:hAnsi="黑体" w:eastAsia="黑体"/>
                <w:szCs w:val="21"/>
              </w:rPr>
              <w:t>序号</w:t>
            </w:r>
          </w:p>
        </w:tc>
        <w:tc>
          <w:tcPr>
            <w:tcW w:w="1718" w:type="dxa"/>
            <w:vAlign w:val="center"/>
          </w:tcPr>
          <w:p>
            <w:pPr>
              <w:jc w:val="center"/>
              <w:rPr>
                <w:rFonts w:ascii="黑体" w:hAnsi="黑体" w:eastAsia="黑体"/>
                <w:szCs w:val="21"/>
              </w:rPr>
            </w:pPr>
            <w:r>
              <w:rPr>
                <w:rFonts w:hint="eastAsia" w:ascii="黑体" w:hAnsi="黑体" w:eastAsia="黑体"/>
                <w:szCs w:val="21"/>
              </w:rPr>
              <w:t>检查项目</w:t>
            </w:r>
          </w:p>
        </w:tc>
        <w:tc>
          <w:tcPr>
            <w:tcW w:w="7235" w:type="dxa"/>
            <w:vAlign w:val="center"/>
          </w:tcPr>
          <w:p>
            <w:pPr>
              <w:jc w:val="center"/>
              <w:rPr>
                <w:rFonts w:ascii="黑体" w:hAnsi="黑体" w:eastAsia="黑体"/>
                <w:szCs w:val="21"/>
              </w:rPr>
            </w:pPr>
            <w:r>
              <w:rPr>
                <w:rFonts w:hint="eastAsia" w:ascii="黑体" w:hAnsi="黑体" w:eastAsia="黑体"/>
                <w:szCs w:val="21"/>
              </w:rPr>
              <w:t>检查内容及依据</w:t>
            </w:r>
          </w:p>
        </w:tc>
        <w:tc>
          <w:tcPr>
            <w:tcW w:w="1344" w:type="dxa"/>
            <w:vAlign w:val="center"/>
          </w:tcPr>
          <w:p>
            <w:pPr>
              <w:jc w:val="center"/>
              <w:rPr>
                <w:rFonts w:ascii="黑体" w:hAnsi="黑体" w:eastAsia="黑体"/>
                <w:szCs w:val="21"/>
              </w:rPr>
            </w:pPr>
            <w:r>
              <w:rPr>
                <w:rFonts w:hint="eastAsia" w:ascii="黑体" w:hAnsi="黑体" w:eastAsia="黑体" w:cs="宋体"/>
                <w:bCs/>
                <w:kern w:val="0"/>
              </w:rPr>
              <w:t>现状描述</w:t>
            </w:r>
          </w:p>
        </w:tc>
        <w:tc>
          <w:tcPr>
            <w:tcW w:w="1469" w:type="dxa"/>
            <w:vAlign w:val="center"/>
          </w:tcPr>
          <w:p>
            <w:pPr>
              <w:rPr>
                <w:rFonts w:ascii="黑体" w:hAnsi="黑体" w:eastAsia="黑体"/>
                <w:szCs w:val="21"/>
              </w:rPr>
            </w:pPr>
            <w:r>
              <w:rPr>
                <w:rFonts w:hint="eastAsia" w:ascii="黑体" w:hAnsi="黑体" w:eastAsia="黑体" w:cs="宋体"/>
                <w:bCs/>
                <w:kern w:val="0"/>
              </w:rPr>
              <w:t>存在问题</w:t>
            </w:r>
          </w:p>
        </w:tc>
        <w:tc>
          <w:tcPr>
            <w:tcW w:w="1206" w:type="dxa"/>
            <w:vAlign w:val="center"/>
          </w:tcPr>
          <w:p>
            <w:pPr>
              <w:jc w:val="center"/>
              <w:rPr>
                <w:rFonts w:ascii="黑体" w:hAnsi="黑体" w:eastAsia="黑体"/>
                <w:szCs w:val="21"/>
              </w:rPr>
            </w:pPr>
            <w:r>
              <w:rPr>
                <w:rFonts w:hint="eastAsia" w:ascii="黑体" w:hAnsi="黑体" w:eastAsia="黑体" w:cs="宋体"/>
                <w:bCs/>
                <w:kern w:val="0"/>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Style w:val="18"/>
              <w:spacing w:line="24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1</w:t>
            </w:r>
          </w:p>
        </w:tc>
        <w:tc>
          <w:tcPr>
            <w:tcW w:w="1718" w:type="dxa"/>
            <w:vAlign w:val="center"/>
          </w:tcPr>
          <w:p>
            <w:pPr>
              <w:pStyle w:val="18"/>
              <w:spacing w:line="240" w:lineRule="auto"/>
              <w:jc w:val="left"/>
              <w:rPr>
                <w:rFonts w:asciiTheme="minorEastAsia" w:hAnsiTheme="minorEastAsia" w:eastAsiaTheme="minorEastAsia"/>
                <w:kern w:val="2"/>
                <w:sz w:val="21"/>
                <w:szCs w:val="21"/>
              </w:rPr>
            </w:pPr>
            <w:r>
              <w:rPr>
                <w:rFonts w:hint="eastAsia" w:asciiTheme="minorEastAsia" w:hAnsiTheme="minorEastAsia" w:eastAsiaTheme="minorEastAsia"/>
                <w:sz w:val="21"/>
                <w:szCs w:val="21"/>
              </w:rPr>
              <w:t>管理机构和人员</w:t>
            </w:r>
          </w:p>
        </w:tc>
        <w:tc>
          <w:tcPr>
            <w:tcW w:w="7235" w:type="dxa"/>
            <w:vAlign w:val="center"/>
          </w:tcPr>
          <w:p>
            <w:pPr>
              <w:pStyle w:val="18"/>
              <w:spacing w:line="240" w:lineRule="auto"/>
              <w:jc w:val="left"/>
              <w:rPr>
                <w:rFonts w:asciiTheme="minorEastAsia" w:hAnsiTheme="minorEastAsia" w:eastAsiaTheme="minorEastAsia"/>
                <w:kern w:val="2"/>
                <w:sz w:val="21"/>
                <w:szCs w:val="21"/>
              </w:rPr>
            </w:pPr>
            <w:r>
              <w:rPr>
                <w:rFonts w:hint="eastAsia" w:cs="宋体" w:asciiTheme="minorEastAsia" w:hAnsiTheme="minorEastAsia" w:eastAsiaTheme="minorEastAsia"/>
                <w:sz w:val="21"/>
                <w:szCs w:val="21"/>
              </w:rPr>
              <w:t>落实企业安全生产组织领导机构，成立安全生产委员会，由董事长（党委书记）或总经理担任主任；</w:t>
            </w:r>
            <w:r>
              <w:rPr>
                <w:rFonts w:hint="eastAsia" w:asciiTheme="minorEastAsia" w:hAnsiTheme="minorEastAsia" w:eastAsiaTheme="minorEastAsia"/>
                <w:sz w:val="21"/>
                <w:szCs w:val="21"/>
              </w:rPr>
              <w:t>设置安全生产管理机构，配齐配全专职安全生产管理人员；建立以总工程师为首的技术管理体系；设置采掘技术管理、“一通三防”、地质勘探、防治水等安全技术管理机构，配齐专业技术管理人员。</w:t>
            </w:r>
          </w:p>
        </w:tc>
        <w:tc>
          <w:tcPr>
            <w:tcW w:w="1344" w:type="dxa"/>
            <w:vAlign w:val="center"/>
          </w:tcPr>
          <w:p>
            <w:pPr>
              <w:pStyle w:val="18"/>
              <w:keepNext/>
              <w:keepLines/>
              <w:spacing w:before="260" w:line="240" w:lineRule="auto"/>
              <w:rPr>
                <w:rFonts w:asciiTheme="minorEastAsia" w:hAnsiTheme="minorEastAsia" w:eastAsiaTheme="minorEastAsia"/>
                <w:b/>
                <w:kern w:val="2"/>
                <w:sz w:val="21"/>
                <w:szCs w:val="21"/>
              </w:rPr>
            </w:pPr>
          </w:p>
        </w:tc>
        <w:tc>
          <w:tcPr>
            <w:tcW w:w="1469" w:type="dxa"/>
            <w:vAlign w:val="center"/>
          </w:tcPr>
          <w:p>
            <w:pPr>
              <w:pStyle w:val="18"/>
              <w:keepNext/>
              <w:keepLines/>
              <w:spacing w:before="260" w:line="240" w:lineRule="auto"/>
              <w:rPr>
                <w:rFonts w:asciiTheme="minorEastAsia" w:hAnsiTheme="minorEastAsia" w:eastAsiaTheme="minorEastAsia"/>
                <w:kern w:val="2"/>
                <w:sz w:val="21"/>
                <w:szCs w:val="21"/>
              </w:rPr>
            </w:pPr>
          </w:p>
        </w:tc>
        <w:tc>
          <w:tcPr>
            <w:tcW w:w="1206" w:type="dxa"/>
            <w:vAlign w:val="center"/>
          </w:tcPr>
          <w:p>
            <w:pPr>
              <w:pStyle w:val="18"/>
              <w:keepNext/>
              <w:keepLines/>
              <w:spacing w:before="260" w:line="240" w:lineRule="auto"/>
              <w:jc w:val="center"/>
              <w:rPr>
                <w:rFonts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Style w:val="18"/>
              <w:spacing w:line="24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2</w:t>
            </w:r>
          </w:p>
        </w:tc>
        <w:tc>
          <w:tcPr>
            <w:tcW w:w="1718" w:type="dxa"/>
            <w:vAlign w:val="center"/>
          </w:tcPr>
          <w:p>
            <w:pPr>
              <w:pStyle w:val="18"/>
              <w:spacing w:line="240" w:lineRule="auto"/>
              <w:jc w:val="lef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管理制度和责任制</w:t>
            </w:r>
          </w:p>
        </w:tc>
        <w:tc>
          <w:tcPr>
            <w:tcW w:w="7235" w:type="dxa"/>
            <w:vAlign w:val="center"/>
          </w:tcPr>
          <w:p>
            <w:pPr>
              <w:pStyle w:val="20"/>
              <w:adjustRightInd w:val="0"/>
              <w:snapToGrid w:val="0"/>
              <w:spacing w:beforeAutospacing="0" w:afterAutospacing="0"/>
              <w:rPr>
                <w:rFonts w:asciiTheme="minorEastAsia" w:hAnsiTheme="minorEastAsia"/>
                <w:kern w:val="2"/>
                <w:sz w:val="21"/>
                <w:szCs w:val="21"/>
              </w:rPr>
            </w:pPr>
            <w:r>
              <w:rPr>
                <w:rFonts w:hint="eastAsia" w:asciiTheme="minorEastAsia" w:hAnsiTheme="minorEastAsia"/>
                <w:kern w:val="2"/>
                <w:sz w:val="21"/>
                <w:szCs w:val="21"/>
              </w:rPr>
              <w:t>建立健全主要负责人、安全生产管理人员、职能部门、各岗位安全生产责任制；制定并落实了安全目标管理、投入、奖惩、技术措施审批、培训、办公会议、安全检查、事故隐患排查治理报告、井下劳动组织定员、领导干部带班下井等安全生产规章制度，并及时修订；属于煤矿承托单位的，制定了承担托管煤矿安全的责任制，对托管煤矿的生产、技术、安全实施全面管理，符合《国家安全监管总局国家煤矿安监局关于加托管煤矿安全监管监察工作的通知》（安监总煤监〔</w:t>
            </w:r>
            <w:r>
              <w:rPr>
                <w:rFonts w:asciiTheme="minorEastAsia" w:hAnsiTheme="minorEastAsia"/>
                <w:kern w:val="2"/>
                <w:sz w:val="21"/>
                <w:szCs w:val="21"/>
              </w:rPr>
              <w:t>2015〕15号）的要求。</w:t>
            </w:r>
          </w:p>
        </w:tc>
        <w:tc>
          <w:tcPr>
            <w:tcW w:w="1344" w:type="dxa"/>
            <w:vAlign w:val="center"/>
          </w:tcPr>
          <w:p>
            <w:pPr>
              <w:pStyle w:val="18"/>
              <w:spacing w:line="240" w:lineRule="auto"/>
              <w:rPr>
                <w:rFonts w:asciiTheme="minorEastAsia" w:hAnsiTheme="minorEastAsia" w:eastAsiaTheme="minorEastAsia"/>
                <w:kern w:val="2"/>
                <w:sz w:val="21"/>
                <w:szCs w:val="21"/>
              </w:rPr>
            </w:pPr>
          </w:p>
        </w:tc>
        <w:tc>
          <w:tcPr>
            <w:tcW w:w="1469" w:type="dxa"/>
            <w:vAlign w:val="center"/>
          </w:tcPr>
          <w:p>
            <w:pPr>
              <w:pStyle w:val="18"/>
              <w:spacing w:line="240" w:lineRule="auto"/>
              <w:jc w:val="center"/>
              <w:rPr>
                <w:rFonts w:asciiTheme="minorEastAsia" w:hAnsiTheme="minorEastAsia" w:eastAsiaTheme="minorEastAsia"/>
                <w:kern w:val="2"/>
                <w:sz w:val="21"/>
                <w:szCs w:val="21"/>
              </w:rPr>
            </w:pPr>
          </w:p>
        </w:tc>
        <w:tc>
          <w:tcPr>
            <w:tcW w:w="1206" w:type="dxa"/>
            <w:vAlign w:val="center"/>
          </w:tcPr>
          <w:p>
            <w:pPr>
              <w:pStyle w:val="18"/>
              <w:spacing w:line="240" w:lineRule="auto"/>
              <w:rPr>
                <w:rFonts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widowControl/>
              <w:jc w:val="center"/>
              <w:rPr>
                <w:rFonts w:cs="宋体" w:asciiTheme="minorEastAsia" w:hAnsiTheme="minorEastAsia"/>
                <w:kern w:val="0"/>
                <w:szCs w:val="21"/>
              </w:rPr>
            </w:pPr>
            <w:r>
              <w:rPr>
                <w:rFonts w:cs="宋体" w:asciiTheme="minorEastAsia" w:hAnsiTheme="minorEastAsia"/>
                <w:kern w:val="0"/>
                <w:szCs w:val="21"/>
              </w:rPr>
              <w:t>3</w:t>
            </w:r>
          </w:p>
        </w:tc>
        <w:tc>
          <w:tcPr>
            <w:tcW w:w="171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隐患排查治理</w:t>
            </w:r>
          </w:p>
        </w:tc>
        <w:tc>
          <w:tcPr>
            <w:tcW w:w="7235"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按规定召开安全办公会、瓦斯防治专题会议和防治水专题会议，认真组织开展重大事故隐患排查治理工作；公司职能部门按规定对所属矿井开展经常性安全检查。</w:t>
            </w:r>
          </w:p>
        </w:tc>
        <w:tc>
          <w:tcPr>
            <w:tcW w:w="1344" w:type="dxa"/>
            <w:vAlign w:val="center"/>
          </w:tcPr>
          <w:p>
            <w:pPr>
              <w:pStyle w:val="18"/>
              <w:spacing w:line="240" w:lineRule="auto"/>
              <w:rPr>
                <w:rFonts w:asciiTheme="minorEastAsia" w:hAnsiTheme="minorEastAsia" w:eastAsiaTheme="minorEastAsia"/>
                <w:kern w:val="2"/>
                <w:sz w:val="21"/>
                <w:szCs w:val="21"/>
              </w:rPr>
            </w:pPr>
          </w:p>
        </w:tc>
        <w:tc>
          <w:tcPr>
            <w:tcW w:w="1469" w:type="dxa"/>
            <w:vAlign w:val="center"/>
          </w:tcPr>
          <w:p>
            <w:pPr>
              <w:pStyle w:val="18"/>
              <w:spacing w:line="240" w:lineRule="auto"/>
              <w:jc w:val="center"/>
              <w:rPr>
                <w:rFonts w:asciiTheme="minorEastAsia" w:hAnsiTheme="minorEastAsia" w:eastAsiaTheme="minorEastAsia"/>
                <w:kern w:val="2"/>
                <w:sz w:val="21"/>
                <w:szCs w:val="21"/>
              </w:rPr>
            </w:pPr>
          </w:p>
        </w:tc>
        <w:tc>
          <w:tcPr>
            <w:tcW w:w="1206" w:type="dxa"/>
            <w:vAlign w:val="center"/>
          </w:tcPr>
          <w:p>
            <w:pPr>
              <w:pStyle w:val="18"/>
              <w:spacing w:line="240" w:lineRule="auto"/>
              <w:rPr>
                <w:rFonts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Style w:val="18"/>
              <w:spacing w:line="24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4</w:t>
            </w:r>
          </w:p>
        </w:tc>
        <w:tc>
          <w:tcPr>
            <w:tcW w:w="1718" w:type="dxa"/>
            <w:vAlign w:val="center"/>
          </w:tcPr>
          <w:p>
            <w:pPr>
              <w:pStyle w:val="18"/>
              <w:spacing w:line="240" w:lineRule="auto"/>
              <w:jc w:val="lef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安全生产投入</w:t>
            </w:r>
          </w:p>
        </w:tc>
        <w:tc>
          <w:tcPr>
            <w:tcW w:w="7235" w:type="dxa"/>
            <w:vAlign w:val="center"/>
          </w:tcPr>
          <w:p>
            <w:pPr>
              <w:pStyle w:val="18"/>
              <w:spacing w:line="240" w:lineRule="auto"/>
              <w:jc w:val="lef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建立健全安全生产费用管理制度和管理台账；按照《企业安全生产费用提取和使用管理办法》</w:t>
            </w:r>
            <w:r>
              <w:rPr>
                <w:rFonts w:hint="eastAsia" w:ascii="宋体" w:hAnsi="宋体" w:cs="宋体"/>
              </w:rPr>
              <w:t>（财资</w:t>
            </w:r>
            <w:r>
              <w:rPr>
                <w:rFonts w:ascii="宋体" w:hAnsi="宋体" w:cs="宋体"/>
              </w:rPr>
              <w:t>〔2022〕1</w:t>
            </w:r>
            <w:r>
              <w:rPr>
                <w:rFonts w:hint="eastAsia" w:ascii="宋体" w:hAnsi="宋体" w:cs="宋体"/>
              </w:rPr>
              <w:t>3</w:t>
            </w:r>
            <w:r>
              <w:rPr>
                <w:rFonts w:ascii="宋体" w:hAnsi="宋体" w:cs="宋体"/>
              </w:rPr>
              <w:t>6</w:t>
            </w:r>
            <w:r>
              <w:rPr>
                <w:rFonts w:hint="eastAsia" w:ascii="宋体" w:hAnsi="宋体" w:cs="宋体"/>
              </w:rPr>
              <w:t>号）</w:t>
            </w:r>
            <w:r>
              <w:rPr>
                <w:rFonts w:asciiTheme="minorEastAsia" w:hAnsiTheme="minorEastAsia" w:eastAsiaTheme="minorEastAsia"/>
                <w:kern w:val="2"/>
                <w:sz w:val="21"/>
                <w:szCs w:val="21"/>
              </w:rPr>
              <w:t>和地方有关规定编制企业年度安全费用提取和使用计划，按计划提取和使用安全生产费用。</w:t>
            </w:r>
          </w:p>
        </w:tc>
        <w:tc>
          <w:tcPr>
            <w:tcW w:w="1344" w:type="dxa"/>
            <w:vAlign w:val="center"/>
          </w:tcPr>
          <w:p>
            <w:pPr>
              <w:pStyle w:val="18"/>
              <w:keepNext/>
              <w:keepLines/>
              <w:spacing w:before="260" w:line="240" w:lineRule="auto"/>
              <w:rPr>
                <w:rFonts w:asciiTheme="minorEastAsia" w:hAnsiTheme="minorEastAsia" w:eastAsiaTheme="minorEastAsia"/>
                <w:kern w:val="2"/>
                <w:sz w:val="21"/>
                <w:szCs w:val="21"/>
              </w:rPr>
            </w:pPr>
          </w:p>
        </w:tc>
        <w:tc>
          <w:tcPr>
            <w:tcW w:w="1469" w:type="dxa"/>
            <w:vAlign w:val="center"/>
          </w:tcPr>
          <w:p>
            <w:pPr>
              <w:pStyle w:val="18"/>
              <w:keepNext/>
              <w:keepLines/>
              <w:spacing w:before="260" w:line="240" w:lineRule="auto"/>
              <w:jc w:val="center"/>
              <w:rPr>
                <w:rFonts w:asciiTheme="minorEastAsia" w:hAnsiTheme="minorEastAsia" w:eastAsiaTheme="minorEastAsia"/>
                <w:kern w:val="2"/>
                <w:sz w:val="21"/>
                <w:szCs w:val="21"/>
              </w:rPr>
            </w:pPr>
          </w:p>
        </w:tc>
        <w:tc>
          <w:tcPr>
            <w:tcW w:w="1206" w:type="dxa"/>
            <w:vAlign w:val="center"/>
          </w:tcPr>
          <w:p>
            <w:pPr>
              <w:pStyle w:val="18"/>
              <w:keepNext/>
              <w:keepLines/>
              <w:spacing w:before="260" w:line="240" w:lineRule="auto"/>
              <w:rPr>
                <w:rFonts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widowControl/>
              <w:jc w:val="center"/>
              <w:rPr>
                <w:rFonts w:cs="宋体" w:asciiTheme="minorEastAsia" w:hAnsiTheme="minorEastAsia"/>
                <w:kern w:val="0"/>
                <w:szCs w:val="21"/>
              </w:rPr>
            </w:pPr>
            <w:r>
              <w:rPr>
                <w:rFonts w:cs="宋体" w:asciiTheme="minorEastAsia" w:hAnsiTheme="minorEastAsia"/>
                <w:kern w:val="0"/>
                <w:szCs w:val="21"/>
              </w:rPr>
              <w:t>5</w:t>
            </w:r>
          </w:p>
        </w:tc>
        <w:tc>
          <w:tcPr>
            <w:tcW w:w="171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安全培训</w:t>
            </w:r>
          </w:p>
        </w:tc>
        <w:tc>
          <w:tcPr>
            <w:tcW w:w="7235"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制定并实施特种作业人员培训计划、从业人员培训计划、职业病危害防治计划；主要负责人和安全生产管理人员的安全生产知识和管理能力经考核合格；</w:t>
            </w:r>
          </w:p>
        </w:tc>
        <w:tc>
          <w:tcPr>
            <w:tcW w:w="1344" w:type="dxa"/>
            <w:vAlign w:val="center"/>
          </w:tcPr>
          <w:p>
            <w:pPr>
              <w:pStyle w:val="18"/>
              <w:spacing w:line="240" w:lineRule="auto"/>
              <w:rPr>
                <w:rFonts w:asciiTheme="minorEastAsia" w:hAnsiTheme="minorEastAsia" w:eastAsiaTheme="minorEastAsia"/>
                <w:kern w:val="2"/>
                <w:sz w:val="21"/>
                <w:szCs w:val="21"/>
              </w:rPr>
            </w:pPr>
          </w:p>
        </w:tc>
        <w:tc>
          <w:tcPr>
            <w:tcW w:w="1469" w:type="dxa"/>
            <w:vAlign w:val="center"/>
          </w:tcPr>
          <w:p>
            <w:pPr>
              <w:pStyle w:val="18"/>
              <w:spacing w:line="240" w:lineRule="auto"/>
              <w:jc w:val="center"/>
              <w:rPr>
                <w:rFonts w:asciiTheme="minorEastAsia" w:hAnsiTheme="minorEastAsia" w:eastAsiaTheme="minorEastAsia"/>
                <w:kern w:val="2"/>
                <w:sz w:val="21"/>
                <w:szCs w:val="21"/>
              </w:rPr>
            </w:pPr>
          </w:p>
        </w:tc>
        <w:tc>
          <w:tcPr>
            <w:tcW w:w="1206" w:type="dxa"/>
            <w:vAlign w:val="center"/>
          </w:tcPr>
          <w:p>
            <w:pPr>
              <w:pStyle w:val="18"/>
              <w:spacing w:line="240" w:lineRule="auto"/>
              <w:rPr>
                <w:rFonts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Style w:val="18"/>
              <w:spacing w:after="0" w:line="24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6</w:t>
            </w:r>
          </w:p>
        </w:tc>
        <w:tc>
          <w:tcPr>
            <w:tcW w:w="171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应急救援</w:t>
            </w:r>
          </w:p>
        </w:tc>
        <w:tc>
          <w:tcPr>
            <w:tcW w:w="7235" w:type="dxa"/>
            <w:vAlign w:val="center"/>
          </w:tcPr>
          <w:p>
            <w:pPr>
              <w:widowControl/>
              <w:spacing w:afterLines="100"/>
              <w:jc w:val="left"/>
              <w:rPr>
                <w:rFonts w:cs="宋体" w:asciiTheme="minorEastAsia" w:hAnsiTheme="minorEastAsia"/>
                <w:kern w:val="0"/>
                <w:szCs w:val="21"/>
              </w:rPr>
            </w:pPr>
            <w:r>
              <w:rPr>
                <w:rFonts w:hint="eastAsia" w:cs="宋体" w:asciiTheme="minorEastAsia" w:hAnsiTheme="minorEastAsia"/>
                <w:kern w:val="0"/>
                <w:szCs w:val="21"/>
              </w:rPr>
              <w:t>制定并按时修订生产安全事故应急救援预案；定期组织开展生产安全事故应急救援演练。</w:t>
            </w:r>
          </w:p>
        </w:tc>
        <w:tc>
          <w:tcPr>
            <w:tcW w:w="1344" w:type="dxa"/>
            <w:vAlign w:val="center"/>
          </w:tcPr>
          <w:p>
            <w:pPr>
              <w:pStyle w:val="18"/>
              <w:spacing w:line="240" w:lineRule="auto"/>
              <w:rPr>
                <w:rFonts w:asciiTheme="minorEastAsia" w:hAnsiTheme="minorEastAsia" w:eastAsiaTheme="minorEastAsia"/>
                <w:kern w:val="2"/>
                <w:sz w:val="21"/>
                <w:szCs w:val="21"/>
              </w:rPr>
            </w:pPr>
          </w:p>
        </w:tc>
        <w:tc>
          <w:tcPr>
            <w:tcW w:w="1469" w:type="dxa"/>
            <w:vAlign w:val="center"/>
          </w:tcPr>
          <w:p>
            <w:pPr>
              <w:pStyle w:val="18"/>
              <w:spacing w:line="240" w:lineRule="auto"/>
              <w:jc w:val="center"/>
              <w:rPr>
                <w:rFonts w:asciiTheme="minorEastAsia" w:hAnsiTheme="minorEastAsia" w:eastAsiaTheme="minorEastAsia"/>
                <w:kern w:val="2"/>
                <w:sz w:val="21"/>
                <w:szCs w:val="21"/>
              </w:rPr>
            </w:pPr>
          </w:p>
        </w:tc>
        <w:tc>
          <w:tcPr>
            <w:tcW w:w="1206" w:type="dxa"/>
            <w:vAlign w:val="center"/>
          </w:tcPr>
          <w:p>
            <w:pPr>
              <w:pStyle w:val="18"/>
              <w:spacing w:line="240" w:lineRule="auto"/>
              <w:rPr>
                <w:rFonts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Style w:val="18"/>
              <w:spacing w:after="0" w:line="24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7</w:t>
            </w:r>
          </w:p>
        </w:tc>
        <w:tc>
          <w:tcPr>
            <w:tcW w:w="171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事故报告与调查处理</w:t>
            </w:r>
          </w:p>
        </w:tc>
        <w:tc>
          <w:tcPr>
            <w:tcW w:w="7235"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建立健全并落实生产安全事故报告制度；事故责任人员责任追究落实到位，事故防范措施落实到位；认真开展事故警示教育，吸取事故教训。</w:t>
            </w:r>
          </w:p>
        </w:tc>
        <w:tc>
          <w:tcPr>
            <w:tcW w:w="1344" w:type="dxa"/>
            <w:vAlign w:val="center"/>
          </w:tcPr>
          <w:p>
            <w:pPr>
              <w:pStyle w:val="18"/>
              <w:keepNext/>
              <w:keepLines/>
              <w:spacing w:before="260" w:line="240" w:lineRule="auto"/>
              <w:rPr>
                <w:rFonts w:asciiTheme="minorEastAsia" w:hAnsiTheme="minorEastAsia" w:eastAsiaTheme="minorEastAsia"/>
                <w:kern w:val="2"/>
                <w:sz w:val="21"/>
                <w:szCs w:val="21"/>
              </w:rPr>
            </w:pPr>
          </w:p>
        </w:tc>
        <w:tc>
          <w:tcPr>
            <w:tcW w:w="1469" w:type="dxa"/>
            <w:vAlign w:val="center"/>
          </w:tcPr>
          <w:p>
            <w:pPr>
              <w:pStyle w:val="18"/>
              <w:keepNext/>
              <w:keepLines/>
              <w:spacing w:before="260" w:line="240" w:lineRule="auto"/>
              <w:jc w:val="center"/>
              <w:rPr>
                <w:rFonts w:asciiTheme="minorEastAsia" w:hAnsiTheme="minorEastAsia" w:eastAsiaTheme="minorEastAsia"/>
                <w:kern w:val="2"/>
                <w:sz w:val="21"/>
                <w:szCs w:val="21"/>
              </w:rPr>
            </w:pPr>
          </w:p>
        </w:tc>
        <w:tc>
          <w:tcPr>
            <w:tcW w:w="1206" w:type="dxa"/>
            <w:vAlign w:val="center"/>
          </w:tcPr>
          <w:p>
            <w:pPr>
              <w:pStyle w:val="18"/>
              <w:keepNext/>
              <w:keepLines/>
              <w:spacing w:before="260" w:line="240" w:lineRule="auto"/>
              <w:rPr>
                <w:rFonts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Style w:val="18"/>
              <w:spacing w:after="0" w:line="24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8</w:t>
            </w:r>
          </w:p>
        </w:tc>
        <w:tc>
          <w:tcPr>
            <w:tcW w:w="171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责任考核与责任追究</w:t>
            </w:r>
          </w:p>
        </w:tc>
        <w:tc>
          <w:tcPr>
            <w:tcW w:w="7235"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重大灾害防治工程设计和防治措施按规定进行审批；经理层向职工代表大会等机构和部门报告安全生产情况；对安全生产违法违规人员和事故责任人员按矿山安全监察机构批复的意见进行责任追究。</w:t>
            </w:r>
          </w:p>
        </w:tc>
        <w:tc>
          <w:tcPr>
            <w:tcW w:w="1344" w:type="dxa"/>
            <w:vAlign w:val="center"/>
          </w:tcPr>
          <w:p>
            <w:pPr>
              <w:pStyle w:val="18"/>
              <w:keepNext/>
              <w:keepLines/>
              <w:spacing w:before="260" w:line="240" w:lineRule="auto"/>
              <w:rPr>
                <w:rFonts w:asciiTheme="minorEastAsia" w:hAnsiTheme="minorEastAsia" w:eastAsiaTheme="minorEastAsia"/>
                <w:kern w:val="2"/>
                <w:sz w:val="21"/>
                <w:szCs w:val="21"/>
              </w:rPr>
            </w:pPr>
          </w:p>
        </w:tc>
        <w:tc>
          <w:tcPr>
            <w:tcW w:w="1469" w:type="dxa"/>
            <w:vAlign w:val="center"/>
          </w:tcPr>
          <w:p>
            <w:pPr>
              <w:pStyle w:val="18"/>
              <w:keepNext/>
              <w:keepLines/>
              <w:spacing w:before="260" w:line="240" w:lineRule="auto"/>
              <w:jc w:val="center"/>
              <w:rPr>
                <w:rFonts w:asciiTheme="minorEastAsia" w:hAnsiTheme="minorEastAsia" w:eastAsiaTheme="minorEastAsia"/>
                <w:kern w:val="2"/>
                <w:sz w:val="21"/>
                <w:szCs w:val="21"/>
              </w:rPr>
            </w:pPr>
          </w:p>
        </w:tc>
        <w:tc>
          <w:tcPr>
            <w:tcW w:w="1206" w:type="dxa"/>
            <w:vAlign w:val="center"/>
          </w:tcPr>
          <w:p>
            <w:pPr>
              <w:pStyle w:val="18"/>
              <w:keepNext/>
              <w:keepLines/>
              <w:spacing w:before="260" w:line="240" w:lineRule="auto"/>
              <w:rPr>
                <w:rFonts w:asciiTheme="minorEastAsia" w:hAnsiTheme="minorEastAsia" w:eastAsia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pStyle w:val="18"/>
              <w:spacing w:line="240" w:lineRule="auto"/>
              <w:jc w:val="center"/>
              <w:rPr>
                <w:rFonts w:asciiTheme="minorEastAsia" w:hAnsiTheme="minorEastAsia" w:eastAsiaTheme="minorEastAsia"/>
                <w:kern w:val="2"/>
                <w:sz w:val="21"/>
                <w:szCs w:val="21"/>
              </w:rPr>
            </w:pPr>
            <w:r>
              <w:rPr>
                <w:rFonts w:asciiTheme="minorEastAsia" w:hAnsiTheme="minorEastAsia" w:eastAsiaTheme="minorEastAsia"/>
                <w:kern w:val="2"/>
                <w:sz w:val="21"/>
                <w:szCs w:val="21"/>
              </w:rPr>
              <w:t>9</w:t>
            </w:r>
          </w:p>
        </w:tc>
        <w:tc>
          <w:tcPr>
            <w:tcW w:w="1718" w:type="dxa"/>
            <w:vAlign w:val="center"/>
          </w:tcPr>
          <w:p>
            <w:pPr>
              <w:pStyle w:val="18"/>
              <w:spacing w:line="240" w:lineRule="auto"/>
              <w:jc w:val="lef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生产计划和经营指标</w:t>
            </w:r>
          </w:p>
        </w:tc>
        <w:tc>
          <w:tcPr>
            <w:tcW w:w="7235" w:type="dxa"/>
            <w:vAlign w:val="center"/>
          </w:tcPr>
          <w:p>
            <w:pPr>
              <w:pStyle w:val="18"/>
              <w:spacing w:line="240" w:lineRule="auto"/>
              <w:jc w:val="left"/>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生产经营决策听取安全生产管理机构及安全生产管理人员的意见。严禁超能力、超强度、超定员下达生产计划或经营指标。</w:t>
            </w:r>
          </w:p>
        </w:tc>
        <w:tc>
          <w:tcPr>
            <w:tcW w:w="1344" w:type="dxa"/>
            <w:vAlign w:val="center"/>
          </w:tcPr>
          <w:p>
            <w:pPr>
              <w:pStyle w:val="18"/>
              <w:keepNext/>
              <w:keepLines/>
              <w:spacing w:before="260" w:line="240" w:lineRule="auto"/>
              <w:rPr>
                <w:rFonts w:asciiTheme="minorEastAsia" w:hAnsiTheme="minorEastAsia" w:eastAsiaTheme="minorEastAsia"/>
                <w:kern w:val="2"/>
                <w:sz w:val="21"/>
                <w:szCs w:val="21"/>
              </w:rPr>
            </w:pPr>
          </w:p>
        </w:tc>
        <w:tc>
          <w:tcPr>
            <w:tcW w:w="1469" w:type="dxa"/>
            <w:vAlign w:val="center"/>
          </w:tcPr>
          <w:p>
            <w:pPr>
              <w:pStyle w:val="18"/>
              <w:keepNext/>
              <w:keepLines/>
              <w:spacing w:before="260" w:line="240" w:lineRule="auto"/>
              <w:jc w:val="center"/>
              <w:rPr>
                <w:rFonts w:asciiTheme="minorEastAsia" w:hAnsiTheme="minorEastAsia" w:eastAsiaTheme="minorEastAsia"/>
                <w:kern w:val="2"/>
                <w:sz w:val="21"/>
                <w:szCs w:val="21"/>
              </w:rPr>
            </w:pPr>
          </w:p>
        </w:tc>
        <w:tc>
          <w:tcPr>
            <w:tcW w:w="1206" w:type="dxa"/>
            <w:vAlign w:val="center"/>
          </w:tcPr>
          <w:p>
            <w:pPr>
              <w:pStyle w:val="18"/>
              <w:keepNext/>
              <w:keepLines/>
              <w:spacing w:before="260" w:line="240" w:lineRule="auto"/>
              <w:rPr>
                <w:rFonts w:asciiTheme="minorEastAsia" w:hAnsiTheme="minorEastAsia" w:eastAsiaTheme="minorEastAsia"/>
                <w:kern w:val="2"/>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zNDM5NDlhYWM5ZDE5OGMwNzA0MzI3OTQ3M2I3MmMifQ=="/>
  </w:docVars>
  <w:rsids>
    <w:rsidRoot w:val="00785C33"/>
    <w:rsid w:val="000120D0"/>
    <w:rsid w:val="00013A45"/>
    <w:rsid w:val="00013EE4"/>
    <w:rsid w:val="000141EA"/>
    <w:rsid w:val="00025192"/>
    <w:rsid w:val="00026BC7"/>
    <w:rsid w:val="000315CE"/>
    <w:rsid w:val="00032F13"/>
    <w:rsid w:val="00037812"/>
    <w:rsid w:val="0004549E"/>
    <w:rsid w:val="0006142C"/>
    <w:rsid w:val="00070D78"/>
    <w:rsid w:val="000856E3"/>
    <w:rsid w:val="00086F13"/>
    <w:rsid w:val="000941E4"/>
    <w:rsid w:val="000955D7"/>
    <w:rsid w:val="000A0896"/>
    <w:rsid w:val="000A1203"/>
    <w:rsid w:val="000B78B4"/>
    <w:rsid w:val="000D5328"/>
    <w:rsid w:val="000D5918"/>
    <w:rsid w:val="000E289D"/>
    <w:rsid w:val="000E7AB2"/>
    <w:rsid w:val="000F02C4"/>
    <w:rsid w:val="000F107F"/>
    <w:rsid w:val="001000D4"/>
    <w:rsid w:val="00101EB5"/>
    <w:rsid w:val="00107B32"/>
    <w:rsid w:val="00124D85"/>
    <w:rsid w:val="00125601"/>
    <w:rsid w:val="001274BE"/>
    <w:rsid w:val="00161EFA"/>
    <w:rsid w:val="00163928"/>
    <w:rsid w:val="00172A49"/>
    <w:rsid w:val="00174BC0"/>
    <w:rsid w:val="00187AD7"/>
    <w:rsid w:val="00187CAD"/>
    <w:rsid w:val="001908A9"/>
    <w:rsid w:val="0019385C"/>
    <w:rsid w:val="00194478"/>
    <w:rsid w:val="00196FA2"/>
    <w:rsid w:val="001A214F"/>
    <w:rsid w:val="001B1525"/>
    <w:rsid w:val="001B2F12"/>
    <w:rsid w:val="001B50BF"/>
    <w:rsid w:val="001D2323"/>
    <w:rsid w:val="001D5101"/>
    <w:rsid w:val="001E473A"/>
    <w:rsid w:val="001F236D"/>
    <w:rsid w:val="001F6736"/>
    <w:rsid w:val="00202AAF"/>
    <w:rsid w:val="00205D17"/>
    <w:rsid w:val="002062AF"/>
    <w:rsid w:val="00220A78"/>
    <w:rsid w:val="00221AC1"/>
    <w:rsid w:val="002255BC"/>
    <w:rsid w:val="0024048F"/>
    <w:rsid w:val="0024258A"/>
    <w:rsid w:val="00242681"/>
    <w:rsid w:val="00242D1D"/>
    <w:rsid w:val="00250F69"/>
    <w:rsid w:val="00253721"/>
    <w:rsid w:val="00256DD1"/>
    <w:rsid w:val="0026248D"/>
    <w:rsid w:val="00287532"/>
    <w:rsid w:val="002918FD"/>
    <w:rsid w:val="00295167"/>
    <w:rsid w:val="002A0041"/>
    <w:rsid w:val="002B26C0"/>
    <w:rsid w:val="002B7EE6"/>
    <w:rsid w:val="002C3FDB"/>
    <w:rsid w:val="002C58C8"/>
    <w:rsid w:val="002D3690"/>
    <w:rsid w:val="002D3F64"/>
    <w:rsid w:val="002E22A6"/>
    <w:rsid w:val="002E79ED"/>
    <w:rsid w:val="00333F6A"/>
    <w:rsid w:val="00344D26"/>
    <w:rsid w:val="003529E2"/>
    <w:rsid w:val="00360637"/>
    <w:rsid w:val="003634C2"/>
    <w:rsid w:val="003727A0"/>
    <w:rsid w:val="00381E37"/>
    <w:rsid w:val="003938E7"/>
    <w:rsid w:val="00394BB5"/>
    <w:rsid w:val="003A6448"/>
    <w:rsid w:val="003A70A2"/>
    <w:rsid w:val="003B6F30"/>
    <w:rsid w:val="003B774F"/>
    <w:rsid w:val="003D3B14"/>
    <w:rsid w:val="003F008E"/>
    <w:rsid w:val="003F2C7E"/>
    <w:rsid w:val="00404673"/>
    <w:rsid w:val="00407B71"/>
    <w:rsid w:val="00412562"/>
    <w:rsid w:val="00422357"/>
    <w:rsid w:val="00427823"/>
    <w:rsid w:val="00431A96"/>
    <w:rsid w:val="004368E2"/>
    <w:rsid w:val="00436C1C"/>
    <w:rsid w:val="00445E05"/>
    <w:rsid w:val="00453351"/>
    <w:rsid w:val="00456CFA"/>
    <w:rsid w:val="00462440"/>
    <w:rsid w:val="00462750"/>
    <w:rsid w:val="00466080"/>
    <w:rsid w:val="004868FA"/>
    <w:rsid w:val="00490952"/>
    <w:rsid w:val="004942B7"/>
    <w:rsid w:val="0049670C"/>
    <w:rsid w:val="004A59F0"/>
    <w:rsid w:val="004B7DB6"/>
    <w:rsid w:val="004C7623"/>
    <w:rsid w:val="004C7B62"/>
    <w:rsid w:val="004D2713"/>
    <w:rsid w:val="004D5836"/>
    <w:rsid w:val="004E29D6"/>
    <w:rsid w:val="004F01AD"/>
    <w:rsid w:val="004F0286"/>
    <w:rsid w:val="004F0C5E"/>
    <w:rsid w:val="0050191C"/>
    <w:rsid w:val="00501AD4"/>
    <w:rsid w:val="00524F1C"/>
    <w:rsid w:val="005300B8"/>
    <w:rsid w:val="005339AD"/>
    <w:rsid w:val="00540442"/>
    <w:rsid w:val="00540D28"/>
    <w:rsid w:val="0055150A"/>
    <w:rsid w:val="005545E5"/>
    <w:rsid w:val="005560AE"/>
    <w:rsid w:val="005736B5"/>
    <w:rsid w:val="00574E61"/>
    <w:rsid w:val="00584BEF"/>
    <w:rsid w:val="00584C09"/>
    <w:rsid w:val="005875D4"/>
    <w:rsid w:val="00591B4E"/>
    <w:rsid w:val="00592C96"/>
    <w:rsid w:val="005952F7"/>
    <w:rsid w:val="005A1557"/>
    <w:rsid w:val="005A2A4D"/>
    <w:rsid w:val="005B0680"/>
    <w:rsid w:val="005C3DAB"/>
    <w:rsid w:val="005C4415"/>
    <w:rsid w:val="005D2B45"/>
    <w:rsid w:val="005F129A"/>
    <w:rsid w:val="006019CA"/>
    <w:rsid w:val="006047C3"/>
    <w:rsid w:val="00607BEB"/>
    <w:rsid w:val="006208D0"/>
    <w:rsid w:val="0063194D"/>
    <w:rsid w:val="00635FBB"/>
    <w:rsid w:val="00642247"/>
    <w:rsid w:val="00662392"/>
    <w:rsid w:val="00664D6F"/>
    <w:rsid w:val="0066687A"/>
    <w:rsid w:val="006675DB"/>
    <w:rsid w:val="00673439"/>
    <w:rsid w:val="00677459"/>
    <w:rsid w:val="00681C30"/>
    <w:rsid w:val="00682554"/>
    <w:rsid w:val="00686DBF"/>
    <w:rsid w:val="00687308"/>
    <w:rsid w:val="00692C42"/>
    <w:rsid w:val="00695486"/>
    <w:rsid w:val="006A3943"/>
    <w:rsid w:val="006C7D50"/>
    <w:rsid w:val="006D6FB1"/>
    <w:rsid w:val="006E5A1D"/>
    <w:rsid w:val="006F0D98"/>
    <w:rsid w:val="006F5828"/>
    <w:rsid w:val="00704479"/>
    <w:rsid w:val="007106CA"/>
    <w:rsid w:val="00721BBC"/>
    <w:rsid w:val="00721BD0"/>
    <w:rsid w:val="007237DA"/>
    <w:rsid w:val="007248C8"/>
    <w:rsid w:val="00731F16"/>
    <w:rsid w:val="007339B8"/>
    <w:rsid w:val="007538DF"/>
    <w:rsid w:val="00753B1E"/>
    <w:rsid w:val="0076262D"/>
    <w:rsid w:val="0077491E"/>
    <w:rsid w:val="0077628E"/>
    <w:rsid w:val="00785C33"/>
    <w:rsid w:val="007B05F9"/>
    <w:rsid w:val="007B159A"/>
    <w:rsid w:val="007C1736"/>
    <w:rsid w:val="007C2591"/>
    <w:rsid w:val="007C4679"/>
    <w:rsid w:val="007C642B"/>
    <w:rsid w:val="007C79DD"/>
    <w:rsid w:val="007D3AB3"/>
    <w:rsid w:val="007E06B5"/>
    <w:rsid w:val="007E2E70"/>
    <w:rsid w:val="007E740D"/>
    <w:rsid w:val="00802E19"/>
    <w:rsid w:val="00804055"/>
    <w:rsid w:val="00807BFB"/>
    <w:rsid w:val="008161F6"/>
    <w:rsid w:val="00835C07"/>
    <w:rsid w:val="00837C5F"/>
    <w:rsid w:val="00843E65"/>
    <w:rsid w:val="00844ABC"/>
    <w:rsid w:val="00851F84"/>
    <w:rsid w:val="0085612B"/>
    <w:rsid w:val="00870395"/>
    <w:rsid w:val="00872AEB"/>
    <w:rsid w:val="008937DE"/>
    <w:rsid w:val="00893A41"/>
    <w:rsid w:val="00894B96"/>
    <w:rsid w:val="00894FAC"/>
    <w:rsid w:val="00894FF4"/>
    <w:rsid w:val="008A08D7"/>
    <w:rsid w:val="008A1188"/>
    <w:rsid w:val="008A222D"/>
    <w:rsid w:val="008A5CD2"/>
    <w:rsid w:val="008A6346"/>
    <w:rsid w:val="008C4CE7"/>
    <w:rsid w:val="008C5C10"/>
    <w:rsid w:val="008D026D"/>
    <w:rsid w:val="008D3128"/>
    <w:rsid w:val="008E1CC8"/>
    <w:rsid w:val="008E26BE"/>
    <w:rsid w:val="008E2F92"/>
    <w:rsid w:val="008E5DB5"/>
    <w:rsid w:val="008E7459"/>
    <w:rsid w:val="008F42C0"/>
    <w:rsid w:val="008F678E"/>
    <w:rsid w:val="00907375"/>
    <w:rsid w:val="009128CF"/>
    <w:rsid w:val="00920388"/>
    <w:rsid w:val="00924EC7"/>
    <w:rsid w:val="009374E9"/>
    <w:rsid w:val="00951344"/>
    <w:rsid w:val="00972D0B"/>
    <w:rsid w:val="009758AA"/>
    <w:rsid w:val="00975B0D"/>
    <w:rsid w:val="00983801"/>
    <w:rsid w:val="009A3450"/>
    <w:rsid w:val="009A7873"/>
    <w:rsid w:val="009B24B1"/>
    <w:rsid w:val="009B7CD9"/>
    <w:rsid w:val="009C75EE"/>
    <w:rsid w:val="009D16AB"/>
    <w:rsid w:val="009E396B"/>
    <w:rsid w:val="009F477E"/>
    <w:rsid w:val="00A014D3"/>
    <w:rsid w:val="00A112C1"/>
    <w:rsid w:val="00A173D1"/>
    <w:rsid w:val="00A201C2"/>
    <w:rsid w:val="00A236EA"/>
    <w:rsid w:val="00A2476B"/>
    <w:rsid w:val="00A33322"/>
    <w:rsid w:val="00A42ED4"/>
    <w:rsid w:val="00A43391"/>
    <w:rsid w:val="00A4470A"/>
    <w:rsid w:val="00A50490"/>
    <w:rsid w:val="00A7768B"/>
    <w:rsid w:val="00A94A84"/>
    <w:rsid w:val="00AB4759"/>
    <w:rsid w:val="00AC2DBB"/>
    <w:rsid w:val="00AD0811"/>
    <w:rsid w:val="00AE11EF"/>
    <w:rsid w:val="00AE3732"/>
    <w:rsid w:val="00AF1146"/>
    <w:rsid w:val="00AF17D8"/>
    <w:rsid w:val="00AF515D"/>
    <w:rsid w:val="00B0270E"/>
    <w:rsid w:val="00B03715"/>
    <w:rsid w:val="00B04AC8"/>
    <w:rsid w:val="00B10D9D"/>
    <w:rsid w:val="00B36828"/>
    <w:rsid w:val="00B559AD"/>
    <w:rsid w:val="00B55EAF"/>
    <w:rsid w:val="00B57338"/>
    <w:rsid w:val="00B576FD"/>
    <w:rsid w:val="00B65625"/>
    <w:rsid w:val="00B70C1E"/>
    <w:rsid w:val="00BA6396"/>
    <w:rsid w:val="00BD089B"/>
    <w:rsid w:val="00BD3487"/>
    <w:rsid w:val="00BD3F92"/>
    <w:rsid w:val="00BE5DEB"/>
    <w:rsid w:val="00BE7B2B"/>
    <w:rsid w:val="00BE7DB0"/>
    <w:rsid w:val="00BF60EE"/>
    <w:rsid w:val="00C1561B"/>
    <w:rsid w:val="00C20268"/>
    <w:rsid w:val="00C249E4"/>
    <w:rsid w:val="00C30A30"/>
    <w:rsid w:val="00C321E7"/>
    <w:rsid w:val="00C36C87"/>
    <w:rsid w:val="00C516A3"/>
    <w:rsid w:val="00C562CF"/>
    <w:rsid w:val="00C6079D"/>
    <w:rsid w:val="00C64CFB"/>
    <w:rsid w:val="00C70F81"/>
    <w:rsid w:val="00C74759"/>
    <w:rsid w:val="00C81996"/>
    <w:rsid w:val="00CA6521"/>
    <w:rsid w:val="00CC0D27"/>
    <w:rsid w:val="00CC32E7"/>
    <w:rsid w:val="00CC6074"/>
    <w:rsid w:val="00CC6492"/>
    <w:rsid w:val="00CD3F5D"/>
    <w:rsid w:val="00CE4C14"/>
    <w:rsid w:val="00CF121B"/>
    <w:rsid w:val="00CF7CD6"/>
    <w:rsid w:val="00D12DC3"/>
    <w:rsid w:val="00D15725"/>
    <w:rsid w:val="00D2339E"/>
    <w:rsid w:val="00D25094"/>
    <w:rsid w:val="00D357B4"/>
    <w:rsid w:val="00D51134"/>
    <w:rsid w:val="00D737CD"/>
    <w:rsid w:val="00D920F1"/>
    <w:rsid w:val="00D928D3"/>
    <w:rsid w:val="00DA22DC"/>
    <w:rsid w:val="00DA3935"/>
    <w:rsid w:val="00DA6A84"/>
    <w:rsid w:val="00DD13B2"/>
    <w:rsid w:val="00DD1453"/>
    <w:rsid w:val="00DD24A3"/>
    <w:rsid w:val="00DE335F"/>
    <w:rsid w:val="00DE33F0"/>
    <w:rsid w:val="00DE4A84"/>
    <w:rsid w:val="00DF5CC8"/>
    <w:rsid w:val="00DF610D"/>
    <w:rsid w:val="00E01D59"/>
    <w:rsid w:val="00E127EC"/>
    <w:rsid w:val="00E278DB"/>
    <w:rsid w:val="00E61957"/>
    <w:rsid w:val="00E6405B"/>
    <w:rsid w:val="00E6506B"/>
    <w:rsid w:val="00E716D1"/>
    <w:rsid w:val="00E71F35"/>
    <w:rsid w:val="00E877B1"/>
    <w:rsid w:val="00EB0E7A"/>
    <w:rsid w:val="00EB26AF"/>
    <w:rsid w:val="00ED267A"/>
    <w:rsid w:val="00EF2490"/>
    <w:rsid w:val="00EF25C0"/>
    <w:rsid w:val="00EF75A5"/>
    <w:rsid w:val="00F25B4E"/>
    <w:rsid w:val="00F26130"/>
    <w:rsid w:val="00F3001C"/>
    <w:rsid w:val="00F319C8"/>
    <w:rsid w:val="00F32742"/>
    <w:rsid w:val="00F3318C"/>
    <w:rsid w:val="00F470AA"/>
    <w:rsid w:val="00F510A9"/>
    <w:rsid w:val="00F62182"/>
    <w:rsid w:val="00F62629"/>
    <w:rsid w:val="00F71E27"/>
    <w:rsid w:val="00F874AB"/>
    <w:rsid w:val="00F9594F"/>
    <w:rsid w:val="00FA0938"/>
    <w:rsid w:val="00FA2231"/>
    <w:rsid w:val="00FA3571"/>
    <w:rsid w:val="00FA4B4B"/>
    <w:rsid w:val="00FB3B20"/>
    <w:rsid w:val="00FB3F44"/>
    <w:rsid w:val="00FC14F9"/>
    <w:rsid w:val="00FC204F"/>
    <w:rsid w:val="00FC5761"/>
    <w:rsid w:val="00FD080E"/>
    <w:rsid w:val="00FE6DCC"/>
    <w:rsid w:val="00FF4992"/>
    <w:rsid w:val="00FF7696"/>
    <w:rsid w:val="04BE1FAF"/>
    <w:rsid w:val="05FB006A"/>
    <w:rsid w:val="07306BBF"/>
    <w:rsid w:val="104263A9"/>
    <w:rsid w:val="13EA42A1"/>
    <w:rsid w:val="14B20649"/>
    <w:rsid w:val="1550563C"/>
    <w:rsid w:val="21F0331F"/>
    <w:rsid w:val="39F45D96"/>
    <w:rsid w:val="52EF09B9"/>
    <w:rsid w:val="6ED71C51"/>
    <w:rsid w:val="75DA132A"/>
    <w:rsid w:val="7C860D12"/>
    <w:rsid w:val="7DC316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9"/>
    <w:pPr>
      <w:widowControl/>
      <w:jc w:val="left"/>
      <w:outlineLvl w:val="0"/>
    </w:pPr>
    <w:rPr>
      <w:rFonts w:ascii="宋体" w:hAnsi="宋体" w:cs="宋体"/>
      <w:b/>
      <w:bCs/>
      <w:kern w:val="36"/>
      <w:sz w:val="32"/>
      <w:szCs w:val="48"/>
    </w:rPr>
  </w:style>
  <w:style w:type="paragraph" w:styleId="3">
    <w:name w:val="heading 2"/>
    <w:basedOn w:val="1"/>
    <w:next w:val="1"/>
    <w:link w:val="52"/>
    <w:qFormat/>
    <w:uiPriority w:val="9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25">
    <w:name w:val="Default Paragraph Font"/>
    <w:unhideWhenUsed/>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4">
    <w:name w:val="table of authorities"/>
    <w:basedOn w:val="1"/>
    <w:next w:val="1"/>
    <w:semiHidden/>
    <w:qFormat/>
    <w:uiPriority w:val="99"/>
    <w:pPr>
      <w:ind w:left="200" w:leftChars="200"/>
    </w:pPr>
    <w:rPr>
      <w:rFonts w:ascii="Calibri" w:hAnsi="Calibri" w:eastAsia="宋体" w:cs="Calibri"/>
      <w:szCs w:val="21"/>
    </w:rPr>
  </w:style>
  <w:style w:type="paragraph" w:styleId="5">
    <w:name w:val="index 8"/>
    <w:basedOn w:val="1"/>
    <w:next w:val="1"/>
    <w:semiHidden/>
    <w:qFormat/>
    <w:uiPriority w:val="99"/>
    <w:pPr>
      <w:ind w:left="2940"/>
    </w:pPr>
    <w:rPr>
      <w:rFonts w:ascii="Times New Roman" w:hAnsi="Times New Roman" w:eastAsia="宋体" w:cs="Times New Roman"/>
      <w:szCs w:val="21"/>
    </w:rPr>
  </w:style>
  <w:style w:type="paragraph" w:styleId="6">
    <w:name w:val="Normal Indent"/>
    <w:basedOn w:val="1"/>
    <w:qFormat/>
    <w:uiPriority w:val="99"/>
    <w:pPr>
      <w:ind w:firstLine="420" w:firstLineChars="200"/>
    </w:pPr>
    <w:rPr>
      <w:rFonts w:ascii="Calibri" w:hAnsi="Calibri" w:eastAsia="宋体" w:cs="Calibri"/>
      <w:szCs w:val="21"/>
    </w:rPr>
  </w:style>
  <w:style w:type="paragraph" w:styleId="7">
    <w:name w:val="annotation text"/>
    <w:basedOn w:val="1"/>
    <w:link w:val="59"/>
    <w:qFormat/>
    <w:uiPriority w:val="0"/>
    <w:pPr>
      <w:widowControl/>
      <w:spacing w:line="580" w:lineRule="exact"/>
      <w:ind w:firstLine="200" w:firstLineChars="200"/>
      <w:jc w:val="left"/>
    </w:pPr>
    <w:rPr>
      <w:rFonts w:ascii="Calibri" w:hAnsi="Calibri" w:eastAsia="宋体" w:cs="Calibri"/>
      <w:szCs w:val="21"/>
    </w:rPr>
  </w:style>
  <w:style w:type="paragraph" w:styleId="8">
    <w:name w:val="Salutation"/>
    <w:basedOn w:val="1"/>
    <w:next w:val="1"/>
    <w:link w:val="58"/>
    <w:autoRedefine/>
    <w:qFormat/>
    <w:uiPriority w:val="99"/>
    <w:pPr>
      <w:widowControl/>
      <w:spacing w:line="580" w:lineRule="exact"/>
      <w:ind w:firstLine="200" w:firstLineChars="200"/>
    </w:pPr>
    <w:rPr>
      <w:rFonts w:ascii="Calibri" w:hAnsi="Calibri" w:eastAsia="宋体" w:cs="Calibri"/>
      <w:szCs w:val="21"/>
    </w:rPr>
  </w:style>
  <w:style w:type="paragraph" w:styleId="9">
    <w:name w:val="Body Text"/>
    <w:basedOn w:val="1"/>
    <w:link w:val="60"/>
    <w:qFormat/>
    <w:uiPriority w:val="99"/>
    <w:pPr>
      <w:jc w:val="center"/>
    </w:pPr>
    <w:rPr>
      <w:rFonts w:ascii="Times New Roman" w:hAnsi="Times New Roman" w:eastAsia="仿宋_GB2312" w:cs="Times New Roman"/>
      <w:b/>
      <w:bCs/>
      <w:sz w:val="44"/>
      <w:szCs w:val="44"/>
    </w:rPr>
  </w:style>
  <w:style w:type="paragraph" w:styleId="10">
    <w:name w:val="Body Text Indent"/>
    <w:basedOn w:val="1"/>
    <w:link w:val="35"/>
    <w:unhideWhenUsed/>
    <w:qFormat/>
    <w:uiPriority w:val="99"/>
    <w:pPr>
      <w:spacing w:after="120"/>
      <w:ind w:left="420" w:leftChars="200"/>
    </w:pPr>
    <w:rPr>
      <w:kern w:val="0"/>
      <w:sz w:val="20"/>
    </w:rPr>
  </w:style>
  <w:style w:type="paragraph" w:styleId="11">
    <w:name w:val="Plain Text"/>
    <w:basedOn w:val="1"/>
    <w:next w:val="5"/>
    <w:link w:val="61"/>
    <w:autoRedefine/>
    <w:qFormat/>
    <w:uiPriority w:val="99"/>
    <w:rPr>
      <w:rFonts w:ascii="宋体" w:hAnsi="Courier New" w:eastAsia="宋体" w:cs="宋体"/>
      <w:szCs w:val="21"/>
    </w:rPr>
  </w:style>
  <w:style w:type="paragraph" w:styleId="12">
    <w:name w:val="Date"/>
    <w:basedOn w:val="1"/>
    <w:next w:val="1"/>
    <w:link w:val="62"/>
    <w:autoRedefine/>
    <w:qFormat/>
    <w:uiPriority w:val="99"/>
    <w:pPr>
      <w:widowControl/>
      <w:spacing w:line="580" w:lineRule="exact"/>
      <w:ind w:left="100" w:leftChars="2500" w:firstLine="200" w:firstLineChars="200"/>
    </w:pPr>
    <w:rPr>
      <w:rFonts w:ascii="Calibri" w:hAnsi="Calibri" w:eastAsia="宋体" w:cs="Calibri"/>
      <w:szCs w:val="21"/>
    </w:rPr>
  </w:style>
  <w:style w:type="paragraph" w:styleId="13">
    <w:name w:val="Balloon Text"/>
    <w:basedOn w:val="1"/>
    <w:link w:val="37"/>
    <w:autoRedefine/>
    <w:unhideWhenUsed/>
    <w:qFormat/>
    <w:uiPriority w:val="99"/>
    <w:rPr>
      <w:sz w:val="18"/>
      <w:szCs w:val="18"/>
    </w:rPr>
  </w:style>
  <w:style w:type="paragraph" w:styleId="14">
    <w:name w:val="footer"/>
    <w:basedOn w:val="1"/>
    <w:link w:val="34"/>
    <w:autoRedefine/>
    <w:qFormat/>
    <w:uiPriority w:val="99"/>
    <w:pPr>
      <w:tabs>
        <w:tab w:val="center" w:pos="4153"/>
        <w:tab w:val="right" w:pos="8306"/>
      </w:tabs>
      <w:snapToGrid w:val="0"/>
      <w:jc w:val="left"/>
    </w:pPr>
    <w:rPr>
      <w:kern w:val="0"/>
      <w:sz w:val="18"/>
    </w:rPr>
  </w:style>
  <w:style w:type="paragraph" w:styleId="15">
    <w:name w:val="header"/>
    <w:basedOn w:val="1"/>
    <w:link w:val="33"/>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semiHidden/>
    <w:qFormat/>
    <w:uiPriority w:val="99"/>
    <w:pPr>
      <w:tabs>
        <w:tab w:val="left" w:pos="810"/>
        <w:tab w:val="right" w:leader="dot" w:pos="8296"/>
      </w:tabs>
      <w:spacing w:line="360" w:lineRule="auto"/>
      <w:jc w:val="left"/>
    </w:pPr>
    <w:rPr>
      <w:rFonts w:ascii="Times New Roman" w:hAnsi="Times New Roman" w:eastAsia="宋体" w:cs="Times New Roman"/>
      <w:sz w:val="24"/>
      <w:szCs w:val="24"/>
    </w:rPr>
  </w:style>
  <w:style w:type="paragraph" w:styleId="17">
    <w:name w:val="Subtitle"/>
    <w:basedOn w:val="1"/>
    <w:next w:val="1"/>
    <w:link w:val="63"/>
    <w:autoRedefine/>
    <w:qFormat/>
    <w:uiPriority w:val="99"/>
    <w:pPr>
      <w:spacing w:before="240" w:after="60" w:line="312" w:lineRule="auto"/>
      <w:jc w:val="center"/>
      <w:outlineLvl w:val="1"/>
    </w:pPr>
    <w:rPr>
      <w:rFonts w:ascii="Cambria" w:hAnsi="Cambria" w:eastAsia="宋体" w:cs="Cambria"/>
      <w:b/>
      <w:bCs/>
      <w:kern w:val="28"/>
      <w:sz w:val="32"/>
      <w:szCs w:val="32"/>
    </w:rPr>
  </w:style>
  <w:style w:type="paragraph" w:styleId="18">
    <w:name w:val="Body Text 2"/>
    <w:basedOn w:val="1"/>
    <w:link w:val="53"/>
    <w:autoRedefine/>
    <w:qFormat/>
    <w:uiPriority w:val="0"/>
    <w:pPr>
      <w:spacing w:after="120" w:line="480" w:lineRule="auto"/>
    </w:pPr>
    <w:rPr>
      <w:rFonts w:ascii="Times New Roman" w:hAnsi="Times New Roman" w:eastAsia="宋体" w:cs="Times New Roman"/>
      <w:kern w:val="0"/>
      <w:sz w:val="20"/>
      <w:szCs w:val="24"/>
    </w:rPr>
  </w:style>
  <w:style w:type="paragraph" w:styleId="19">
    <w:name w:val="Message Header"/>
    <w:basedOn w:val="1"/>
    <w:next w:val="1"/>
    <w:link w:val="64"/>
    <w:autoRedefine/>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Arial"/>
      <w:sz w:val="24"/>
      <w:szCs w:val="24"/>
    </w:rPr>
  </w:style>
  <w:style w:type="paragraph" w:styleId="20">
    <w:name w:val="Normal (Web)"/>
    <w:basedOn w:val="1"/>
    <w:autoRedefine/>
    <w:qFormat/>
    <w:uiPriority w:val="0"/>
    <w:pPr>
      <w:spacing w:beforeAutospacing="1" w:afterAutospacing="1"/>
      <w:jc w:val="left"/>
    </w:pPr>
    <w:rPr>
      <w:kern w:val="0"/>
      <w:sz w:val="24"/>
    </w:rPr>
  </w:style>
  <w:style w:type="paragraph" w:styleId="21">
    <w:name w:val="Title"/>
    <w:basedOn w:val="1"/>
    <w:next w:val="1"/>
    <w:link w:val="65"/>
    <w:qFormat/>
    <w:uiPriority w:val="99"/>
    <w:pPr>
      <w:spacing w:before="240" w:after="60"/>
      <w:jc w:val="center"/>
      <w:outlineLvl w:val="0"/>
    </w:pPr>
    <w:rPr>
      <w:rFonts w:ascii="Cambria" w:hAnsi="Cambria" w:eastAsia="宋体" w:cs="Cambria"/>
      <w:b/>
      <w:bCs/>
      <w:sz w:val="32"/>
      <w:szCs w:val="32"/>
    </w:rPr>
  </w:style>
  <w:style w:type="paragraph" w:styleId="22">
    <w:name w:val="Body Text First Indent 2"/>
    <w:basedOn w:val="10"/>
    <w:link w:val="36"/>
    <w:autoRedefine/>
    <w:unhideWhenUsed/>
    <w:qFormat/>
    <w:uiPriority w:val="99"/>
    <w:pPr>
      <w:ind w:firstLine="420" w:firstLineChars="200"/>
    </w:pPr>
  </w:style>
  <w:style w:type="table" w:styleId="24">
    <w:name w:val="Table Grid"/>
    <w:basedOn w:val="2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autoRedefine/>
    <w:qFormat/>
    <w:uiPriority w:val="99"/>
    <w:rPr>
      <w:b/>
    </w:rPr>
  </w:style>
  <w:style w:type="character" w:styleId="27">
    <w:name w:val="page number"/>
    <w:basedOn w:val="25"/>
    <w:autoRedefine/>
    <w:unhideWhenUsed/>
    <w:qFormat/>
    <w:uiPriority w:val="99"/>
  </w:style>
  <w:style w:type="character" w:styleId="28">
    <w:name w:val="FollowedHyperlink"/>
    <w:basedOn w:val="25"/>
    <w:autoRedefine/>
    <w:unhideWhenUsed/>
    <w:qFormat/>
    <w:uiPriority w:val="99"/>
    <w:rPr>
      <w:color w:val="333333"/>
      <w:u w:val="none"/>
    </w:rPr>
  </w:style>
  <w:style w:type="character" w:styleId="29">
    <w:name w:val="Emphasis"/>
    <w:basedOn w:val="25"/>
    <w:autoRedefine/>
    <w:qFormat/>
    <w:uiPriority w:val="99"/>
  </w:style>
  <w:style w:type="character" w:styleId="30">
    <w:name w:val="HTML Acronym"/>
    <w:basedOn w:val="25"/>
    <w:autoRedefine/>
    <w:unhideWhenUsed/>
    <w:qFormat/>
    <w:uiPriority w:val="99"/>
  </w:style>
  <w:style w:type="character" w:styleId="31">
    <w:name w:val="Hyperlink"/>
    <w:basedOn w:val="25"/>
    <w:autoRedefine/>
    <w:unhideWhenUsed/>
    <w:qFormat/>
    <w:uiPriority w:val="99"/>
    <w:rPr>
      <w:color w:val="333333"/>
      <w:u w:val="none"/>
    </w:rPr>
  </w:style>
  <w:style w:type="character" w:customStyle="1" w:styleId="32">
    <w:name w:val="标题 1 Char"/>
    <w:basedOn w:val="25"/>
    <w:link w:val="2"/>
    <w:autoRedefine/>
    <w:qFormat/>
    <w:uiPriority w:val="99"/>
    <w:rPr>
      <w:rFonts w:ascii="宋体" w:hAnsi="宋体" w:cs="宋体"/>
      <w:b/>
      <w:bCs/>
      <w:kern w:val="36"/>
      <w:sz w:val="32"/>
      <w:szCs w:val="48"/>
    </w:rPr>
  </w:style>
  <w:style w:type="character" w:customStyle="1" w:styleId="33">
    <w:name w:val="页眉 Char"/>
    <w:basedOn w:val="25"/>
    <w:link w:val="15"/>
    <w:autoRedefine/>
    <w:qFormat/>
    <w:uiPriority w:val="99"/>
    <w:rPr>
      <w:rFonts w:ascii="Calibri" w:hAnsi="Calibri" w:eastAsia="宋体" w:cs="Times New Roman"/>
      <w:sz w:val="18"/>
      <w:szCs w:val="18"/>
    </w:rPr>
  </w:style>
  <w:style w:type="character" w:customStyle="1" w:styleId="34">
    <w:name w:val="页脚 Char"/>
    <w:basedOn w:val="25"/>
    <w:link w:val="14"/>
    <w:autoRedefine/>
    <w:qFormat/>
    <w:uiPriority w:val="99"/>
    <w:rPr>
      <w:rFonts w:ascii="Calibri" w:hAnsi="Calibri" w:eastAsia="宋体" w:cs="Times New Roman"/>
      <w:sz w:val="18"/>
      <w:szCs w:val="24"/>
    </w:rPr>
  </w:style>
  <w:style w:type="character" w:customStyle="1" w:styleId="35">
    <w:name w:val="正文文本缩进 Char"/>
    <w:basedOn w:val="25"/>
    <w:link w:val="10"/>
    <w:autoRedefine/>
    <w:qFormat/>
    <w:uiPriority w:val="99"/>
    <w:rPr>
      <w:rFonts w:ascii="Calibri" w:hAnsi="Calibri" w:eastAsia="宋体" w:cs="Times New Roman"/>
      <w:szCs w:val="24"/>
    </w:rPr>
  </w:style>
  <w:style w:type="character" w:customStyle="1" w:styleId="36">
    <w:name w:val="正文首行缩进 2 Char"/>
    <w:basedOn w:val="35"/>
    <w:link w:val="22"/>
    <w:qFormat/>
    <w:uiPriority w:val="99"/>
  </w:style>
  <w:style w:type="character" w:customStyle="1" w:styleId="37">
    <w:name w:val="批注框文本 Char"/>
    <w:basedOn w:val="25"/>
    <w:link w:val="13"/>
    <w:qFormat/>
    <w:uiPriority w:val="99"/>
    <w:rPr>
      <w:rFonts w:ascii="Calibri" w:hAnsi="Calibri"/>
      <w:kern w:val="2"/>
      <w:sz w:val="18"/>
      <w:szCs w:val="18"/>
    </w:rPr>
  </w:style>
  <w:style w:type="paragraph" w:customStyle="1" w:styleId="38">
    <w:name w:val="CM2"/>
    <w:basedOn w:val="1"/>
    <w:next w:val="1"/>
    <w:autoRedefine/>
    <w:qFormat/>
    <w:uiPriority w:val="99"/>
    <w:pPr>
      <w:autoSpaceDE w:val="0"/>
      <w:autoSpaceDN w:val="0"/>
      <w:adjustRightInd w:val="0"/>
      <w:spacing w:line="626" w:lineRule="atLeast"/>
      <w:jc w:val="left"/>
    </w:pPr>
    <w:rPr>
      <w:rFonts w:ascii="华文中宋" w:eastAsia="华文中宋"/>
      <w:kern w:val="0"/>
      <w:sz w:val="24"/>
    </w:rPr>
  </w:style>
  <w:style w:type="paragraph" w:customStyle="1" w:styleId="39">
    <w:name w:val="CM7"/>
    <w:basedOn w:val="1"/>
    <w:next w:val="1"/>
    <w:qFormat/>
    <w:uiPriority w:val="99"/>
    <w:pPr>
      <w:autoSpaceDE w:val="0"/>
      <w:autoSpaceDN w:val="0"/>
      <w:adjustRightInd w:val="0"/>
      <w:spacing w:line="626" w:lineRule="atLeast"/>
      <w:jc w:val="left"/>
    </w:pPr>
    <w:rPr>
      <w:rFonts w:ascii="华文中宋" w:eastAsia="华文中宋"/>
      <w:kern w:val="0"/>
      <w:sz w:val="24"/>
    </w:rPr>
  </w:style>
  <w:style w:type="paragraph" w:customStyle="1" w:styleId="40">
    <w:name w:val="CM15"/>
    <w:basedOn w:val="1"/>
    <w:next w:val="1"/>
    <w:autoRedefine/>
    <w:qFormat/>
    <w:uiPriority w:val="99"/>
    <w:pPr>
      <w:autoSpaceDE w:val="0"/>
      <w:autoSpaceDN w:val="0"/>
      <w:adjustRightInd w:val="0"/>
      <w:spacing w:after="648"/>
      <w:jc w:val="left"/>
    </w:pPr>
    <w:rPr>
      <w:rFonts w:ascii="华文中宋" w:eastAsia="华文中宋"/>
      <w:kern w:val="0"/>
      <w:sz w:val="24"/>
    </w:rPr>
  </w:style>
  <w:style w:type="character" w:customStyle="1" w:styleId="41">
    <w:name w:val="zc2"/>
    <w:basedOn w:val="25"/>
    <w:autoRedefine/>
    <w:qFormat/>
    <w:uiPriority w:val="0"/>
  </w:style>
  <w:style w:type="character" w:customStyle="1" w:styleId="42">
    <w:name w:val="zc3"/>
    <w:basedOn w:val="25"/>
    <w:autoRedefine/>
    <w:qFormat/>
    <w:uiPriority w:val="0"/>
  </w:style>
  <w:style w:type="character" w:customStyle="1" w:styleId="43">
    <w:name w:val="msg-box16"/>
    <w:basedOn w:val="25"/>
    <w:autoRedefine/>
    <w:qFormat/>
    <w:uiPriority w:val="0"/>
  </w:style>
  <w:style w:type="character" w:customStyle="1" w:styleId="44">
    <w:name w:val="msg-box17"/>
    <w:basedOn w:val="25"/>
    <w:autoRedefine/>
    <w:qFormat/>
    <w:uiPriority w:val="0"/>
  </w:style>
  <w:style w:type="character" w:customStyle="1" w:styleId="45">
    <w:name w:val="mesg-myd"/>
    <w:basedOn w:val="25"/>
    <w:qFormat/>
    <w:uiPriority w:val="0"/>
    <w:rPr>
      <w:color w:val="EE0000"/>
    </w:rPr>
  </w:style>
  <w:style w:type="character" w:customStyle="1" w:styleId="46">
    <w:name w:val="c1"/>
    <w:basedOn w:val="25"/>
    <w:qFormat/>
    <w:uiPriority w:val="0"/>
  </w:style>
  <w:style w:type="character" w:customStyle="1" w:styleId="47">
    <w:name w:val="c2"/>
    <w:basedOn w:val="25"/>
    <w:qFormat/>
    <w:uiPriority w:val="0"/>
  </w:style>
  <w:style w:type="character" w:customStyle="1" w:styleId="48">
    <w:name w:val="c3"/>
    <w:basedOn w:val="25"/>
    <w:qFormat/>
    <w:uiPriority w:val="0"/>
  </w:style>
  <w:style w:type="character" w:customStyle="1" w:styleId="49">
    <w:name w:val="red"/>
    <w:basedOn w:val="25"/>
    <w:autoRedefine/>
    <w:qFormat/>
    <w:uiPriority w:val="0"/>
    <w:rPr>
      <w:color w:val="DD0000"/>
    </w:rPr>
  </w:style>
  <w:style w:type="character" w:customStyle="1" w:styleId="50">
    <w:name w:val="red1"/>
    <w:basedOn w:val="25"/>
    <w:autoRedefine/>
    <w:qFormat/>
    <w:uiPriority w:val="0"/>
    <w:rPr>
      <w:color w:val="E22929"/>
      <w:sz w:val="21"/>
      <w:szCs w:val="21"/>
    </w:rPr>
  </w:style>
  <w:style w:type="character" w:customStyle="1" w:styleId="51">
    <w:name w:val="bsharetext"/>
    <w:basedOn w:val="25"/>
    <w:qFormat/>
    <w:uiPriority w:val="0"/>
  </w:style>
  <w:style w:type="character" w:customStyle="1" w:styleId="52">
    <w:name w:val="标题 2 Char"/>
    <w:basedOn w:val="25"/>
    <w:link w:val="3"/>
    <w:autoRedefine/>
    <w:qFormat/>
    <w:uiPriority w:val="99"/>
    <w:rPr>
      <w:rFonts w:ascii="宋体" w:hAnsi="宋体" w:cs="宋体"/>
      <w:b/>
      <w:bCs/>
      <w:sz w:val="36"/>
      <w:szCs w:val="36"/>
    </w:rPr>
  </w:style>
  <w:style w:type="character" w:customStyle="1" w:styleId="53">
    <w:name w:val="正文文本 2 Char"/>
    <w:basedOn w:val="25"/>
    <w:link w:val="18"/>
    <w:qFormat/>
    <w:uiPriority w:val="0"/>
    <w:rPr>
      <w:szCs w:val="24"/>
    </w:rPr>
  </w:style>
  <w:style w:type="paragraph" w:customStyle="1" w:styleId="54">
    <w:name w:val="a3"/>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pPr>
    <w:rPr>
      <w:rFonts w:ascii="仿宋_GB2312" w:hAnsi="华文仿宋" w:eastAsia="仿宋_GB2312" w:cs="Arial Unicode MS"/>
      <w:color w:val="000000"/>
      <w:kern w:val="0"/>
      <w:sz w:val="32"/>
      <w:szCs w:val="32"/>
    </w:rPr>
  </w:style>
  <w:style w:type="paragraph" w:customStyle="1" w:styleId="55">
    <w:name w:val="段"/>
    <w:link w:val="56"/>
    <w:autoRedefine/>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character" w:customStyle="1" w:styleId="56">
    <w:name w:val="段 Char"/>
    <w:link w:val="55"/>
    <w:autoRedefine/>
    <w:qFormat/>
    <w:locked/>
    <w:uiPriority w:val="0"/>
    <w:rPr>
      <w:rFonts w:ascii="宋体"/>
      <w:kern w:val="2"/>
      <w:sz w:val="21"/>
      <w:szCs w:val="22"/>
    </w:rPr>
  </w:style>
  <w:style w:type="character" w:customStyle="1" w:styleId="57">
    <w:name w:val="font41"/>
    <w:autoRedefine/>
    <w:qFormat/>
    <w:uiPriority w:val="99"/>
    <w:rPr>
      <w:rFonts w:ascii="仿宋_GB2312" w:eastAsia="仿宋_GB2312" w:cs="仿宋_GB2312"/>
      <w:color w:val="000000"/>
      <w:sz w:val="24"/>
      <w:szCs w:val="24"/>
      <w:u w:val="none"/>
    </w:rPr>
  </w:style>
  <w:style w:type="character" w:customStyle="1" w:styleId="58">
    <w:name w:val="称呼 Char"/>
    <w:basedOn w:val="25"/>
    <w:link w:val="8"/>
    <w:autoRedefine/>
    <w:qFormat/>
    <w:uiPriority w:val="99"/>
    <w:rPr>
      <w:rFonts w:ascii="Calibri" w:hAnsi="Calibri" w:cs="Calibri"/>
      <w:kern w:val="2"/>
      <w:sz w:val="21"/>
      <w:szCs w:val="21"/>
    </w:rPr>
  </w:style>
  <w:style w:type="character" w:customStyle="1" w:styleId="59">
    <w:name w:val="批注文字 Char"/>
    <w:basedOn w:val="25"/>
    <w:link w:val="7"/>
    <w:autoRedefine/>
    <w:qFormat/>
    <w:uiPriority w:val="0"/>
    <w:rPr>
      <w:rFonts w:ascii="Calibri" w:hAnsi="Calibri" w:cs="Calibri"/>
      <w:kern w:val="2"/>
      <w:sz w:val="21"/>
      <w:szCs w:val="21"/>
    </w:rPr>
  </w:style>
  <w:style w:type="character" w:customStyle="1" w:styleId="60">
    <w:name w:val="正文文本 Char"/>
    <w:basedOn w:val="25"/>
    <w:link w:val="9"/>
    <w:autoRedefine/>
    <w:qFormat/>
    <w:uiPriority w:val="99"/>
    <w:rPr>
      <w:rFonts w:eastAsia="仿宋_GB2312"/>
      <w:b/>
      <w:bCs/>
      <w:kern w:val="2"/>
      <w:sz w:val="44"/>
      <w:szCs w:val="44"/>
    </w:rPr>
  </w:style>
  <w:style w:type="character" w:customStyle="1" w:styleId="61">
    <w:name w:val="纯文本 Char"/>
    <w:basedOn w:val="25"/>
    <w:link w:val="11"/>
    <w:autoRedefine/>
    <w:qFormat/>
    <w:uiPriority w:val="99"/>
    <w:rPr>
      <w:rFonts w:ascii="宋体" w:hAnsi="Courier New" w:cs="宋体"/>
      <w:kern w:val="2"/>
      <w:sz w:val="21"/>
      <w:szCs w:val="21"/>
    </w:rPr>
  </w:style>
  <w:style w:type="character" w:customStyle="1" w:styleId="62">
    <w:name w:val="日期 Char"/>
    <w:basedOn w:val="25"/>
    <w:link w:val="12"/>
    <w:autoRedefine/>
    <w:qFormat/>
    <w:uiPriority w:val="99"/>
    <w:rPr>
      <w:rFonts w:ascii="Calibri" w:hAnsi="Calibri" w:cs="Calibri"/>
      <w:kern w:val="2"/>
      <w:sz w:val="21"/>
      <w:szCs w:val="21"/>
    </w:rPr>
  </w:style>
  <w:style w:type="character" w:customStyle="1" w:styleId="63">
    <w:name w:val="副标题 Char"/>
    <w:basedOn w:val="25"/>
    <w:link w:val="17"/>
    <w:qFormat/>
    <w:uiPriority w:val="99"/>
    <w:rPr>
      <w:rFonts w:ascii="Cambria" w:hAnsi="Cambria" w:cs="Cambria"/>
      <w:b/>
      <w:bCs/>
      <w:kern w:val="28"/>
      <w:sz w:val="32"/>
      <w:szCs w:val="32"/>
    </w:rPr>
  </w:style>
  <w:style w:type="character" w:customStyle="1" w:styleId="64">
    <w:name w:val="信息标题 Char"/>
    <w:basedOn w:val="25"/>
    <w:link w:val="19"/>
    <w:qFormat/>
    <w:uiPriority w:val="99"/>
    <w:rPr>
      <w:rFonts w:ascii="Arial" w:hAnsi="Arial" w:cs="Arial"/>
      <w:kern w:val="2"/>
      <w:sz w:val="24"/>
      <w:szCs w:val="24"/>
      <w:shd w:val="pct20" w:color="auto" w:fill="auto"/>
    </w:rPr>
  </w:style>
  <w:style w:type="character" w:customStyle="1" w:styleId="65">
    <w:name w:val="标题 Char"/>
    <w:basedOn w:val="25"/>
    <w:link w:val="21"/>
    <w:qFormat/>
    <w:uiPriority w:val="99"/>
    <w:rPr>
      <w:rFonts w:ascii="Cambria" w:hAnsi="Cambria" w:cs="Cambria"/>
      <w:b/>
      <w:bCs/>
      <w:kern w:val="2"/>
      <w:sz w:val="32"/>
      <w:szCs w:val="32"/>
    </w:rPr>
  </w:style>
  <w:style w:type="paragraph" w:customStyle="1" w:styleId="66">
    <w:name w:val="正文-公1"/>
    <w:basedOn w:val="1"/>
    <w:next w:val="1"/>
    <w:qFormat/>
    <w:uiPriority w:val="99"/>
    <w:pPr>
      <w:ind w:firstLine="200" w:firstLineChars="200"/>
      <w:jc w:val="left"/>
    </w:pPr>
    <w:rPr>
      <w:rFonts w:ascii="Calibri" w:hAnsi="Calibri" w:eastAsia="仿宋_GB2312" w:cs="Calibri"/>
      <w:szCs w:val="21"/>
    </w:rPr>
  </w:style>
  <w:style w:type="paragraph" w:customStyle="1" w:styleId="67">
    <w:name w:val="正文（公文）"/>
    <w:basedOn w:val="1"/>
    <w:qFormat/>
    <w:uiPriority w:val="0"/>
    <w:pPr>
      <w:spacing w:line="580" w:lineRule="exact"/>
      <w:ind w:firstLine="420"/>
    </w:pPr>
    <w:rPr>
      <w:rFonts w:ascii="Calibri" w:hAnsi="Calibri" w:eastAsia="宋体" w:cs="Calibri"/>
      <w:sz w:val="32"/>
      <w:szCs w:val="32"/>
    </w:rPr>
  </w:style>
  <w:style w:type="character" w:customStyle="1" w:styleId="68">
    <w:name w:val="15"/>
    <w:basedOn w:val="25"/>
    <w:qFormat/>
    <w:uiPriority w:val="0"/>
    <w:rPr>
      <w:rFonts w:ascii="宋体" w:hAnsi="宋体" w:eastAsia="方正楷体_GBK" w:cs="宋体"/>
      <w:color w:val="000000"/>
      <w:sz w:val="32"/>
      <w:szCs w:val="32"/>
    </w:rPr>
  </w:style>
  <w:style w:type="character" w:customStyle="1" w:styleId="69">
    <w:name w:val="font21"/>
    <w:qFormat/>
    <w:uiPriority w:val="99"/>
    <w:rPr>
      <w:rFonts w:ascii="仿宋" w:hAnsi="仿宋" w:eastAsia="仿宋" w:cs="仿宋"/>
      <w:color w:val="0000FF"/>
      <w:sz w:val="21"/>
      <w:szCs w:val="21"/>
      <w:u w:val="none"/>
    </w:rPr>
  </w:style>
  <w:style w:type="character" w:customStyle="1" w:styleId="70">
    <w:name w:val="font11"/>
    <w:qFormat/>
    <w:uiPriority w:val="99"/>
    <w:rPr>
      <w:rFonts w:ascii="仿宋" w:hAnsi="仿宋" w:eastAsia="仿宋" w:cs="仿宋"/>
      <w:color w:val="000000"/>
      <w:sz w:val="21"/>
      <w:szCs w:val="21"/>
      <w:u w:val="none"/>
      <w:vertAlign w:val="superscript"/>
    </w:rPr>
  </w:style>
  <w:style w:type="character" w:customStyle="1" w:styleId="71">
    <w:name w:val="font01"/>
    <w:basedOn w:val="25"/>
    <w:qFormat/>
    <w:uiPriority w:val="99"/>
    <w:rPr>
      <w:rFonts w:ascii="仿宋" w:hAnsi="仿宋" w:eastAsia="仿宋" w:cs="仿宋"/>
      <w:strike/>
      <w:color w:val="000000"/>
      <w:sz w:val="21"/>
      <w:szCs w:val="21"/>
    </w:rPr>
  </w:style>
  <w:style w:type="character" w:customStyle="1" w:styleId="72">
    <w:name w:val="font31"/>
    <w:basedOn w:val="25"/>
    <w:qFormat/>
    <w:uiPriority w:val="99"/>
    <w:rPr>
      <w:rFonts w:ascii="仿宋" w:hAnsi="仿宋" w:eastAsia="仿宋" w:cs="仿宋"/>
      <w:color w:val="000000"/>
      <w:sz w:val="21"/>
      <w:szCs w:val="21"/>
      <w:u w:val="none"/>
    </w:rPr>
  </w:style>
  <w:style w:type="character" w:customStyle="1" w:styleId="73">
    <w:name w:val="font201"/>
    <w:qFormat/>
    <w:uiPriority w:val="99"/>
    <w:rPr>
      <w:rFonts w:ascii="Times New Roman" w:hAnsi="Times New Roman" w:eastAsia="宋体" w:cs="Times New Roman"/>
    </w:rPr>
  </w:style>
  <w:style w:type="paragraph" w:customStyle="1" w:styleId="74">
    <w:name w:val="Body text|1"/>
    <w:basedOn w:val="1"/>
    <w:link w:val="75"/>
    <w:qFormat/>
    <w:uiPriority w:val="99"/>
    <w:pPr>
      <w:spacing w:line="442" w:lineRule="auto"/>
      <w:ind w:firstLine="400"/>
    </w:pPr>
    <w:rPr>
      <w:rFonts w:ascii="宋体" w:hAnsi="宋体" w:eastAsia="宋体" w:cs="Times New Roman"/>
      <w:color w:val="2D2E2F"/>
      <w:kern w:val="0"/>
      <w:sz w:val="28"/>
      <w:szCs w:val="28"/>
      <w:lang w:val="zh-TW" w:eastAsia="zh-TW"/>
    </w:rPr>
  </w:style>
  <w:style w:type="character" w:customStyle="1" w:styleId="75">
    <w:name w:val="Body text|1_"/>
    <w:link w:val="74"/>
    <w:qFormat/>
    <w:locked/>
    <w:uiPriority w:val="99"/>
    <w:rPr>
      <w:rFonts w:ascii="宋体" w:hAnsi="宋体"/>
      <w:color w:val="2D2E2F"/>
      <w:sz w:val="28"/>
      <w:szCs w:val="28"/>
      <w:lang w:val="zh-TW" w:eastAsia="zh-TW"/>
    </w:rPr>
  </w:style>
  <w:style w:type="paragraph" w:customStyle="1" w:styleId="76">
    <w:name w:val="tlarea1"/>
    <w:basedOn w:val="1"/>
    <w:qFormat/>
    <w:uiPriority w:val="99"/>
    <w:pPr>
      <w:widowControl/>
      <w:spacing w:before="100" w:beforeAutospacing="1" w:after="100" w:afterAutospacing="1"/>
      <w:jc w:val="left"/>
    </w:pPr>
    <w:rPr>
      <w:rFonts w:ascii="宋体" w:hAnsi="宋体" w:eastAsia="宋体" w:cs="宋体"/>
      <w:spacing w:val="30"/>
      <w:kern w:val="0"/>
      <w:szCs w:val="21"/>
    </w:rPr>
  </w:style>
  <w:style w:type="paragraph" w:customStyle="1" w:styleId="77">
    <w:name w:val="pa-3"/>
    <w:basedOn w:val="1"/>
    <w:qFormat/>
    <w:uiPriority w:val="99"/>
    <w:pPr>
      <w:widowControl/>
      <w:spacing w:before="150" w:after="150"/>
      <w:jc w:val="left"/>
    </w:pPr>
    <w:rPr>
      <w:rFonts w:ascii="宋体" w:hAnsi="宋体" w:eastAsia="宋体" w:cs="宋体"/>
      <w:kern w:val="0"/>
      <w:sz w:val="24"/>
      <w:szCs w:val="24"/>
    </w:rPr>
  </w:style>
  <w:style w:type="paragraph" w:customStyle="1" w:styleId="78">
    <w:name w:val="一级条标题"/>
    <w:next w:val="1"/>
    <w:qFormat/>
    <w:uiPriority w:val="99"/>
    <w:pPr>
      <w:spacing w:beforeLines="50" w:afterLines="50"/>
      <w:ind w:left="851" w:hanging="420"/>
      <w:outlineLvl w:val="2"/>
    </w:pPr>
    <w:rPr>
      <w:rFonts w:ascii="黑体" w:hAnsi="Times New Roman" w:eastAsia="黑体" w:cs="黑体"/>
      <w:sz w:val="21"/>
      <w:szCs w:val="21"/>
      <w:lang w:val="en-US" w:eastAsia="zh-CN" w:bidi="ar-SA"/>
    </w:rPr>
  </w:style>
  <w:style w:type="paragraph" w:customStyle="1" w:styleId="79">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80">
    <w:name w:val="TOC 标题1"/>
    <w:basedOn w:val="2"/>
    <w:next w:val="1"/>
    <w:autoRedefine/>
    <w:qFormat/>
    <w:uiPriority w:val="99"/>
    <w:pPr>
      <w:spacing w:before="480" w:beforeAutospacing="1" w:afterAutospacing="1" w:line="276" w:lineRule="auto"/>
      <w:outlineLvl w:val="9"/>
    </w:pPr>
    <w:rPr>
      <w:rFonts w:ascii="Cambria" w:hAnsi="Cambria" w:cs="Cambria"/>
      <w:color w:val="365F91"/>
      <w:kern w:val="0"/>
      <w:sz w:val="48"/>
    </w:rPr>
  </w:style>
  <w:style w:type="paragraph" w:customStyle="1" w:styleId="81">
    <w:name w:val="列出段落1"/>
    <w:basedOn w:val="1"/>
    <w:qFormat/>
    <w:uiPriority w:val="0"/>
    <w:pPr>
      <w:ind w:firstLine="420" w:firstLineChars="200"/>
    </w:pPr>
    <w:rPr>
      <w:rFonts w:ascii="宋体" w:hAnsi="宋体" w:eastAsia="仿宋" w:cs="宋体"/>
      <w:sz w:val="32"/>
      <w:szCs w:val="32"/>
    </w:rPr>
  </w:style>
  <w:style w:type="paragraph" w:customStyle="1" w:styleId="82">
    <w:name w:val="一级无"/>
    <w:basedOn w:val="78"/>
    <w:qFormat/>
    <w:uiPriority w:val="99"/>
    <w:pPr>
      <w:spacing w:beforeLines="0" w:afterLines="0"/>
    </w:pPr>
    <w:rPr>
      <w:rFonts w:ascii="宋体" w:eastAsia="宋体" w:cs="宋体"/>
    </w:rPr>
  </w:style>
  <w:style w:type="paragraph" w:customStyle="1" w:styleId="83">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84">
    <w:name w:val="单元格内"/>
    <w:basedOn w:val="14"/>
    <w:qFormat/>
    <w:uiPriority w:val="99"/>
    <w:pPr>
      <w:spacing w:line="260" w:lineRule="exact"/>
      <w:jc w:val="center"/>
    </w:pPr>
    <w:rPr>
      <w:rFonts w:ascii="Times New Roman" w:hAnsi="Times New Roman"/>
      <w:szCs w:val="18"/>
    </w:rPr>
  </w:style>
  <w:style w:type="paragraph" w:customStyle="1" w:styleId="85">
    <w:name w:val="p0"/>
    <w:basedOn w:val="1"/>
    <w:autoRedefine/>
    <w:qFormat/>
    <w:uiPriority w:val="99"/>
    <w:pPr>
      <w:widowControl/>
    </w:pPr>
    <w:rPr>
      <w:rFonts w:ascii="Times New Roman" w:hAnsi="Times New Roman" w:eastAsia="宋体" w:cs="Times New Roman"/>
      <w:kern w:val="0"/>
      <w:szCs w:val="21"/>
    </w:rPr>
  </w:style>
  <w:style w:type="paragraph" w:customStyle="1" w:styleId="86">
    <w:name w:val="Char"/>
    <w:basedOn w:val="1"/>
    <w:next w:val="1"/>
    <w:qFormat/>
    <w:uiPriority w:val="99"/>
    <w:rPr>
      <w:rFonts w:ascii="Times New Roman" w:hAnsi="Times New Roman" w:eastAsia="宋体" w:cs="Times New Roman"/>
      <w:szCs w:val="21"/>
      <w:lang w:eastAsia="en-US"/>
    </w:rPr>
  </w:style>
  <w:style w:type="paragraph" w:customStyle="1" w:styleId="87">
    <w:name w:val="Char Char Char Char Char Char Char"/>
    <w:basedOn w:val="1"/>
    <w:qFormat/>
    <w:uiPriority w:val="99"/>
    <w:rPr>
      <w:rFonts w:ascii="Times New Roman" w:hAnsi="Times New Roman" w:eastAsia="宋体" w:cs="Times New Roman"/>
      <w:szCs w:val="21"/>
    </w:rPr>
  </w:style>
  <w:style w:type="paragraph" w:customStyle="1" w:styleId="88">
    <w:name w:val="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89">
    <w:name w:val="Header or footer|1"/>
    <w:basedOn w:val="1"/>
    <w:qFormat/>
    <w:uiPriority w:val="99"/>
    <w:rPr>
      <w:rFonts w:ascii="Calibri" w:hAnsi="Calibri" w:eastAsia="宋体" w:cs="Calibri"/>
      <w:sz w:val="20"/>
      <w:szCs w:val="20"/>
    </w:rPr>
  </w:style>
  <w:style w:type="paragraph" w:customStyle="1" w:styleId="90">
    <w:name w:val="Body text|2"/>
    <w:basedOn w:val="1"/>
    <w:qFormat/>
    <w:uiPriority w:val="99"/>
    <w:pPr>
      <w:spacing w:line="223" w:lineRule="auto"/>
    </w:pPr>
    <w:rPr>
      <w:rFonts w:ascii="Calibri" w:hAnsi="Calibri" w:eastAsia="宋体" w:cs="Calibri"/>
      <w:sz w:val="20"/>
      <w:szCs w:val="20"/>
    </w:rPr>
  </w:style>
  <w:style w:type="paragraph" w:customStyle="1" w:styleId="91">
    <w:name w:val="Body text|4"/>
    <w:basedOn w:val="1"/>
    <w:qFormat/>
    <w:uiPriority w:val="99"/>
    <w:pPr>
      <w:spacing w:after="100"/>
    </w:pPr>
    <w:rPr>
      <w:rFonts w:ascii="Calibri" w:hAnsi="Calibri" w:eastAsia="宋体" w:cs="Calibri"/>
      <w:sz w:val="16"/>
      <w:szCs w:val="16"/>
      <w:lang w:val="zh-TW" w:eastAsia="zh-TW"/>
    </w:rPr>
  </w:style>
  <w:style w:type="table" w:customStyle="1" w:styleId="92">
    <w:name w:val="网格型1"/>
    <w:qFormat/>
    <w:uiPriority w:val="9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
    <w:name w:val="列出段落11"/>
    <w:basedOn w:val="1"/>
    <w:qFormat/>
    <w:uiPriority w:val="0"/>
    <w:pPr>
      <w:ind w:firstLine="420" w:firstLineChars="200"/>
    </w:pPr>
    <w:rPr>
      <w:rFonts w:ascii="Calibri" w:hAnsi="Calibri" w:eastAsia="宋体" w:cs="Times New Roman"/>
    </w:rPr>
  </w:style>
  <w:style w:type="paragraph" w:customStyle="1" w:styleId="94">
    <w:name w:val="z-窗体顶端1"/>
    <w:basedOn w:val="1"/>
    <w:next w:val="1"/>
    <w:autoRedefine/>
    <w:qFormat/>
    <w:uiPriority w:val="0"/>
    <w:pPr>
      <w:pBdr>
        <w:bottom w:val="single" w:color="auto" w:sz="6" w:space="1"/>
      </w:pBdr>
      <w:jc w:val="center"/>
    </w:pPr>
    <w:rPr>
      <w:rFonts w:ascii="Arial" w:hAnsi="Calibri" w:eastAsia="宋体" w:cs="Times New Roman"/>
      <w:vanish/>
      <w:sz w:val="16"/>
    </w:r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98">
    <w:name w:val="普通(网站)1"/>
    <w:basedOn w:val="1"/>
    <w:qFormat/>
    <w:uiPriority w:val="0"/>
    <w:pPr>
      <w:spacing w:before="100" w:beforeAutospacing="1" w:after="100" w:afterAutospacing="1"/>
      <w:jc w:val="left"/>
    </w:pPr>
    <w:rPr>
      <w:rFonts w:ascii="Calibri" w:hAnsi="Calibri" w:eastAsia="宋体" w:cs="Calibri"/>
      <w:kern w:val="0"/>
      <w:sz w:val="24"/>
      <w:szCs w:val="24"/>
    </w:rPr>
  </w:style>
  <w:style w:type="paragraph" w:customStyle="1" w:styleId="99">
    <w:name w:val="标题 21"/>
    <w:basedOn w:val="1"/>
    <w:qFormat/>
    <w:uiPriority w:val="0"/>
    <w:pPr>
      <w:widowControl/>
      <w:spacing w:line="590" w:lineRule="exact"/>
      <w:ind w:firstLine="560" w:firstLineChars="200"/>
      <w:jc w:val="left"/>
      <w:outlineLvl w:val="1"/>
    </w:pPr>
    <w:rPr>
      <w:rFonts w:hint="eastAsia" w:ascii="宋体" w:hAnsi="宋体" w:eastAsia="方正仿宋_GBK" w:cs="Calibri"/>
      <w:b/>
      <w:kern w:val="0"/>
      <w:sz w:val="32"/>
      <w:szCs w:val="36"/>
    </w:rPr>
  </w:style>
  <w:style w:type="paragraph" w:customStyle="1" w:styleId="100">
    <w:name w:val="font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
    <w:name w:val="font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2">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03">
    <w:name w:val="xl78"/>
    <w:basedOn w:val="1"/>
    <w:qFormat/>
    <w:uiPriority w:val="0"/>
    <w:pPr>
      <w:widowControl/>
      <w:spacing w:before="100" w:beforeAutospacing="1" w:after="100" w:afterAutospacing="1"/>
      <w:jc w:val="left"/>
    </w:pPr>
    <w:rPr>
      <w:rFonts w:ascii="黑体" w:hAnsi="黑体" w:eastAsia="黑体" w:cs="宋体"/>
      <w:kern w:val="0"/>
      <w:sz w:val="28"/>
      <w:szCs w:val="28"/>
    </w:rPr>
  </w:style>
  <w:style w:type="paragraph" w:customStyle="1" w:styleId="104">
    <w:name w:val="xl79"/>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05">
    <w:name w:val="xl8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8"/>
      <w:szCs w:val="28"/>
    </w:rPr>
  </w:style>
  <w:style w:type="paragraph" w:customStyle="1" w:styleId="10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0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0">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1">
    <w:name w:val="xl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2">
    <w:name w:val="xl8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4">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5">
    <w:name w:val="xl90"/>
    <w:basedOn w:val="1"/>
    <w:qFormat/>
    <w:uiPriority w:val="0"/>
    <w:pPr>
      <w:widowControl/>
      <w:pBdr>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6">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2">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3">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4">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5">
    <w:name w:val="xl10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6">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0">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1">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3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4">
    <w:name w:val="xl10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35">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3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7">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8">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39">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0">
    <w:name w:val="xl11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1">
    <w:name w:val="xl11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43">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4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5">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6">
    <w:name w:val="xl12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7">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8">
    <w:name w:val="xl123"/>
    <w:basedOn w:val="1"/>
    <w:qFormat/>
    <w:uiPriority w:val="0"/>
    <w:pPr>
      <w:widowControl/>
      <w:spacing w:before="100" w:beforeAutospacing="1" w:after="100" w:afterAutospacing="1"/>
      <w:jc w:val="center"/>
      <w:textAlignment w:val="center"/>
    </w:pPr>
    <w:rPr>
      <w:rFonts w:ascii="宋体" w:hAnsi="宋体" w:eastAsia="宋体" w:cs="宋体"/>
      <w:b/>
      <w:bCs/>
      <w:kern w:val="0"/>
      <w:sz w:val="36"/>
      <w:szCs w:val="36"/>
    </w:rPr>
  </w:style>
  <w:style w:type="paragraph" w:customStyle="1" w:styleId="149">
    <w:name w:val="xl124"/>
    <w:basedOn w:val="1"/>
    <w:qFormat/>
    <w:uiPriority w:val="0"/>
    <w:pPr>
      <w:widowControl/>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150">
    <w:name w:val="xl12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1">
    <w:name w:val="xl12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2">
    <w:name w:val="xl127"/>
    <w:basedOn w:val="1"/>
    <w:qFormat/>
    <w:uiPriority w:val="0"/>
    <w:pPr>
      <w:widowControl/>
      <w:spacing w:before="100" w:beforeAutospacing="1" w:after="100" w:afterAutospacing="1"/>
      <w:jc w:val="center"/>
      <w:textAlignment w:val="center"/>
    </w:pPr>
    <w:rPr>
      <w:rFonts w:ascii="黑体" w:hAnsi="黑体" w:eastAsia="黑体" w:cs="宋体"/>
      <w:kern w:val="0"/>
      <w:sz w:val="40"/>
      <w:szCs w:val="40"/>
    </w:rPr>
  </w:style>
  <w:style w:type="paragraph" w:customStyle="1" w:styleId="153">
    <w:name w:val="xl128"/>
    <w:basedOn w:val="1"/>
    <w:qFormat/>
    <w:uiPriority w:val="0"/>
    <w:pPr>
      <w:widowControl/>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154">
    <w:name w:val="xl129"/>
    <w:basedOn w:val="1"/>
    <w:qFormat/>
    <w:uiPriority w:val="0"/>
    <w:pPr>
      <w:widowControl/>
      <w:spacing w:before="100" w:beforeAutospacing="1" w:after="100" w:afterAutospacing="1"/>
      <w:jc w:val="center"/>
      <w:textAlignment w:val="center"/>
    </w:pPr>
    <w:rPr>
      <w:rFonts w:ascii="宋体" w:hAnsi="宋体" w:eastAsia="宋体" w:cs="宋体"/>
      <w:b/>
      <w:bCs/>
      <w:kern w:val="0"/>
      <w:sz w:val="36"/>
      <w:szCs w:val="36"/>
    </w:rPr>
  </w:style>
  <w:style w:type="paragraph" w:customStyle="1" w:styleId="155">
    <w:name w:val="xl130"/>
    <w:basedOn w:val="1"/>
    <w:qFormat/>
    <w:uiPriority w:val="0"/>
    <w:pPr>
      <w:widowControl/>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156">
    <w:name w:val="xl131"/>
    <w:basedOn w:val="1"/>
    <w:qFormat/>
    <w:uiPriority w:val="0"/>
    <w:pPr>
      <w:widowControl/>
      <w:spacing w:before="100" w:beforeAutospacing="1" w:after="100" w:afterAutospacing="1"/>
      <w:jc w:val="center"/>
      <w:textAlignment w:val="center"/>
    </w:pPr>
    <w:rPr>
      <w:rFonts w:ascii="宋体" w:hAnsi="宋体" w:eastAsia="宋体" w:cs="宋体"/>
      <w:b/>
      <w:bCs/>
      <w:kern w:val="0"/>
      <w:sz w:val="36"/>
      <w:szCs w:val="36"/>
    </w:rPr>
  </w:style>
  <w:style w:type="paragraph" w:customStyle="1" w:styleId="157">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58">
    <w:name w:val="xl1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9">
    <w:name w:val="xl13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60">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61">
    <w:name w:val="xl13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62">
    <w:name w:val="xl1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63">
    <w:name w:val="xl1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64">
    <w:name w:val="xl1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65">
    <w:name w:val="xl14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66">
    <w:name w:val="xl14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67">
    <w:name w:val="xl14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68">
    <w:name w:val="xl14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69">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0">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1">
    <w:name w:val="xl14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2">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3">
    <w:name w:val="xl14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4">
    <w:name w:val="xl14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5">
    <w:name w:val="xl15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38302</Words>
  <Characters>39446</Characters>
  <Lines>482</Lines>
  <Paragraphs>135</Paragraphs>
  <TotalTime>2</TotalTime>
  <ScaleCrop>false</ScaleCrop>
  <LinksUpToDate>false</LinksUpToDate>
  <CharactersWithSpaces>39522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2023-03-05T22:18:00Z</dcterms:created>
  <dc:creator>yikex</dc:creator>
  <cp:lastModifiedBy>胡图图</cp:lastModifiedBy>
  <dcterms:modified xsi:type="dcterms:W3CDTF">2024-04-25T02:52:42Z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45A5BC337518426CB07CF171FB19A280</vt:lpwstr>
  </property>
</Properties>
</file>