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pacing w:line="600" w:lineRule="exact"/>
        <w:jc w:val="left"/>
        <w:textAlignment w:val="auto"/>
        <w:outlineLvl w:val="9"/>
        <w:rPr>
          <w:rFonts w:hint="default" w:ascii="Times New Roman" w:hAnsi="Times New Roman" w:eastAsia="黑体" w:cs="Times New Roman"/>
          <w:sz w:val="32"/>
          <w:szCs w:val="32"/>
          <w:lang w:val="en-US" w:eastAsia="zh-CN"/>
        </w:rPr>
      </w:pPr>
      <w:bookmarkStart w:id="0" w:name="_GoBack"/>
      <w:bookmarkEnd w:id="0"/>
      <w:r>
        <w:rPr>
          <w:rFonts w:hint="default" w:ascii="Times New Roman" w:hAnsi="Times New Roman" w:eastAsia="黑体" w:cs="Times New Roman"/>
          <w:sz w:val="32"/>
          <w:szCs w:val="32"/>
          <w:lang w:val="en-US" w:eastAsia="zh-CN"/>
        </w:rPr>
        <w:t>附件1</w:t>
      </w:r>
    </w:p>
    <w:p>
      <w:pPr>
        <w:keepNext w:val="0"/>
        <w:keepLines w:val="0"/>
        <w:pageBreakBefore w:val="0"/>
        <w:widowControl w:val="0"/>
        <w:numPr>
          <w:ilvl w:val="0"/>
          <w:numId w:val="0"/>
        </w:numPr>
        <w:kinsoku/>
        <w:wordWrap/>
        <w:overflowPunct/>
        <w:topLinePunct w:val="0"/>
        <w:autoSpaceDE/>
        <w:autoSpaceDN/>
        <w:bidi w:val="0"/>
        <w:adjustRightInd/>
        <w:spacing w:line="600" w:lineRule="exact"/>
        <w:jc w:val="center"/>
        <w:textAlignment w:val="auto"/>
        <w:outlineLvl w:val="9"/>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中央层面设定的涉企经营事项改革清单（2021年广西</w:t>
      </w:r>
      <w:r>
        <w:rPr>
          <w:rFonts w:hint="default" w:ascii="Times New Roman" w:hAnsi="Times New Roman" w:eastAsia="方正小标宋简体" w:cs="Times New Roman"/>
          <w:color w:val="000000"/>
          <w:sz w:val="44"/>
          <w:szCs w:val="44"/>
          <w:lang w:val="en-US" w:eastAsia="zh-CN"/>
        </w:rPr>
        <w:t>版</w:t>
      </w:r>
      <w:r>
        <w:rPr>
          <w:rFonts w:hint="default" w:ascii="Times New Roman" w:hAnsi="Times New Roman" w:eastAsia="方正小标宋简体" w:cs="Times New Roman"/>
          <w:sz w:val="44"/>
          <w:szCs w:val="44"/>
          <w:lang w:val="en-US" w:eastAsia="zh-CN"/>
        </w:rPr>
        <w:t>）</w:t>
      </w:r>
    </w:p>
    <w:tbl>
      <w:tblPr>
        <w:tblStyle w:val="25"/>
        <w:tblW w:w="15135" w:type="dxa"/>
        <w:tblInd w:w="-4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
        <w:gridCol w:w="825"/>
        <w:gridCol w:w="990"/>
        <w:gridCol w:w="930"/>
        <w:gridCol w:w="1095"/>
        <w:gridCol w:w="870"/>
        <w:gridCol w:w="705"/>
        <w:gridCol w:w="870"/>
        <w:gridCol w:w="720"/>
        <w:gridCol w:w="720"/>
        <w:gridCol w:w="2700"/>
        <w:gridCol w:w="3120"/>
        <w:gridCol w:w="9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5" w:hRule="atLeast"/>
        </w:trPr>
        <w:tc>
          <w:tcPr>
            <w:tcW w:w="600" w:type="dxa"/>
            <w:vMerge w:val="restart"/>
            <w:vAlign w:val="center"/>
          </w:tcPr>
          <w:p>
            <w:pPr>
              <w:bidi w:val="0"/>
              <w:jc w:val="center"/>
              <w:rPr>
                <w:rFonts w:hint="default" w:ascii="Times New Roman" w:hAnsi="Times New Roman" w:eastAsia="黑体" w:cs="Times New Roman"/>
                <w:sz w:val="24"/>
                <w:szCs w:val="24"/>
                <w:lang w:val="en-US" w:eastAsia="zh-CN"/>
              </w:rPr>
            </w:pPr>
            <w:r>
              <w:rPr>
                <w:rFonts w:hint="default" w:ascii="Times New Roman" w:hAnsi="Times New Roman" w:eastAsia="黑体" w:cs="Times New Roman"/>
                <w:sz w:val="24"/>
                <w:szCs w:val="24"/>
                <w:lang w:val="en-US" w:eastAsia="zh-CN"/>
              </w:rPr>
              <w:t>序号</w:t>
            </w:r>
          </w:p>
        </w:tc>
        <w:tc>
          <w:tcPr>
            <w:tcW w:w="825" w:type="dxa"/>
            <w:vMerge w:val="restart"/>
            <w:vAlign w:val="center"/>
          </w:tcPr>
          <w:p>
            <w:pPr>
              <w:bidi w:val="0"/>
              <w:jc w:val="center"/>
              <w:rPr>
                <w:rFonts w:hint="default" w:ascii="Times New Roman" w:hAnsi="Times New Roman" w:eastAsia="黑体" w:cs="Times New Roman"/>
                <w:sz w:val="24"/>
                <w:szCs w:val="24"/>
                <w:lang w:val="en-US" w:eastAsia="zh-CN"/>
              </w:rPr>
            </w:pPr>
            <w:r>
              <w:rPr>
                <w:rFonts w:hint="default" w:ascii="Times New Roman" w:hAnsi="Times New Roman" w:eastAsia="黑体" w:cs="Times New Roman"/>
                <w:sz w:val="24"/>
                <w:szCs w:val="24"/>
                <w:lang w:val="en-US" w:eastAsia="zh-CN"/>
              </w:rPr>
              <w:t>主管部门</w:t>
            </w:r>
          </w:p>
        </w:tc>
        <w:tc>
          <w:tcPr>
            <w:tcW w:w="990" w:type="dxa"/>
            <w:vMerge w:val="restart"/>
            <w:vAlign w:val="center"/>
          </w:tcPr>
          <w:p>
            <w:pPr>
              <w:bidi w:val="0"/>
              <w:jc w:val="center"/>
              <w:rPr>
                <w:rFonts w:hint="default" w:ascii="Times New Roman" w:hAnsi="Times New Roman" w:eastAsia="黑体" w:cs="Times New Roman"/>
                <w:sz w:val="24"/>
                <w:szCs w:val="24"/>
                <w:lang w:val="en-US" w:eastAsia="zh-CN"/>
              </w:rPr>
            </w:pPr>
            <w:r>
              <w:rPr>
                <w:rFonts w:hint="default" w:ascii="Times New Roman" w:hAnsi="Times New Roman" w:eastAsia="黑体" w:cs="Times New Roman"/>
                <w:sz w:val="24"/>
                <w:szCs w:val="24"/>
                <w:lang w:val="en-US" w:eastAsia="zh-CN"/>
              </w:rPr>
              <w:t>改革事项</w:t>
            </w:r>
          </w:p>
        </w:tc>
        <w:tc>
          <w:tcPr>
            <w:tcW w:w="930" w:type="dxa"/>
            <w:vMerge w:val="restart"/>
            <w:vAlign w:val="center"/>
          </w:tcPr>
          <w:p>
            <w:pPr>
              <w:bidi w:val="0"/>
              <w:jc w:val="center"/>
              <w:rPr>
                <w:rFonts w:hint="default" w:ascii="Times New Roman" w:hAnsi="Times New Roman" w:eastAsia="黑体" w:cs="Times New Roman"/>
                <w:sz w:val="24"/>
                <w:szCs w:val="24"/>
                <w:lang w:val="en-US" w:eastAsia="zh-CN"/>
              </w:rPr>
            </w:pPr>
            <w:r>
              <w:rPr>
                <w:rFonts w:hint="default" w:ascii="Times New Roman" w:hAnsi="Times New Roman" w:eastAsia="黑体" w:cs="Times New Roman"/>
                <w:sz w:val="24"/>
                <w:szCs w:val="24"/>
                <w:lang w:val="en-US" w:eastAsia="zh-CN"/>
              </w:rPr>
              <w:t>许可证件名称</w:t>
            </w:r>
          </w:p>
        </w:tc>
        <w:tc>
          <w:tcPr>
            <w:tcW w:w="1095" w:type="dxa"/>
            <w:vMerge w:val="restart"/>
            <w:vAlign w:val="center"/>
          </w:tcPr>
          <w:p>
            <w:pPr>
              <w:bidi w:val="0"/>
              <w:jc w:val="center"/>
              <w:rPr>
                <w:rFonts w:hint="default" w:ascii="Times New Roman" w:hAnsi="Times New Roman" w:eastAsia="黑体" w:cs="Times New Roman"/>
                <w:sz w:val="24"/>
                <w:szCs w:val="24"/>
                <w:lang w:val="en-US" w:eastAsia="zh-CN"/>
              </w:rPr>
            </w:pPr>
            <w:r>
              <w:rPr>
                <w:rFonts w:hint="default" w:ascii="Times New Roman" w:hAnsi="Times New Roman" w:eastAsia="黑体" w:cs="Times New Roman"/>
                <w:sz w:val="24"/>
                <w:szCs w:val="24"/>
                <w:lang w:val="en-US" w:eastAsia="zh-CN"/>
              </w:rPr>
              <w:t>设定依据</w:t>
            </w:r>
          </w:p>
        </w:tc>
        <w:tc>
          <w:tcPr>
            <w:tcW w:w="870" w:type="dxa"/>
            <w:vMerge w:val="restart"/>
            <w:vAlign w:val="center"/>
          </w:tcPr>
          <w:p>
            <w:pPr>
              <w:bidi w:val="0"/>
              <w:jc w:val="center"/>
              <w:rPr>
                <w:rFonts w:hint="default" w:ascii="Times New Roman" w:hAnsi="Times New Roman" w:eastAsia="黑体" w:cs="Times New Roman"/>
                <w:sz w:val="24"/>
                <w:szCs w:val="24"/>
                <w:lang w:val="en-US" w:eastAsia="zh-CN"/>
              </w:rPr>
            </w:pPr>
            <w:r>
              <w:rPr>
                <w:rFonts w:hint="default" w:ascii="Times New Roman" w:hAnsi="Times New Roman" w:eastAsia="黑体" w:cs="Times New Roman"/>
                <w:sz w:val="24"/>
                <w:szCs w:val="24"/>
                <w:lang w:val="en-US" w:eastAsia="zh-CN"/>
              </w:rPr>
              <w:t>审批层级和部门</w:t>
            </w:r>
          </w:p>
        </w:tc>
        <w:tc>
          <w:tcPr>
            <w:tcW w:w="3015" w:type="dxa"/>
            <w:gridSpan w:val="4"/>
            <w:vAlign w:val="center"/>
          </w:tcPr>
          <w:p>
            <w:pPr>
              <w:bidi w:val="0"/>
              <w:jc w:val="center"/>
              <w:rPr>
                <w:rFonts w:hint="default" w:ascii="Times New Roman" w:hAnsi="Times New Roman" w:eastAsia="黑体" w:cs="Times New Roman"/>
                <w:sz w:val="24"/>
                <w:szCs w:val="24"/>
                <w:lang w:val="en-US" w:eastAsia="zh-CN"/>
              </w:rPr>
            </w:pPr>
            <w:r>
              <w:rPr>
                <w:rFonts w:hint="default" w:ascii="Times New Roman" w:hAnsi="Times New Roman" w:eastAsia="黑体" w:cs="Times New Roman"/>
                <w:sz w:val="24"/>
                <w:szCs w:val="24"/>
                <w:lang w:val="en-US" w:eastAsia="zh-CN"/>
              </w:rPr>
              <w:t>改革方式</w:t>
            </w:r>
          </w:p>
        </w:tc>
        <w:tc>
          <w:tcPr>
            <w:tcW w:w="2700" w:type="dxa"/>
            <w:vMerge w:val="restart"/>
            <w:vAlign w:val="center"/>
          </w:tcPr>
          <w:p>
            <w:pPr>
              <w:bidi w:val="0"/>
              <w:jc w:val="center"/>
              <w:rPr>
                <w:rFonts w:hint="default" w:ascii="Times New Roman" w:hAnsi="Times New Roman" w:eastAsia="黑体" w:cs="Times New Roman"/>
                <w:sz w:val="24"/>
                <w:szCs w:val="24"/>
                <w:lang w:val="en-US" w:eastAsia="zh-CN"/>
              </w:rPr>
            </w:pPr>
            <w:r>
              <w:rPr>
                <w:rFonts w:hint="default" w:ascii="Times New Roman" w:hAnsi="Times New Roman" w:eastAsia="黑体" w:cs="Times New Roman"/>
                <w:sz w:val="24"/>
                <w:szCs w:val="24"/>
                <w:lang w:val="en-US" w:eastAsia="zh-CN"/>
              </w:rPr>
              <w:t>具体改革措施</w:t>
            </w:r>
          </w:p>
        </w:tc>
        <w:tc>
          <w:tcPr>
            <w:tcW w:w="3120" w:type="dxa"/>
            <w:vMerge w:val="restart"/>
            <w:vAlign w:val="center"/>
          </w:tcPr>
          <w:p>
            <w:pPr>
              <w:bidi w:val="0"/>
              <w:jc w:val="center"/>
              <w:rPr>
                <w:rFonts w:hint="default" w:ascii="Times New Roman" w:hAnsi="Times New Roman" w:eastAsia="黑体" w:cs="Times New Roman"/>
                <w:sz w:val="24"/>
                <w:szCs w:val="24"/>
                <w:lang w:val="en-US" w:eastAsia="zh-CN"/>
              </w:rPr>
            </w:pPr>
            <w:r>
              <w:rPr>
                <w:rFonts w:hint="default" w:ascii="Times New Roman" w:hAnsi="Times New Roman" w:eastAsia="黑体" w:cs="Times New Roman"/>
                <w:sz w:val="24"/>
                <w:szCs w:val="24"/>
                <w:lang w:val="en-US" w:eastAsia="zh-CN"/>
              </w:rPr>
              <w:t>加强事中事后监管措施</w:t>
            </w:r>
          </w:p>
        </w:tc>
        <w:tc>
          <w:tcPr>
            <w:tcW w:w="990" w:type="dxa"/>
            <w:vMerge w:val="restart"/>
            <w:vAlign w:val="center"/>
          </w:tcPr>
          <w:p>
            <w:pPr>
              <w:bidi w:val="0"/>
              <w:jc w:val="center"/>
              <w:rPr>
                <w:rFonts w:hint="default" w:ascii="Times New Roman" w:hAnsi="Times New Roman" w:eastAsia="黑体" w:cs="Times New Roman"/>
                <w:sz w:val="24"/>
                <w:szCs w:val="24"/>
                <w:lang w:val="en-US" w:eastAsia="zh-CN"/>
              </w:rPr>
            </w:pPr>
            <w:r>
              <w:rPr>
                <w:rFonts w:hint="default" w:ascii="Times New Roman" w:hAnsi="Times New Roman" w:eastAsia="黑体" w:cs="Times New Roman"/>
                <w:sz w:val="24"/>
                <w:szCs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0" w:hRule="atLeast"/>
        </w:trPr>
        <w:tc>
          <w:tcPr>
            <w:tcW w:w="600" w:type="dxa"/>
            <w:vMerge w:val="continue"/>
            <w:vAlign w:val="center"/>
          </w:tcPr>
          <w:p>
            <w:pPr>
              <w:bidi w:val="0"/>
              <w:jc w:val="center"/>
              <w:rPr>
                <w:rFonts w:hint="default" w:ascii="Times New Roman" w:hAnsi="Times New Roman" w:eastAsia="黑体" w:cs="Times New Roman"/>
                <w:sz w:val="24"/>
                <w:szCs w:val="24"/>
                <w:lang w:val="en-US" w:eastAsia="zh-CN"/>
              </w:rPr>
            </w:pPr>
          </w:p>
        </w:tc>
        <w:tc>
          <w:tcPr>
            <w:tcW w:w="825" w:type="dxa"/>
            <w:vMerge w:val="continue"/>
            <w:vAlign w:val="center"/>
          </w:tcPr>
          <w:p>
            <w:pPr>
              <w:bidi w:val="0"/>
              <w:jc w:val="center"/>
              <w:rPr>
                <w:rFonts w:hint="default" w:ascii="Times New Roman" w:hAnsi="Times New Roman" w:eastAsia="黑体" w:cs="Times New Roman"/>
                <w:sz w:val="24"/>
                <w:szCs w:val="24"/>
                <w:lang w:val="en-US" w:eastAsia="zh-CN"/>
              </w:rPr>
            </w:pPr>
          </w:p>
        </w:tc>
        <w:tc>
          <w:tcPr>
            <w:tcW w:w="990" w:type="dxa"/>
            <w:vMerge w:val="continue"/>
            <w:vAlign w:val="center"/>
          </w:tcPr>
          <w:p>
            <w:pPr>
              <w:bidi w:val="0"/>
              <w:jc w:val="center"/>
              <w:rPr>
                <w:rFonts w:hint="default" w:ascii="Times New Roman" w:hAnsi="Times New Roman" w:eastAsia="黑体" w:cs="Times New Roman"/>
                <w:sz w:val="24"/>
                <w:szCs w:val="24"/>
                <w:lang w:val="en-US" w:eastAsia="zh-CN"/>
              </w:rPr>
            </w:pPr>
          </w:p>
        </w:tc>
        <w:tc>
          <w:tcPr>
            <w:tcW w:w="930" w:type="dxa"/>
            <w:vMerge w:val="continue"/>
            <w:vAlign w:val="center"/>
          </w:tcPr>
          <w:p>
            <w:pPr>
              <w:bidi w:val="0"/>
              <w:jc w:val="center"/>
              <w:rPr>
                <w:rFonts w:hint="default" w:ascii="Times New Roman" w:hAnsi="Times New Roman" w:eastAsia="黑体" w:cs="Times New Roman"/>
                <w:sz w:val="24"/>
                <w:szCs w:val="24"/>
                <w:lang w:val="en-US" w:eastAsia="zh-CN"/>
              </w:rPr>
            </w:pPr>
          </w:p>
        </w:tc>
        <w:tc>
          <w:tcPr>
            <w:tcW w:w="1095" w:type="dxa"/>
            <w:vMerge w:val="continue"/>
            <w:vAlign w:val="center"/>
          </w:tcPr>
          <w:p>
            <w:pPr>
              <w:bidi w:val="0"/>
              <w:jc w:val="center"/>
              <w:rPr>
                <w:rFonts w:hint="default" w:ascii="Times New Roman" w:hAnsi="Times New Roman" w:eastAsia="黑体" w:cs="Times New Roman"/>
                <w:sz w:val="24"/>
                <w:szCs w:val="24"/>
                <w:lang w:val="en-US" w:eastAsia="zh-CN"/>
              </w:rPr>
            </w:pPr>
          </w:p>
        </w:tc>
        <w:tc>
          <w:tcPr>
            <w:tcW w:w="870" w:type="dxa"/>
            <w:vMerge w:val="continue"/>
            <w:vAlign w:val="center"/>
          </w:tcPr>
          <w:p>
            <w:pPr>
              <w:bidi w:val="0"/>
              <w:jc w:val="center"/>
              <w:rPr>
                <w:rFonts w:hint="default" w:ascii="Times New Roman" w:hAnsi="Times New Roman" w:eastAsia="黑体" w:cs="Times New Roman"/>
                <w:sz w:val="24"/>
                <w:szCs w:val="24"/>
                <w:lang w:val="en-US" w:eastAsia="zh-CN"/>
              </w:rPr>
            </w:pPr>
          </w:p>
        </w:tc>
        <w:tc>
          <w:tcPr>
            <w:tcW w:w="705" w:type="dxa"/>
            <w:vAlign w:val="center"/>
          </w:tcPr>
          <w:p>
            <w:pPr>
              <w:bidi w:val="0"/>
              <w:jc w:val="center"/>
              <w:rPr>
                <w:rFonts w:hint="default" w:ascii="Times New Roman" w:hAnsi="Times New Roman" w:eastAsia="黑体" w:cs="Times New Roman"/>
                <w:sz w:val="24"/>
                <w:szCs w:val="24"/>
                <w:lang w:val="en-US" w:eastAsia="zh-CN"/>
              </w:rPr>
            </w:pPr>
            <w:r>
              <w:rPr>
                <w:rFonts w:hint="default" w:ascii="Times New Roman" w:hAnsi="Times New Roman" w:eastAsia="黑体" w:cs="Times New Roman"/>
                <w:sz w:val="24"/>
                <w:szCs w:val="24"/>
                <w:lang w:val="en-US" w:eastAsia="zh-CN"/>
              </w:rPr>
              <w:t>直接取消审批</w:t>
            </w:r>
          </w:p>
        </w:tc>
        <w:tc>
          <w:tcPr>
            <w:tcW w:w="870" w:type="dxa"/>
            <w:vAlign w:val="center"/>
          </w:tcPr>
          <w:p>
            <w:pPr>
              <w:bidi w:val="0"/>
              <w:jc w:val="center"/>
              <w:rPr>
                <w:rFonts w:hint="default" w:ascii="Times New Roman" w:hAnsi="Times New Roman" w:eastAsia="黑体" w:cs="Times New Roman"/>
                <w:sz w:val="24"/>
                <w:szCs w:val="24"/>
                <w:lang w:val="en-US" w:eastAsia="zh-CN"/>
              </w:rPr>
            </w:pPr>
            <w:r>
              <w:rPr>
                <w:rFonts w:hint="default" w:ascii="Times New Roman" w:hAnsi="Times New Roman" w:eastAsia="黑体" w:cs="Times New Roman"/>
                <w:sz w:val="24"/>
                <w:szCs w:val="24"/>
                <w:lang w:val="en-US" w:eastAsia="zh-CN"/>
              </w:rPr>
              <w:t>审批改为备案</w:t>
            </w:r>
          </w:p>
        </w:tc>
        <w:tc>
          <w:tcPr>
            <w:tcW w:w="720" w:type="dxa"/>
            <w:vAlign w:val="center"/>
          </w:tcPr>
          <w:p>
            <w:pPr>
              <w:bidi w:val="0"/>
              <w:jc w:val="center"/>
              <w:rPr>
                <w:rFonts w:hint="default" w:ascii="Times New Roman" w:hAnsi="Times New Roman" w:eastAsia="黑体" w:cs="Times New Roman"/>
                <w:sz w:val="24"/>
                <w:szCs w:val="24"/>
                <w:lang w:val="en-US" w:eastAsia="zh-CN"/>
              </w:rPr>
            </w:pPr>
            <w:r>
              <w:rPr>
                <w:rFonts w:hint="default" w:ascii="Times New Roman" w:hAnsi="Times New Roman" w:eastAsia="黑体" w:cs="Times New Roman"/>
                <w:sz w:val="24"/>
                <w:szCs w:val="24"/>
                <w:lang w:val="en-US" w:eastAsia="zh-CN"/>
              </w:rPr>
              <w:t>实行告知承诺</w:t>
            </w:r>
          </w:p>
        </w:tc>
        <w:tc>
          <w:tcPr>
            <w:tcW w:w="720" w:type="dxa"/>
            <w:vAlign w:val="center"/>
          </w:tcPr>
          <w:p>
            <w:pPr>
              <w:bidi w:val="0"/>
              <w:jc w:val="center"/>
              <w:rPr>
                <w:rFonts w:hint="default" w:ascii="Times New Roman" w:hAnsi="Times New Roman" w:eastAsia="黑体" w:cs="Times New Roman"/>
                <w:sz w:val="24"/>
                <w:szCs w:val="24"/>
                <w:lang w:val="en-US" w:eastAsia="zh-CN"/>
              </w:rPr>
            </w:pPr>
            <w:r>
              <w:rPr>
                <w:rFonts w:hint="default" w:ascii="Times New Roman" w:hAnsi="Times New Roman" w:eastAsia="黑体" w:cs="Times New Roman"/>
                <w:sz w:val="24"/>
                <w:szCs w:val="24"/>
                <w:lang w:val="en-US" w:eastAsia="zh-CN"/>
              </w:rPr>
              <w:t>优化审批服务</w:t>
            </w:r>
          </w:p>
        </w:tc>
        <w:tc>
          <w:tcPr>
            <w:tcW w:w="2700" w:type="dxa"/>
            <w:vMerge w:val="continue"/>
          </w:tcPr>
          <w:p>
            <w:pPr>
              <w:bidi w:val="0"/>
              <w:rPr>
                <w:rFonts w:hint="default" w:ascii="Times New Roman" w:hAnsi="Times New Roman" w:eastAsia="仿宋" w:cs="Times New Roman"/>
                <w:sz w:val="24"/>
                <w:szCs w:val="24"/>
                <w:lang w:val="en-US" w:eastAsia="zh-CN"/>
              </w:rPr>
            </w:pPr>
          </w:p>
        </w:tc>
        <w:tc>
          <w:tcPr>
            <w:tcW w:w="3120" w:type="dxa"/>
            <w:vMerge w:val="continue"/>
          </w:tcPr>
          <w:p>
            <w:pPr>
              <w:bidi w:val="0"/>
              <w:rPr>
                <w:rFonts w:hint="default" w:ascii="Times New Roman" w:hAnsi="Times New Roman" w:eastAsia="仿宋" w:cs="Times New Roman"/>
                <w:sz w:val="24"/>
                <w:szCs w:val="24"/>
                <w:lang w:val="en-US" w:eastAsia="zh-CN"/>
              </w:rPr>
            </w:pPr>
          </w:p>
        </w:tc>
        <w:tc>
          <w:tcPr>
            <w:tcW w:w="990" w:type="dxa"/>
            <w:vMerge w:val="continue"/>
          </w:tcPr>
          <w:p>
            <w:pPr>
              <w:bidi w:val="0"/>
              <w:rPr>
                <w:rFonts w:hint="default" w:ascii="Times New Roman" w:hAnsi="Times New Roman" w:eastAsia="仿宋" w:cs="Times New Roman"/>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00" w:type="dxa"/>
            <w:vAlign w:val="center"/>
          </w:tcPr>
          <w:p>
            <w:pPr>
              <w:bidi w:val="0"/>
              <w:jc w:val="center"/>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1</w:t>
            </w:r>
          </w:p>
        </w:tc>
        <w:tc>
          <w:tcPr>
            <w:tcW w:w="825" w:type="dxa"/>
            <w:vAlign w:val="center"/>
          </w:tcPr>
          <w:p>
            <w:pPr>
              <w:bidi w:val="0"/>
              <w:jc w:val="both"/>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自治区应急厅</w:t>
            </w:r>
          </w:p>
        </w:tc>
        <w:tc>
          <w:tcPr>
            <w:tcW w:w="990" w:type="dxa"/>
            <w:vAlign w:val="center"/>
          </w:tcPr>
          <w:p>
            <w:pPr>
              <w:bidi w:val="0"/>
              <w:jc w:val="both"/>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安全生产检测检验机构资质认可</w:t>
            </w:r>
          </w:p>
        </w:tc>
        <w:tc>
          <w:tcPr>
            <w:tcW w:w="930" w:type="dxa"/>
            <w:vAlign w:val="center"/>
          </w:tcPr>
          <w:p>
            <w:pPr>
              <w:bidi w:val="0"/>
              <w:jc w:val="both"/>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安全生产检测检验机构资质证书</w:t>
            </w:r>
          </w:p>
        </w:tc>
        <w:tc>
          <w:tcPr>
            <w:tcW w:w="1095" w:type="dxa"/>
            <w:vAlign w:val="center"/>
          </w:tcPr>
          <w:p>
            <w:pPr>
              <w:bidi w:val="0"/>
              <w:jc w:val="both"/>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《中华人民共和国安全生产法》</w:t>
            </w:r>
          </w:p>
        </w:tc>
        <w:tc>
          <w:tcPr>
            <w:tcW w:w="870" w:type="dxa"/>
            <w:vAlign w:val="center"/>
          </w:tcPr>
          <w:p>
            <w:pPr>
              <w:bidi w:val="0"/>
              <w:jc w:val="both"/>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自治区应急厅</w:t>
            </w:r>
          </w:p>
        </w:tc>
        <w:tc>
          <w:tcPr>
            <w:tcW w:w="705" w:type="dxa"/>
            <w:vAlign w:val="center"/>
          </w:tcPr>
          <w:p>
            <w:pPr>
              <w:bidi w:val="0"/>
              <w:jc w:val="both"/>
              <w:rPr>
                <w:rFonts w:hint="default" w:ascii="Times New Roman" w:hAnsi="Times New Roman" w:eastAsia="仿宋" w:cs="Times New Roman"/>
                <w:sz w:val="24"/>
                <w:szCs w:val="24"/>
                <w:lang w:val="en-US" w:eastAsia="zh-CN"/>
              </w:rPr>
            </w:pPr>
          </w:p>
        </w:tc>
        <w:tc>
          <w:tcPr>
            <w:tcW w:w="870" w:type="dxa"/>
            <w:vAlign w:val="center"/>
          </w:tcPr>
          <w:p>
            <w:pPr>
              <w:bidi w:val="0"/>
              <w:jc w:val="both"/>
              <w:rPr>
                <w:rFonts w:hint="default" w:ascii="Times New Roman" w:hAnsi="Times New Roman" w:eastAsia="仿宋" w:cs="Times New Roman"/>
                <w:sz w:val="24"/>
                <w:szCs w:val="24"/>
                <w:lang w:val="en-US" w:eastAsia="zh-CN"/>
              </w:rPr>
            </w:pPr>
          </w:p>
        </w:tc>
        <w:tc>
          <w:tcPr>
            <w:tcW w:w="720" w:type="dxa"/>
            <w:vAlign w:val="center"/>
          </w:tcPr>
          <w:p>
            <w:pPr>
              <w:bidi w:val="0"/>
              <w:jc w:val="both"/>
              <w:rPr>
                <w:rFonts w:hint="default" w:ascii="Times New Roman" w:hAnsi="Times New Roman" w:eastAsia="仿宋" w:cs="Times New Roman"/>
                <w:sz w:val="24"/>
                <w:szCs w:val="24"/>
                <w:lang w:val="en-US" w:eastAsia="zh-CN"/>
              </w:rPr>
            </w:pPr>
          </w:p>
        </w:tc>
        <w:tc>
          <w:tcPr>
            <w:tcW w:w="720" w:type="dxa"/>
            <w:vAlign w:val="center"/>
          </w:tcPr>
          <w:p>
            <w:pPr>
              <w:bidi w:val="0"/>
              <w:jc w:val="center"/>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w:t>
            </w:r>
          </w:p>
        </w:tc>
        <w:tc>
          <w:tcPr>
            <w:tcW w:w="2700" w:type="dxa"/>
            <w:vAlign w:val="center"/>
          </w:tcPr>
          <w:p>
            <w:pPr>
              <w:bidi w:val="0"/>
              <w:jc w:val="both"/>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不再将安全生产检测检验机构取得法定计量许可证作为前置条件。2.推行法定代表人承诺、公司承诺管理，对申请材料真实性、固定资产等实行告知承诺。</w:t>
            </w:r>
          </w:p>
          <w:p>
            <w:pPr>
              <w:bidi w:val="0"/>
              <w:jc w:val="both"/>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3.依托有关平台，提供统一信息查询服务，便于机构跨区域从业和属地监管</w:t>
            </w:r>
          </w:p>
        </w:tc>
        <w:tc>
          <w:tcPr>
            <w:tcW w:w="3120" w:type="dxa"/>
            <w:vAlign w:val="center"/>
          </w:tcPr>
          <w:p>
            <w:pPr>
              <w:bidi w:val="0"/>
              <w:jc w:val="both"/>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1.按照全国统一的机构认可标准和执法标准，明确监管管辖权，规范自由裁量权。</w:t>
            </w:r>
          </w:p>
          <w:p>
            <w:pPr>
              <w:bidi w:val="0"/>
              <w:jc w:val="both"/>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2.开展“双随机、一公开”监管和信用监管，依法依规对失信主体开展失信惩戒。</w:t>
            </w:r>
          </w:p>
          <w:p>
            <w:pPr>
              <w:bidi w:val="0"/>
              <w:jc w:val="both"/>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3.加强对安全生产检测检验机构有关信息的共享和公开，接受社会监督。4.发挥行业组织自律作用，完善技术仲裁工作机制。</w:t>
            </w:r>
          </w:p>
        </w:tc>
        <w:tc>
          <w:tcPr>
            <w:tcW w:w="990" w:type="dxa"/>
            <w:vAlign w:val="center"/>
          </w:tcPr>
          <w:p>
            <w:pPr>
              <w:bidi w:val="0"/>
              <w:jc w:val="both"/>
              <w:rPr>
                <w:rFonts w:hint="default" w:ascii="Times New Roman" w:hAnsi="Times New Roman" w:eastAsia="仿宋" w:cs="Times New Roman"/>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00" w:type="dxa"/>
            <w:vAlign w:val="center"/>
          </w:tcPr>
          <w:p>
            <w:pPr>
              <w:bidi w:val="0"/>
              <w:jc w:val="center"/>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2</w:t>
            </w:r>
          </w:p>
        </w:tc>
        <w:tc>
          <w:tcPr>
            <w:tcW w:w="825" w:type="dxa"/>
            <w:vAlign w:val="center"/>
          </w:tcPr>
          <w:p>
            <w:pPr>
              <w:bidi w:val="0"/>
              <w:jc w:val="both"/>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自治区应急厅</w:t>
            </w:r>
          </w:p>
        </w:tc>
        <w:tc>
          <w:tcPr>
            <w:tcW w:w="990" w:type="dxa"/>
            <w:vAlign w:val="center"/>
          </w:tcPr>
          <w:p>
            <w:pPr>
              <w:bidi w:val="0"/>
              <w:jc w:val="both"/>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安全评价机构资质认可</w:t>
            </w:r>
          </w:p>
        </w:tc>
        <w:tc>
          <w:tcPr>
            <w:tcW w:w="930" w:type="dxa"/>
            <w:vAlign w:val="center"/>
          </w:tcPr>
          <w:p>
            <w:pPr>
              <w:bidi w:val="0"/>
              <w:jc w:val="both"/>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安全评价机构资质证书</w:t>
            </w:r>
          </w:p>
        </w:tc>
        <w:tc>
          <w:tcPr>
            <w:tcW w:w="1095" w:type="dxa"/>
            <w:vAlign w:val="center"/>
          </w:tcPr>
          <w:p>
            <w:pPr>
              <w:bidi w:val="0"/>
              <w:jc w:val="both"/>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《中华人民共和国安全生产法》</w:t>
            </w:r>
          </w:p>
        </w:tc>
        <w:tc>
          <w:tcPr>
            <w:tcW w:w="870" w:type="dxa"/>
            <w:vAlign w:val="center"/>
          </w:tcPr>
          <w:p>
            <w:pPr>
              <w:bidi w:val="0"/>
              <w:jc w:val="both"/>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自治区应急厅</w:t>
            </w:r>
          </w:p>
        </w:tc>
        <w:tc>
          <w:tcPr>
            <w:tcW w:w="705" w:type="dxa"/>
            <w:vAlign w:val="center"/>
          </w:tcPr>
          <w:p>
            <w:pPr>
              <w:bidi w:val="0"/>
              <w:jc w:val="both"/>
              <w:rPr>
                <w:rFonts w:hint="default" w:ascii="Times New Roman" w:hAnsi="Times New Roman" w:eastAsia="仿宋" w:cs="Times New Roman"/>
                <w:sz w:val="24"/>
                <w:szCs w:val="24"/>
                <w:lang w:val="en-US" w:eastAsia="zh-CN"/>
              </w:rPr>
            </w:pPr>
          </w:p>
        </w:tc>
        <w:tc>
          <w:tcPr>
            <w:tcW w:w="870" w:type="dxa"/>
            <w:vAlign w:val="center"/>
          </w:tcPr>
          <w:p>
            <w:pPr>
              <w:bidi w:val="0"/>
              <w:jc w:val="both"/>
              <w:rPr>
                <w:rFonts w:hint="default" w:ascii="Times New Roman" w:hAnsi="Times New Roman" w:eastAsia="仿宋" w:cs="Times New Roman"/>
                <w:sz w:val="24"/>
                <w:szCs w:val="24"/>
                <w:lang w:val="en-US" w:eastAsia="zh-CN"/>
              </w:rPr>
            </w:pPr>
          </w:p>
        </w:tc>
        <w:tc>
          <w:tcPr>
            <w:tcW w:w="720" w:type="dxa"/>
            <w:vAlign w:val="center"/>
          </w:tcPr>
          <w:p>
            <w:pPr>
              <w:bidi w:val="0"/>
              <w:jc w:val="both"/>
              <w:rPr>
                <w:rFonts w:hint="default" w:ascii="Times New Roman" w:hAnsi="Times New Roman" w:eastAsia="仿宋" w:cs="Times New Roman"/>
                <w:sz w:val="24"/>
                <w:szCs w:val="24"/>
                <w:lang w:val="en-US" w:eastAsia="zh-CN"/>
              </w:rPr>
            </w:pPr>
          </w:p>
        </w:tc>
        <w:tc>
          <w:tcPr>
            <w:tcW w:w="720" w:type="dxa"/>
            <w:vAlign w:val="center"/>
          </w:tcPr>
          <w:p>
            <w:pPr>
              <w:bidi w:val="0"/>
              <w:jc w:val="center"/>
              <w:rPr>
                <w:rFonts w:hint="default" w:ascii="Times New Roman" w:hAnsi="Times New Roman" w:eastAsia="仿宋" w:cs="Times New Roman"/>
                <w:sz w:val="24"/>
                <w:szCs w:val="24"/>
                <w:lang w:val="en-US" w:eastAsia="zh-CN"/>
              </w:rPr>
            </w:pPr>
          </w:p>
        </w:tc>
        <w:tc>
          <w:tcPr>
            <w:tcW w:w="2700" w:type="dxa"/>
            <w:vAlign w:val="center"/>
          </w:tcPr>
          <w:p>
            <w:pPr>
              <w:bidi w:val="0"/>
              <w:jc w:val="both"/>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加快推动信息共享，不再要求申请人提供安全工程师等人员资格证明材料，实行联网查询。</w:t>
            </w:r>
          </w:p>
          <w:p>
            <w:pPr>
              <w:bidi w:val="0"/>
              <w:jc w:val="both"/>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2推行法定代表人承诺、公司承诺管理，对申请材料真实性、固定资产、办公面积等实行告知承诺。</w:t>
            </w:r>
          </w:p>
        </w:tc>
        <w:tc>
          <w:tcPr>
            <w:tcW w:w="3120" w:type="dxa"/>
            <w:vAlign w:val="center"/>
          </w:tcPr>
          <w:p>
            <w:pPr>
              <w:bidi w:val="0"/>
              <w:jc w:val="both"/>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1健全安全评价机构审批工作制度，按照全国统一的机构资质认定标准和执法标准，监管管辖权，规范自由裁量权。</w:t>
            </w:r>
          </w:p>
          <w:p>
            <w:pPr>
              <w:bidi w:val="0"/>
              <w:jc w:val="both"/>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.开展“双随机、一公开”监管和信用监管，依法依规对失信主体开展失信惩戒。</w:t>
            </w:r>
          </w:p>
          <w:p>
            <w:pPr>
              <w:bidi w:val="0"/>
              <w:jc w:val="both"/>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加强对安全评价机构有关信息的共享和公开，接受社会监督。</w:t>
            </w:r>
          </w:p>
          <w:p>
            <w:pPr>
              <w:bidi w:val="0"/>
              <w:jc w:val="both"/>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发挥行业组织自律作用，完善技术仲裁工作机制。</w:t>
            </w:r>
          </w:p>
        </w:tc>
        <w:tc>
          <w:tcPr>
            <w:tcW w:w="990" w:type="dxa"/>
            <w:vAlign w:val="center"/>
          </w:tcPr>
          <w:p>
            <w:pPr>
              <w:bidi w:val="0"/>
              <w:jc w:val="both"/>
              <w:rPr>
                <w:rFonts w:hint="default" w:ascii="Times New Roman" w:hAnsi="Times New Roman" w:eastAsia="仿宋" w:cs="Times New Roman"/>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00" w:type="dxa"/>
            <w:vAlign w:val="center"/>
          </w:tcPr>
          <w:p>
            <w:pPr>
              <w:bidi w:val="0"/>
              <w:jc w:val="center"/>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3</w:t>
            </w:r>
          </w:p>
        </w:tc>
        <w:tc>
          <w:tcPr>
            <w:tcW w:w="825" w:type="dxa"/>
            <w:vAlign w:val="center"/>
          </w:tcPr>
          <w:p>
            <w:pPr>
              <w:bidi w:val="0"/>
              <w:jc w:val="both"/>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自治区应急厅</w:t>
            </w:r>
          </w:p>
        </w:tc>
        <w:tc>
          <w:tcPr>
            <w:tcW w:w="990" w:type="dxa"/>
            <w:vAlign w:val="center"/>
          </w:tcPr>
          <w:p>
            <w:pPr>
              <w:bidi w:val="0"/>
              <w:jc w:val="both"/>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烟花爆竹生产企业安全生产许可证核发</w:t>
            </w:r>
          </w:p>
        </w:tc>
        <w:tc>
          <w:tcPr>
            <w:tcW w:w="930" w:type="dxa"/>
            <w:vAlign w:val="center"/>
          </w:tcPr>
          <w:p>
            <w:pPr>
              <w:bidi w:val="0"/>
              <w:jc w:val="both"/>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安全生产许可证（烟花爆竹）</w:t>
            </w:r>
          </w:p>
        </w:tc>
        <w:tc>
          <w:tcPr>
            <w:tcW w:w="1095" w:type="dxa"/>
            <w:vAlign w:val="center"/>
          </w:tcPr>
          <w:p>
            <w:pPr>
              <w:bidi w:val="0"/>
              <w:jc w:val="both"/>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《安全生产许可证条例》</w:t>
            </w:r>
          </w:p>
        </w:tc>
        <w:tc>
          <w:tcPr>
            <w:tcW w:w="870" w:type="dxa"/>
            <w:vAlign w:val="center"/>
          </w:tcPr>
          <w:p>
            <w:pPr>
              <w:bidi w:val="0"/>
              <w:jc w:val="both"/>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自治区应急厅</w:t>
            </w:r>
          </w:p>
        </w:tc>
        <w:tc>
          <w:tcPr>
            <w:tcW w:w="705" w:type="dxa"/>
            <w:vAlign w:val="center"/>
          </w:tcPr>
          <w:p>
            <w:pPr>
              <w:bidi w:val="0"/>
              <w:jc w:val="both"/>
              <w:rPr>
                <w:rFonts w:hint="default" w:ascii="Times New Roman" w:hAnsi="Times New Roman" w:eastAsia="仿宋" w:cs="Times New Roman"/>
                <w:sz w:val="24"/>
                <w:szCs w:val="24"/>
                <w:lang w:val="en-US" w:eastAsia="zh-CN"/>
              </w:rPr>
            </w:pPr>
          </w:p>
        </w:tc>
        <w:tc>
          <w:tcPr>
            <w:tcW w:w="870" w:type="dxa"/>
            <w:vAlign w:val="center"/>
          </w:tcPr>
          <w:p>
            <w:pPr>
              <w:bidi w:val="0"/>
              <w:jc w:val="both"/>
              <w:rPr>
                <w:rFonts w:hint="default" w:ascii="Times New Roman" w:hAnsi="Times New Roman" w:eastAsia="仿宋" w:cs="Times New Roman"/>
                <w:sz w:val="24"/>
                <w:szCs w:val="24"/>
                <w:lang w:val="en-US" w:eastAsia="zh-CN"/>
              </w:rPr>
            </w:pPr>
          </w:p>
        </w:tc>
        <w:tc>
          <w:tcPr>
            <w:tcW w:w="720" w:type="dxa"/>
            <w:vAlign w:val="center"/>
          </w:tcPr>
          <w:p>
            <w:pPr>
              <w:bidi w:val="0"/>
              <w:jc w:val="both"/>
              <w:rPr>
                <w:rFonts w:hint="default" w:ascii="Times New Roman" w:hAnsi="Times New Roman" w:eastAsia="仿宋" w:cs="Times New Roman"/>
                <w:sz w:val="24"/>
                <w:szCs w:val="24"/>
                <w:lang w:val="en-US" w:eastAsia="zh-CN"/>
              </w:rPr>
            </w:pPr>
          </w:p>
        </w:tc>
        <w:tc>
          <w:tcPr>
            <w:tcW w:w="720" w:type="dxa"/>
            <w:vAlign w:val="center"/>
          </w:tcPr>
          <w:p>
            <w:pPr>
              <w:bidi w:val="0"/>
              <w:jc w:val="center"/>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w:t>
            </w:r>
          </w:p>
        </w:tc>
        <w:tc>
          <w:tcPr>
            <w:tcW w:w="2700" w:type="dxa"/>
            <w:vAlign w:val="center"/>
          </w:tcPr>
          <w:p>
            <w:pPr>
              <w:bidi w:val="0"/>
              <w:jc w:val="both"/>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实现申请、审批全程网上办理。</w:t>
            </w:r>
          </w:p>
          <w:p>
            <w:pPr>
              <w:bidi w:val="0"/>
              <w:jc w:val="both"/>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将审批时限由45个工作日压减至30个工作日。</w:t>
            </w:r>
          </w:p>
        </w:tc>
        <w:tc>
          <w:tcPr>
            <w:tcW w:w="3120" w:type="dxa"/>
            <w:vAlign w:val="center"/>
          </w:tcPr>
          <w:p>
            <w:pPr>
              <w:bidi w:val="0"/>
              <w:jc w:val="both"/>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开展“双随机、一公开”监管，发现违法违规行为要依法严查并公开结果。</w:t>
            </w:r>
          </w:p>
          <w:p>
            <w:pPr>
              <w:bidi w:val="0"/>
              <w:jc w:val="both"/>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加强信用监管，依法向社会公布烟花爆竹生产企业信用状况，依法依规对失信主体开展失信惩戒。</w:t>
            </w:r>
          </w:p>
        </w:tc>
        <w:tc>
          <w:tcPr>
            <w:tcW w:w="990" w:type="dxa"/>
            <w:vAlign w:val="center"/>
          </w:tcPr>
          <w:p>
            <w:pPr>
              <w:bidi w:val="0"/>
              <w:jc w:val="both"/>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在全区范围内按“烟花爆竹生产企业安全生产许可”实施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00" w:type="dxa"/>
            <w:vAlign w:val="center"/>
          </w:tcPr>
          <w:p>
            <w:pPr>
              <w:bidi w:val="0"/>
              <w:jc w:val="center"/>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4</w:t>
            </w:r>
          </w:p>
        </w:tc>
        <w:tc>
          <w:tcPr>
            <w:tcW w:w="825" w:type="dxa"/>
            <w:vAlign w:val="center"/>
          </w:tcPr>
          <w:p>
            <w:pPr>
              <w:bidi w:val="0"/>
              <w:jc w:val="both"/>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自治区应急厅</w:t>
            </w:r>
          </w:p>
        </w:tc>
        <w:tc>
          <w:tcPr>
            <w:tcW w:w="990" w:type="dxa"/>
            <w:vAlign w:val="center"/>
          </w:tcPr>
          <w:p>
            <w:pPr>
              <w:bidi w:val="0"/>
              <w:jc w:val="both"/>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烟花爆竹经营（批发）许可证核发</w:t>
            </w:r>
          </w:p>
        </w:tc>
        <w:tc>
          <w:tcPr>
            <w:tcW w:w="930" w:type="dxa"/>
            <w:vAlign w:val="center"/>
          </w:tcPr>
          <w:p>
            <w:pPr>
              <w:bidi w:val="0"/>
              <w:jc w:val="both"/>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烟花爆竹经营（批发）许可证</w:t>
            </w:r>
          </w:p>
        </w:tc>
        <w:tc>
          <w:tcPr>
            <w:tcW w:w="1095" w:type="dxa"/>
            <w:vAlign w:val="center"/>
          </w:tcPr>
          <w:p>
            <w:pPr>
              <w:bidi w:val="0"/>
              <w:jc w:val="both"/>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《烟花爆竹安全管理条例》</w:t>
            </w:r>
          </w:p>
        </w:tc>
        <w:tc>
          <w:tcPr>
            <w:tcW w:w="870" w:type="dxa"/>
            <w:vAlign w:val="center"/>
          </w:tcPr>
          <w:p>
            <w:pPr>
              <w:bidi w:val="0"/>
              <w:jc w:val="both"/>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设区的市应急管理部门</w:t>
            </w:r>
          </w:p>
        </w:tc>
        <w:tc>
          <w:tcPr>
            <w:tcW w:w="705" w:type="dxa"/>
            <w:vAlign w:val="center"/>
          </w:tcPr>
          <w:p>
            <w:pPr>
              <w:bidi w:val="0"/>
              <w:jc w:val="both"/>
              <w:rPr>
                <w:rFonts w:hint="default" w:ascii="Times New Roman" w:hAnsi="Times New Roman" w:eastAsia="仿宋" w:cs="Times New Roman"/>
                <w:sz w:val="24"/>
                <w:szCs w:val="24"/>
                <w:lang w:val="en-US" w:eastAsia="zh-CN"/>
              </w:rPr>
            </w:pPr>
          </w:p>
        </w:tc>
        <w:tc>
          <w:tcPr>
            <w:tcW w:w="870" w:type="dxa"/>
            <w:vAlign w:val="center"/>
          </w:tcPr>
          <w:p>
            <w:pPr>
              <w:bidi w:val="0"/>
              <w:jc w:val="both"/>
              <w:rPr>
                <w:rFonts w:hint="default" w:ascii="Times New Roman" w:hAnsi="Times New Roman" w:eastAsia="仿宋" w:cs="Times New Roman"/>
                <w:sz w:val="24"/>
                <w:szCs w:val="24"/>
                <w:lang w:val="en-US" w:eastAsia="zh-CN"/>
              </w:rPr>
            </w:pPr>
          </w:p>
        </w:tc>
        <w:tc>
          <w:tcPr>
            <w:tcW w:w="720" w:type="dxa"/>
            <w:vAlign w:val="center"/>
          </w:tcPr>
          <w:p>
            <w:pPr>
              <w:bidi w:val="0"/>
              <w:jc w:val="both"/>
              <w:rPr>
                <w:rFonts w:hint="default" w:ascii="Times New Roman" w:hAnsi="Times New Roman" w:eastAsia="仿宋" w:cs="Times New Roman"/>
                <w:sz w:val="24"/>
                <w:szCs w:val="24"/>
                <w:lang w:val="en-US" w:eastAsia="zh-CN"/>
              </w:rPr>
            </w:pPr>
          </w:p>
        </w:tc>
        <w:tc>
          <w:tcPr>
            <w:tcW w:w="720" w:type="dxa"/>
            <w:vAlign w:val="center"/>
          </w:tcPr>
          <w:p>
            <w:pPr>
              <w:bidi w:val="0"/>
              <w:jc w:val="center"/>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w:t>
            </w:r>
          </w:p>
        </w:tc>
        <w:tc>
          <w:tcPr>
            <w:tcW w:w="2700" w:type="dxa"/>
            <w:vAlign w:val="center"/>
          </w:tcPr>
          <w:p>
            <w:pPr>
              <w:bidi w:val="0"/>
              <w:jc w:val="both"/>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1.实现申请、审批全程网上办理。</w:t>
            </w:r>
          </w:p>
          <w:p>
            <w:pPr>
              <w:bidi w:val="0"/>
              <w:jc w:val="both"/>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2.将审批时限由30个工作日压减至20个工作日。</w:t>
            </w:r>
          </w:p>
        </w:tc>
        <w:tc>
          <w:tcPr>
            <w:tcW w:w="3120" w:type="dxa"/>
            <w:vAlign w:val="center"/>
          </w:tcPr>
          <w:p>
            <w:pPr>
              <w:bidi w:val="0"/>
              <w:jc w:val="both"/>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1.开展“双随机、一公开”监管，发现违法违规行为要依法严查并公开结果。</w:t>
            </w:r>
          </w:p>
          <w:p>
            <w:pPr>
              <w:bidi w:val="0"/>
              <w:jc w:val="both"/>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2.加强信用监管，依法向社会公布烟花爆竹经营（批发）企业信用状况，依法依规对失信主体开展失信惩戒。</w:t>
            </w:r>
          </w:p>
        </w:tc>
        <w:tc>
          <w:tcPr>
            <w:tcW w:w="990" w:type="dxa"/>
            <w:vAlign w:val="center"/>
          </w:tcPr>
          <w:p>
            <w:pPr>
              <w:bidi w:val="0"/>
              <w:jc w:val="both"/>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在全区范围内按“烟花爆竹经营（批发）许可”实施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00" w:type="dxa"/>
            <w:vAlign w:val="center"/>
          </w:tcPr>
          <w:p>
            <w:pPr>
              <w:bidi w:val="0"/>
              <w:jc w:val="center"/>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5</w:t>
            </w:r>
          </w:p>
        </w:tc>
        <w:tc>
          <w:tcPr>
            <w:tcW w:w="825" w:type="dxa"/>
            <w:vAlign w:val="center"/>
          </w:tcPr>
          <w:p>
            <w:pPr>
              <w:bidi w:val="0"/>
              <w:jc w:val="both"/>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自治区应急厅</w:t>
            </w:r>
          </w:p>
        </w:tc>
        <w:tc>
          <w:tcPr>
            <w:tcW w:w="990" w:type="dxa"/>
            <w:vAlign w:val="center"/>
          </w:tcPr>
          <w:p>
            <w:pPr>
              <w:bidi w:val="0"/>
              <w:jc w:val="both"/>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烟花爆竹经营（零售）许可证核发</w:t>
            </w:r>
          </w:p>
        </w:tc>
        <w:tc>
          <w:tcPr>
            <w:tcW w:w="930" w:type="dxa"/>
            <w:vAlign w:val="center"/>
          </w:tcPr>
          <w:p>
            <w:pPr>
              <w:bidi w:val="0"/>
              <w:jc w:val="both"/>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烟花爆竹经营（零售发）许可证</w:t>
            </w:r>
          </w:p>
        </w:tc>
        <w:tc>
          <w:tcPr>
            <w:tcW w:w="1095" w:type="dxa"/>
            <w:vAlign w:val="center"/>
          </w:tcPr>
          <w:p>
            <w:pPr>
              <w:bidi w:val="0"/>
              <w:jc w:val="both"/>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《烟花爆竹安全管理条例》</w:t>
            </w:r>
          </w:p>
        </w:tc>
        <w:tc>
          <w:tcPr>
            <w:tcW w:w="870" w:type="dxa"/>
            <w:vAlign w:val="center"/>
          </w:tcPr>
          <w:p>
            <w:pPr>
              <w:bidi w:val="0"/>
              <w:jc w:val="both"/>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县级应急管理部门</w:t>
            </w:r>
          </w:p>
        </w:tc>
        <w:tc>
          <w:tcPr>
            <w:tcW w:w="705" w:type="dxa"/>
            <w:vAlign w:val="center"/>
          </w:tcPr>
          <w:p>
            <w:pPr>
              <w:bidi w:val="0"/>
              <w:jc w:val="both"/>
              <w:rPr>
                <w:rFonts w:hint="default" w:ascii="Times New Roman" w:hAnsi="Times New Roman" w:eastAsia="仿宋" w:cs="Times New Roman"/>
                <w:sz w:val="24"/>
                <w:szCs w:val="24"/>
                <w:lang w:val="en-US" w:eastAsia="zh-CN"/>
              </w:rPr>
            </w:pPr>
          </w:p>
        </w:tc>
        <w:tc>
          <w:tcPr>
            <w:tcW w:w="870" w:type="dxa"/>
            <w:vAlign w:val="center"/>
          </w:tcPr>
          <w:p>
            <w:pPr>
              <w:bidi w:val="0"/>
              <w:jc w:val="both"/>
              <w:rPr>
                <w:rFonts w:hint="default" w:ascii="Times New Roman" w:hAnsi="Times New Roman" w:eastAsia="仿宋" w:cs="Times New Roman"/>
                <w:sz w:val="24"/>
                <w:szCs w:val="24"/>
                <w:lang w:val="en-US" w:eastAsia="zh-CN"/>
              </w:rPr>
            </w:pPr>
          </w:p>
        </w:tc>
        <w:tc>
          <w:tcPr>
            <w:tcW w:w="720" w:type="dxa"/>
            <w:vAlign w:val="center"/>
          </w:tcPr>
          <w:p>
            <w:pPr>
              <w:bidi w:val="0"/>
              <w:jc w:val="both"/>
              <w:rPr>
                <w:rFonts w:hint="default" w:ascii="Times New Roman" w:hAnsi="Times New Roman" w:eastAsia="仿宋" w:cs="Times New Roman"/>
                <w:sz w:val="24"/>
                <w:szCs w:val="24"/>
                <w:lang w:val="en-US" w:eastAsia="zh-CN"/>
              </w:rPr>
            </w:pPr>
          </w:p>
        </w:tc>
        <w:tc>
          <w:tcPr>
            <w:tcW w:w="720" w:type="dxa"/>
            <w:vAlign w:val="center"/>
          </w:tcPr>
          <w:p>
            <w:pPr>
              <w:bidi w:val="0"/>
              <w:jc w:val="center"/>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w:t>
            </w:r>
          </w:p>
        </w:tc>
        <w:tc>
          <w:tcPr>
            <w:tcW w:w="2700" w:type="dxa"/>
            <w:vAlign w:val="center"/>
          </w:tcPr>
          <w:p>
            <w:pPr>
              <w:bidi w:val="0"/>
              <w:jc w:val="both"/>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1.实现申请、审批全程网上办理。</w:t>
            </w:r>
          </w:p>
          <w:p>
            <w:pPr>
              <w:bidi w:val="0"/>
              <w:jc w:val="both"/>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2.将审批时限由20个工作日压减至15个工作日。</w:t>
            </w:r>
          </w:p>
        </w:tc>
        <w:tc>
          <w:tcPr>
            <w:tcW w:w="3120" w:type="dxa"/>
            <w:vAlign w:val="center"/>
          </w:tcPr>
          <w:p>
            <w:pPr>
              <w:bidi w:val="0"/>
              <w:jc w:val="both"/>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1.开展“双随机、一公开”监管，发现违法违规行为要依法严查并公开结果。</w:t>
            </w:r>
          </w:p>
          <w:p>
            <w:pPr>
              <w:bidi w:val="0"/>
              <w:jc w:val="both"/>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2.加强信用监管，依法向社会公布烟花爆竹经营（零售）企业信用状况，依法依规对失信主体开展失信惩戒。</w:t>
            </w:r>
          </w:p>
        </w:tc>
        <w:tc>
          <w:tcPr>
            <w:tcW w:w="990" w:type="dxa"/>
            <w:vAlign w:val="center"/>
          </w:tcPr>
          <w:p>
            <w:pPr>
              <w:bidi w:val="0"/>
              <w:jc w:val="both"/>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在全区范围内按“烟花爆竹经营（零售）许可”实施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00" w:type="dxa"/>
            <w:vAlign w:val="center"/>
          </w:tcPr>
          <w:p>
            <w:pPr>
              <w:bidi w:val="0"/>
              <w:jc w:val="center"/>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6</w:t>
            </w:r>
          </w:p>
        </w:tc>
        <w:tc>
          <w:tcPr>
            <w:tcW w:w="825" w:type="dxa"/>
            <w:vAlign w:val="center"/>
          </w:tcPr>
          <w:p>
            <w:pPr>
              <w:bidi w:val="0"/>
              <w:jc w:val="both"/>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自治区应急厅</w:t>
            </w:r>
          </w:p>
        </w:tc>
        <w:tc>
          <w:tcPr>
            <w:tcW w:w="990" w:type="dxa"/>
            <w:vAlign w:val="center"/>
          </w:tcPr>
          <w:p>
            <w:pPr>
              <w:bidi w:val="0"/>
              <w:jc w:val="both"/>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第一类非药品类易制毒化学品生产许可证核发</w:t>
            </w:r>
          </w:p>
        </w:tc>
        <w:tc>
          <w:tcPr>
            <w:tcW w:w="930" w:type="dxa"/>
            <w:vAlign w:val="center"/>
          </w:tcPr>
          <w:p>
            <w:pPr>
              <w:bidi w:val="0"/>
              <w:jc w:val="both"/>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非药品类易制毒化学品生产许可证</w:t>
            </w:r>
          </w:p>
        </w:tc>
        <w:tc>
          <w:tcPr>
            <w:tcW w:w="1095" w:type="dxa"/>
            <w:vAlign w:val="center"/>
          </w:tcPr>
          <w:p>
            <w:pPr>
              <w:bidi w:val="0"/>
              <w:jc w:val="both"/>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《易制毒化学品管理条例》</w:t>
            </w:r>
          </w:p>
        </w:tc>
        <w:tc>
          <w:tcPr>
            <w:tcW w:w="870" w:type="dxa"/>
            <w:vAlign w:val="center"/>
          </w:tcPr>
          <w:p>
            <w:pPr>
              <w:bidi w:val="0"/>
              <w:jc w:val="both"/>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自治区应急厅</w:t>
            </w:r>
          </w:p>
        </w:tc>
        <w:tc>
          <w:tcPr>
            <w:tcW w:w="705" w:type="dxa"/>
            <w:vAlign w:val="center"/>
          </w:tcPr>
          <w:p>
            <w:pPr>
              <w:bidi w:val="0"/>
              <w:jc w:val="both"/>
              <w:rPr>
                <w:rFonts w:hint="default" w:ascii="Times New Roman" w:hAnsi="Times New Roman" w:eastAsia="仿宋" w:cs="Times New Roman"/>
                <w:sz w:val="24"/>
                <w:szCs w:val="24"/>
                <w:lang w:val="en-US" w:eastAsia="zh-CN"/>
              </w:rPr>
            </w:pPr>
          </w:p>
        </w:tc>
        <w:tc>
          <w:tcPr>
            <w:tcW w:w="870" w:type="dxa"/>
            <w:vAlign w:val="center"/>
          </w:tcPr>
          <w:p>
            <w:pPr>
              <w:bidi w:val="0"/>
              <w:jc w:val="both"/>
              <w:rPr>
                <w:rFonts w:hint="default" w:ascii="Times New Roman" w:hAnsi="Times New Roman" w:eastAsia="仿宋" w:cs="Times New Roman"/>
                <w:sz w:val="24"/>
                <w:szCs w:val="24"/>
                <w:lang w:val="en-US" w:eastAsia="zh-CN"/>
              </w:rPr>
            </w:pPr>
          </w:p>
        </w:tc>
        <w:tc>
          <w:tcPr>
            <w:tcW w:w="720" w:type="dxa"/>
            <w:vAlign w:val="center"/>
          </w:tcPr>
          <w:p>
            <w:pPr>
              <w:bidi w:val="0"/>
              <w:jc w:val="both"/>
              <w:rPr>
                <w:rFonts w:hint="default" w:ascii="Times New Roman" w:hAnsi="Times New Roman" w:eastAsia="仿宋" w:cs="Times New Roman"/>
                <w:sz w:val="24"/>
                <w:szCs w:val="24"/>
                <w:lang w:val="en-US" w:eastAsia="zh-CN"/>
              </w:rPr>
            </w:pPr>
          </w:p>
        </w:tc>
        <w:tc>
          <w:tcPr>
            <w:tcW w:w="720" w:type="dxa"/>
            <w:vAlign w:val="center"/>
          </w:tcPr>
          <w:p>
            <w:pPr>
              <w:bidi w:val="0"/>
              <w:jc w:val="center"/>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w:t>
            </w:r>
          </w:p>
        </w:tc>
        <w:tc>
          <w:tcPr>
            <w:tcW w:w="2700" w:type="dxa"/>
            <w:vAlign w:val="center"/>
          </w:tcPr>
          <w:p>
            <w:pPr>
              <w:bidi w:val="0"/>
              <w:jc w:val="both"/>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1.实现申请、审批全程网上办理。</w:t>
            </w:r>
          </w:p>
          <w:p>
            <w:pPr>
              <w:bidi w:val="0"/>
              <w:jc w:val="both"/>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2.将审批时限由60个工作日压减至40个工作日。</w:t>
            </w:r>
          </w:p>
        </w:tc>
        <w:tc>
          <w:tcPr>
            <w:tcW w:w="3120" w:type="dxa"/>
            <w:vAlign w:val="center"/>
          </w:tcPr>
          <w:p>
            <w:pPr>
              <w:bidi w:val="0"/>
              <w:jc w:val="both"/>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1.开展“双随机、一公开”监管，发现违法违规行为要依法严查并公开结果。</w:t>
            </w:r>
          </w:p>
          <w:p>
            <w:pPr>
              <w:bidi w:val="0"/>
              <w:jc w:val="both"/>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2.加强信用监管，依法向社会公布第一类非药品类易制毒化学品生产企业信用状况，依法依规对失信主体开展失信惩戒。</w:t>
            </w:r>
          </w:p>
        </w:tc>
        <w:tc>
          <w:tcPr>
            <w:tcW w:w="990" w:type="dxa"/>
            <w:vAlign w:val="center"/>
          </w:tcPr>
          <w:p>
            <w:pPr>
              <w:bidi w:val="0"/>
              <w:jc w:val="both"/>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在全区范围内按“第一类非药品类易制毒化学品生产许可”实施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00" w:type="dxa"/>
            <w:vAlign w:val="center"/>
          </w:tcPr>
          <w:p>
            <w:pPr>
              <w:bidi w:val="0"/>
              <w:jc w:val="center"/>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7</w:t>
            </w:r>
          </w:p>
        </w:tc>
        <w:tc>
          <w:tcPr>
            <w:tcW w:w="825" w:type="dxa"/>
            <w:vAlign w:val="center"/>
          </w:tcPr>
          <w:p>
            <w:pPr>
              <w:bidi w:val="0"/>
              <w:jc w:val="both"/>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自治区应急厅</w:t>
            </w:r>
          </w:p>
        </w:tc>
        <w:tc>
          <w:tcPr>
            <w:tcW w:w="990" w:type="dxa"/>
            <w:vAlign w:val="center"/>
          </w:tcPr>
          <w:p>
            <w:pPr>
              <w:bidi w:val="0"/>
              <w:jc w:val="both"/>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第一类非药品类易制毒化学品经营许可证核发</w:t>
            </w:r>
          </w:p>
        </w:tc>
        <w:tc>
          <w:tcPr>
            <w:tcW w:w="930" w:type="dxa"/>
            <w:vAlign w:val="center"/>
          </w:tcPr>
          <w:p>
            <w:pPr>
              <w:bidi w:val="0"/>
              <w:jc w:val="both"/>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非药品类易制毒化学品经营许可证</w:t>
            </w:r>
          </w:p>
        </w:tc>
        <w:tc>
          <w:tcPr>
            <w:tcW w:w="1095" w:type="dxa"/>
            <w:vAlign w:val="center"/>
          </w:tcPr>
          <w:p>
            <w:pPr>
              <w:bidi w:val="0"/>
              <w:jc w:val="both"/>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《易制毒化学品管理条例》</w:t>
            </w:r>
          </w:p>
        </w:tc>
        <w:tc>
          <w:tcPr>
            <w:tcW w:w="870" w:type="dxa"/>
            <w:vAlign w:val="center"/>
          </w:tcPr>
          <w:p>
            <w:pPr>
              <w:bidi w:val="0"/>
              <w:jc w:val="both"/>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自治区应急厅</w:t>
            </w:r>
          </w:p>
        </w:tc>
        <w:tc>
          <w:tcPr>
            <w:tcW w:w="705" w:type="dxa"/>
            <w:vAlign w:val="center"/>
          </w:tcPr>
          <w:p>
            <w:pPr>
              <w:bidi w:val="0"/>
              <w:jc w:val="both"/>
              <w:rPr>
                <w:rFonts w:hint="default" w:ascii="Times New Roman" w:hAnsi="Times New Roman" w:eastAsia="仿宋" w:cs="Times New Roman"/>
                <w:sz w:val="24"/>
                <w:szCs w:val="24"/>
                <w:lang w:val="en-US" w:eastAsia="zh-CN"/>
              </w:rPr>
            </w:pPr>
          </w:p>
        </w:tc>
        <w:tc>
          <w:tcPr>
            <w:tcW w:w="870" w:type="dxa"/>
            <w:vAlign w:val="center"/>
          </w:tcPr>
          <w:p>
            <w:pPr>
              <w:bidi w:val="0"/>
              <w:jc w:val="both"/>
              <w:rPr>
                <w:rFonts w:hint="default" w:ascii="Times New Roman" w:hAnsi="Times New Roman" w:eastAsia="仿宋" w:cs="Times New Roman"/>
                <w:sz w:val="24"/>
                <w:szCs w:val="24"/>
                <w:lang w:val="en-US" w:eastAsia="zh-CN"/>
              </w:rPr>
            </w:pPr>
          </w:p>
        </w:tc>
        <w:tc>
          <w:tcPr>
            <w:tcW w:w="720" w:type="dxa"/>
            <w:vAlign w:val="center"/>
          </w:tcPr>
          <w:p>
            <w:pPr>
              <w:bidi w:val="0"/>
              <w:jc w:val="both"/>
              <w:rPr>
                <w:rFonts w:hint="default" w:ascii="Times New Roman" w:hAnsi="Times New Roman" w:eastAsia="仿宋" w:cs="Times New Roman"/>
                <w:sz w:val="24"/>
                <w:szCs w:val="24"/>
                <w:lang w:val="en-US" w:eastAsia="zh-CN"/>
              </w:rPr>
            </w:pPr>
          </w:p>
        </w:tc>
        <w:tc>
          <w:tcPr>
            <w:tcW w:w="720" w:type="dxa"/>
            <w:vAlign w:val="center"/>
          </w:tcPr>
          <w:p>
            <w:pPr>
              <w:bidi w:val="0"/>
              <w:jc w:val="center"/>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w:t>
            </w:r>
          </w:p>
        </w:tc>
        <w:tc>
          <w:tcPr>
            <w:tcW w:w="2700" w:type="dxa"/>
            <w:vAlign w:val="center"/>
          </w:tcPr>
          <w:p>
            <w:pPr>
              <w:bidi w:val="0"/>
              <w:jc w:val="both"/>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1.实现申请、审批全程网上办理。</w:t>
            </w:r>
          </w:p>
          <w:p>
            <w:pPr>
              <w:bidi w:val="0"/>
              <w:jc w:val="both"/>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2.将审批时限由30个工作日压减至20个工作日。</w:t>
            </w:r>
          </w:p>
        </w:tc>
        <w:tc>
          <w:tcPr>
            <w:tcW w:w="3120" w:type="dxa"/>
            <w:vAlign w:val="center"/>
          </w:tcPr>
          <w:p>
            <w:pPr>
              <w:bidi w:val="0"/>
              <w:jc w:val="both"/>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1.开展“双随机、一公开”监管，发现违法违规行为要依法严查并公开结果。</w:t>
            </w:r>
          </w:p>
          <w:p>
            <w:pPr>
              <w:bidi w:val="0"/>
              <w:jc w:val="both"/>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2.加强信用监管，依法向社会公布第一类非药品类易制毒化学品经营企业信用状况，依法依规对失信主体开展失信惩戒。</w:t>
            </w:r>
          </w:p>
        </w:tc>
        <w:tc>
          <w:tcPr>
            <w:tcW w:w="990" w:type="dxa"/>
            <w:vAlign w:val="center"/>
          </w:tcPr>
          <w:p>
            <w:pPr>
              <w:bidi w:val="0"/>
              <w:jc w:val="both"/>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在全区范围内按“第一类非药品类易制毒化学品经营许可”实施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00" w:type="dxa"/>
            <w:vAlign w:val="center"/>
          </w:tcPr>
          <w:p>
            <w:pPr>
              <w:bidi w:val="0"/>
              <w:jc w:val="center"/>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8</w:t>
            </w:r>
          </w:p>
        </w:tc>
        <w:tc>
          <w:tcPr>
            <w:tcW w:w="825" w:type="dxa"/>
            <w:vAlign w:val="center"/>
          </w:tcPr>
          <w:p>
            <w:pPr>
              <w:bidi w:val="0"/>
              <w:jc w:val="both"/>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自治区应急厅</w:t>
            </w:r>
          </w:p>
        </w:tc>
        <w:tc>
          <w:tcPr>
            <w:tcW w:w="990" w:type="dxa"/>
            <w:vAlign w:val="center"/>
          </w:tcPr>
          <w:p>
            <w:pPr>
              <w:bidi w:val="0"/>
              <w:jc w:val="both"/>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危险化学品生产企业安全生产许可证核发</w:t>
            </w:r>
          </w:p>
        </w:tc>
        <w:tc>
          <w:tcPr>
            <w:tcW w:w="930" w:type="dxa"/>
            <w:vAlign w:val="center"/>
          </w:tcPr>
          <w:p>
            <w:pPr>
              <w:bidi w:val="0"/>
              <w:jc w:val="both"/>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安全生产许可证（危险化学品）</w:t>
            </w:r>
          </w:p>
        </w:tc>
        <w:tc>
          <w:tcPr>
            <w:tcW w:w="1095" w:type="dxa"/>
            <w:vAlign w:val="center"/>
          </w:tcPr>
          <w:p>
            <w:pPr>
              <w:bidi w:val="0"/>
              <w:jc w:val="both"/>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《危险化学品安全管理条例》</w:t>
            </w:r>
          </w:p>
        </w:tc>
        <w:tc>
          <w:tcPr>
            <w:tcW w:w="870" w:type="dxa"/>
            <w:vAlign w:val="center"/>
          </w:tcPr>
          <w:p>
            <w:pPr>
              <w:bidi w:val="0"/>
              <w:jc w:val="both"/>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自治区、设区的市、县级应急管理部门</w:t>
            </w:r>
          </w:p>
        </w:tc>
        <w:tc>
          <w:tcPr>
            <w:tcW w:w="705" w:type="dxa"/>
            <w:vAlign w:val="center"/>
          </w:tcPr>
          <w:p>
            <w:pPr>
              <w:bidi w:val="0"/>
              <w:jc w:val="both"/>
              <w:rPr>
                <w:rFonts w:hint="default" w:ascii="Times New Roman" w:hAnsi="Times New Roman" w:eastAsia="仿宋" w:cs="Times New Roman"/>
                <w:sz w:val="24"/>
                <w:szCs w:val="24"/>
                <w:lang w:val="en-US" w:eastAsia="zh-CN"/>
              </w:rPr>
            </w:pPr>
          </w:p>
        </w:tc>
        <w:tc>
          <w:tcPr>
            <w:tcW w:w="870" w:type="dxa"/>
            <w:vAlign w:val="center"/>
          </w:tcPr>
          <w:p>
            <w:pPr>
              <w:bidi w:val="0"/>
              <w:jc w:val="both"/>
              <w:rPr>
                <w:rFonts w:hint="default" w:ascii="Times New Roman" w:hAnsi="Times New Roman" w:eastAsia="仿宋" w:cs="Times New Roman"/>
                <w:sz w:val="24"/>
                <w:szCs w:val="24"/>
                <w:lang w:val="en-US" w:eastAsia="zh-CN"/>
              </w:rPr>
            </w:pPr>
          </w:p>
        </w:tc>
        <w:tc>
          <w:tcPr>
            <w:tcW w:w="720" w:type="dxa"/>
            <w:vAlign w:val="center"/>
          </w:tcPr>
          <w:p>
            <w:pPr>
              <w:bidi w:val="0"/>
              <w:jc w:val="both"/>
              <w:rPr>
                <w:rFonts w:hint="default" w:ascii="Times New Roman" w:hAnsi="Times New Roman" w:eastAsia="仿宋" w:cs="Times New Roman"/>
                <w:sz w:val="24"/>
                <w:szCs w:val="24"/>
                <w:lang w:val="en-US" w:eastAsia="zh-CN"/>
              </w:rPr>
            </w:pPr>
          </w:p>
        </w:tc>
        <w:tc>
          <w:tcPr>
            <w:tcW w:w="720" w:type="dxa"/>
            <w:vAlign w:val="center"/>
          </w:tcPr>
          <w:p>
            <w:pPr>
              <w:bidi w:val="0"/>
              <w:jc w:val="center"/>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w:t>
            </w:r>
          </w:p>
        </w:tc>
        <w:tc>
          <w:tcPr>
            <w:tcW w:w="2700" w:type="dxa"/>
            <w:vAlign w:val="center"/>
          </w:tcPr>
          <w:p>
            <w:pPr>
              <w:bidi w:val="0"/>
              <w:jc w:val="both"/>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1.实现申请、审批全程网上办理。</w:t>
            </w:r>
          </w:p>
          <w:p>
            <w:pPr>
              <w:bidi w:val="0"/>
              <w:jc w:val="both"/>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2.将审批时限由45个工作日压减至30个工作日。</w:t>
            </w:r>
          </w:p>
        </w:tc>
        <w:tc>
          <w:tcPr>
            <w:tcW w:w="3120" w:type="dxa"/>
            <w:vAlign w:val="center"/>
          </w:tcPr>
          <w:p>
            <w:pPr>
              <w:bidi w:val="0"/>
              <w:jc w:val="both"/>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1.开展“双随机、一公开”监管，发现违法违规行为要依法严查并公开结果。</w:t>
            </w:r>
          </w:p>
          <w:p>
            <w:pPr>
              <w:bidi w:val="0"/>
              <w:jc w:val="both"/>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2.加强信用监管，依法向社会公布危险化学品生产企业信用状况，依法依规对失信主体开展失信惩戒。</w:t>
            </w:r>
          </w:p>
        </w:tc>
        <w:tc>
          <w:tcPr>
            <w:tcW w:w="990" w:type="dxa"/>
            <w:vAlign w:val="center"/>
          </w:tcPr>
          <w:p>
            <w:pPr>
              <w:bidi w:val="0"/>
              <w:jc w:val="both"/>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在全区范围内按“危险化学品生产企业安全生产许可”实施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00" w:type="dxa"/>
            <w:vAlign w:val="center"/>
          </w:tcPr>
          <w:p>
            <w:pPr>
              <w:bidi w:val="0"/>
              <w:jc w:val="center"/>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9</w:t>
            </w:r>
          </w:p>
        </w:tc>
        <w:tc>
          <w:tcPr>
            <w:tcW w:w="825" w:type="dxa"/>
            <w:vAlign w:val="center"/>
          </w:tcPr>
          <w:p>
            <w:pPr>
              <w:bidi w:val="0"/>
              <w:jc w:val="both"/>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自治区应急厅</w:t>
            </w:r>
          </w:p>
        </w:tc>
        <w:tc>
          <w:tcPr>
            <w:tcW w:w="990" w:type="dxa"/>
            <w:vAlign w:val="center"/>
          </w:tcPr>
          <w:p>
            <w:pPr>
              <w:bidi w:val="0"/>
              <w:jc w:val="both"/>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危险化学品经营许可证核发</w:t>
            </w:r>
          </w:p>
        </w:tc>
        <w:tc>
          <w:tcPr>
            <w:tcW w:w="930" w:type="dxa"/>
            <w:vAlign w:val="center"/>
          </w:tcPr>
          <w:p>
            <w:pPr>
              <w:bidi w:val="0"/>
              <w:jc w:val="both"/>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危险化学品经营许可证</w:t>
            </w:r>
          </w:p>
        </w:tc>
        <w:tc>
          <w:tcPr>
            <w:tcW w:w="1095" w:type="dxa"/>
            <w:vAlign w:val="center"/>
          </w:tcPr>
          <w:p>
            <w:pPr>
              <w:bidi w:val="0"/>
              <w:jc w:val="both"/>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《危险化学品安全管理条例》</w:t>
            </w:r>
          </w:p>
        </w:tc>
        <w:tc>
          <w:tcPr>
            <w:tcW w:w="870" w:type="dxa"/>
            <w:vAlign w:val="center"/>
          </w:tcPr>
          <w:p>
            <w:pPr>
              <w:bidi w:val="0"/>
              <w:jc w:val="both"/>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设区的市、县级应急管理部门</w:t>
            </w:r>
          </w:p>
        </w:tc>
        <w:tc>
          <w:tcPr>
            <w:tcW w:w="705" w:type="dxa"/>
            <w:vAlign w:val="center"/>
          </w:tcPr>
          <w:p>
            <w:pPr>
              <w:bidi w:val="0"/>
              <w:jc w:val="both"/>
              <w:rPr>
                <w:rFonts w:hint="default" w:ascii="Times New Roman" w:hAnsi="Times New Roman" w:eastAsia="仿宋" w:cs="Times New Roman"/>
                <w:sz w:val="24"/>
                <w:szCs w:val="24"/>
                <w:lang w:val="en-US" w:eastAsia="zh-CN"/>
              </w:rPr>
            </w:pPr>
          </w:p>
        </w:tc>
        <w:tc>
          <w:tcPr>
            <w:tcW w:w="870" w:type="dxa"/>
            <w:vAlign w:val="center"/>
          </w:tcPr>
          <w:p>
            <w:pPr>
              <w:bidi w:val="0"/>
              <w:jc w:val="both"/>
              <w:rPr>
                <w:rFonts w:hint="default" w:ascii="Times New Roman" w:hAnsi="Times New Roman" w:eastAsia="仿宋" w:cs="Times New Roman"/>
                <w:sz w:val="24"/>
                <w:szCs w:val="24"/>
                <w:lang w:val="en-US" w:eastAsia="zh-CN"/>
              </w:rPr>
            </w:pPr>
          </w:p>
        </w:tc>
        <w:tc>
          <w:tcPr>
            <w:tcW w:w="720" w:type="dxa"/>
            <w:vAlign w:val="center"/>
          </w:tcPr>
          <w:p>
            <w:pPr>
              <w:bidi w:val="0"/>
              <w:jc w:val="both"/>
              <w:rPr>
                <w:rFonts w:hint="default" w:ascii="Times New Roman" w:hAnsi="Times New Roman" w:eastAsia="仿宋" w:cs="Times New Roman"/>
                <w:sz w:val="24"/>
                <w:szCs w:val="24"/>
                <w:lang w:val="en-US" w:eastAsia="zh-CN"/>
              </w:rPr>
            </w:pPr>
          </w:p>
        </w:tc>
        <w:tc>
          <w:tcPr>
            <w:tcW w:w="720" w:type="dxa"/>
            <w:vAlign w:val="center"/>
          </w:tcPr>
          <w:p>
            <w:pPr>
              <w:bidi w:val="0"/>
              <w:jc w:val="center"/>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w:t>
            </w:r>
          </w:p>
        </w:tc>
        <w:tc>
          <w:tcPr>
            <w:tcW w:w="2700" w:type="dxa"/>
            <w:vAlign w:val="center"/>
          </w:tcPr>
          <w:p>
            <w:pPr>
              <w:bidi w:val="0"/>
              <w:jc w:val="both"/>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1.实现申请、审批全程网上办理。</w:t>
            </w:r>
          </w:p>
          <w:p>
            <w:pPr>
              <w:bidi w:val="0"/>
              <w:jc w:val="both"/>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2.将审批时限由30个工作日压减至20个工作日。</w:t>
            </w:r>
          </w:p>
        </w:tc>
        <w:tc>
          <w:tcPr>
            <w:tcW w:w="3120" w:type="dxa"/>
            <w:vAlign w:val="center"/>
          </w:tcPr>
          <w:p>
            <w:pPr>
              <w:bidi w:val="0"/>
              <w:jc w:val="both"/>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1.开展“双随机、一公开”监管，发现违法违规行为要依法严查并公开结果。</w:t>
            </w:r>
          </w:p>
          <w:p>
            <w:pPr>
              <w:bidi w:val="0"/>
              <w:jc w:val="both"/>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2.加强信用监管，依法向社会公布危险化学品经营企业信用状况，依法依规对失信主体开展失信惩戒。</w:t>
            </w:r>
          </w:p>
        </w:tc>
        <w:tc>
          <w:tcPr>
            <w:tcW w:w="990" w:type="dxa"/>
            <w:vAlign w:val="center"/>
          </w:tcPr>
          <w:p>
            <w:pPr>
              <w:bidi w:val="0"/>
              <w:jc w:val="both"/>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在全区范围内按“危险化学品经营许可”实施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00" w:type="dxa"/>
            <w:vAlign w:val="center"/>
          </w:tcPr>
          <w:p>
            <w:pPr>
              <w:bidi w:val="0"/>
              <w:jc w:val="center"/>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10</w:t>
            </w:r>
          </w:p>
        </w:tc>
        <w:tc>
          <w:tcPr>
            <w:tcW w:w="825" w:type="dxa"/>
            <w:vAlign w:val="center"/>
          </w:tcPr>
          <w:p>
            <w:pPr>
              <w:bidi w:val="0"/>
              <w:jc w:val="both"/>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自治区应急厅</w:t>
            </w:r>
          </w:p>
        </w:tc>
        <w:tc>
          <w:tcPr>
            <w:tcW w:w="990" w:type="dxa"/>
            <w:vAlign w:val="center"/>
          </w:tcPr>
          <w:p>
            <w:pPr>
              <w:bidi w:val="0"/>
              <w:jc w:val="both"/>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危险化学品安全使用许可证核发</w:t>
            </w:r>
          </w:p>
        </w:tc>
        <w:tc>
          <w:tcPr>
            <w:tcW w:w="930" w:type="dxa"/>
            <w:vAlign w:val="center"/>
          </w:tcPr>
          <w:p>
            <w:pPr>
              <w:bidi w:val="0"/>
              <w:jc w:val="both"/>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危险化学品安全使用许可证</w:t>
            </w:r>
          </w:p>
        </w:tc>
        <w:tc>
          <w:tcPr>
            <w:tcW w:w="1095" w:type="dxa"/>
            <w:vAlign w:val="center"/>
          </w:tcPr>
          <w:p>
            <w:pPr>
              <w:bidi w:val="0"/>
              <w:jc w:val="both"/>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《危险化学品安全管理条例》</w:t>
            </w:r>
          </w:p>
        </w:tc>
        <w:tc>
          <w:tcPr>
            <w:tcW w:w="870" w:type="dxa"/>
            <w:vAlign w:val="center"/>
          </w:tcPr>
          <w:p>
            <w:pPr>
              <w:bidi w:val="0"/>
              <w:jc w:val="both"/>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设区的市应急管理部门</w:t>
            </w:r>
          </w:p>
        </w:tc>
        <w:tc>
          <w:tcPr>
            <w:tcW w:w="705" w:type="dxa"/>
            <w:vAlign w:val="center"/>
          </w:tcPr>
          <w:p>
            <w:pPr>
              <w:bidi w:val="0"/>
              <w:jc w:val="both"/>
              <w:rPr>
                <w:rFonts w:hint="default" w:ascii="Times New Roman" w:hAnsi="Times New Roman" w:eastAsia="仿宋" w:cs="Times New Roman"/>
                <w:sz w:val="24"/>
                <w:szCs w:val="24"/>
                <w:lang w:val="en-US" w:eastAsia="zh-CN"/>
              </w:rPr>
            </w:pPr>
          </w:p>
        </w:tc>
        <w:tc>
          <w:tcPr>
            <w:tcW w:w="870" w:type="dxa"/>
            <w:vAlign w:val="center"/>
          </w:tcPr>
          <w:p>
            <w:pPr>
              <w:bidi w:val="0"/>
              <w:jc w:val="both"/>
              <w:rPr>
                <w:rFonts w:hint="default" w:ascii="Times New Roman" w:hAnsi="Times New Roman" w:eastAsia="仿宋" w:cs="Times New Roman"/>
                <w:sz w:val="24"/>
                <w:szCs w:val="24"/>
                <w:lang w:val="en-US" w:eastAsia="zh-CN"/>
              </w:rPr>
            </w:pPr>
          </w:p>
        </w:tc>
        <w:tc>
          <w:tcPr>
            <w:tcW w:w="720" w:type="dxa"/>
            <w:vAlign w:val="center"/>
          </w:tcPr>
          <w:p>
            <w:pPr>
              <w:bidi w:val="0"/>
              <w:jc w:val="both"/>
              <w:rPr>
                <w:rFonts w:hint="default" w:ascii="Times New Roman" w:hAnsi="Times New Roman" w:eastAsia="仿宋" w:cs="Times New Roman"/>
                <w:sz w:val="24"/>
                <w:szCs w:val="24"/>
                <w:lang w:val="en-US" w:eastAsia="zh-CN"/>
              </w:rPr>
            </w:pPr>
          </w:p>
        </w:tc>
        <w:tc>
          <w:tcPr>
            <w:tcW w:w="720" w:type="dxa"/>
            <w:vAlign w:val="center"/>
          </w:tcPr>
          <w:p>
            <w:pPr>
              <w:bidi w:val="0"/>
              <w:jc w:val="center"/>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w:t>
            </w:r>
          </w:p>
        </w:tc>
        <w:tc>
          <w:tcPr>
            <w:tcW w:w="2700" w:type="dxa"/>
            <w:vAlign w:val="center"/>
          </w:tcPr>
          <w:p>
            <w:pPr>
              <w:bidi w:val="0"/>
              <w:jc w:val="both"/>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1.实现申请、审批全程网上办理。</w:t>
            </w:r>
          </w:p>
          <w:p>
            <w:pPr>
              <w:bidi w:val="0"/>
              <w:jc w:val="both"/>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2.将审批时限由45个工作日压减至30个工作日。</w:t>
            </w:r>
          </w:p>
        </w:tc>
        <w:tc>
          <w:tcPr>
            <w:tcW w:w="3120" w:type="dxa"/>
            <w:vAlign w:val="center"/>
          </w:tcPr>
          <w:p>
            <w:pPr>
              <w:bidi w:val="0"/>
              <w:jc w:val="both"/>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1.开展“双随机、一公开”监管，发现违法违规行为要依法严查并公开结果。</w:t>
            </w:r>
          </w:p>
          <w:p>
            <w:pPr>
              <w:bidi w:val="0"/>
              <w:jc w:val="both"/>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2.加强信用监管，依法向社会公布危险化学品安全使用企业信用状况，依法依规对失信主体开展失信惩戒。</w:t>
            </w:r>
          </w:p>
        </w:tc>
        <w:tc>
          <w:tcPr>
            <w:tcW w:w="990" w:type="dxa"/>
            <w:vAlign w:val="center"/>
          </w:tcPr>
          <w:p>
            <w:pPr>
              <w:bidi w:val="0"/>
              <w:jc w:val="both"/>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在全区范围内按“危险化学品安全使用许可”实施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00" w:type="dxa"/>
            <w:vAlign w:val="center"/>
          </w:tcPr>
          <w:p>
            <w:pPr>
              <w:bidi w:val="0"/>
              <w:jc w:val="center"/>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11</w:t>
            </w:r>
          </w:p>
        </w:tc>
        <w:tc>
          <w:tcPr>
            <w:tcW w:w="825" w:type="dxa"/>
            <w:vAlign w:val="center"/>
          </w:tcPr>
          <w:p>
            <w:pPr>
              <w:bidi w:val="0"/>
              <w:jc w:val="both"/>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自治区应急厅</w:t>
            </w:r>
          </w:p>
        </w:tc>
        <w:tc>
          <w:tcPr>
            <w:tcW w:w="990" w:type="dxa"/>
            <w:vAlign w:val="center"/>
          </w:tcPr>
          <w:p>
            <w:pPr>
              <w:bidi w:val="0"/>
              <w:jc w:val="both"/>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新建、改建 扩建、生产、储存危险化学品（包括使用长输管道输送危险化学品）建设项目安全条件审查</w:t>
            </w:r>
          </w:p>
        </w:tc>
        <w:tc>
          <w:tcPr>
            <w:tcW w:w="930" w:type="dxa"/>
            <w:vAlign w:val="center"/>
          </w:tcPr>
          <w:p>
            <w:pPr>
              <w:bidi w:val="0"/>
              <w:jc w:val="both"/>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危险化学品建设项目安全条件审查</w:t>
            </w:r>
          </w:p>
        </w:tc>
        <w:tc>
          <w:tcPr>
            <w:tcW w:w="1095" w:type="dxa"/>
            <w:vAlign w:val="center"/>
          </w:tcPr>
          <w:p>
            <w:pPr>
              <w:bidi w:val="0"/>
              <w:jc w:val="both"/>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《危险化学品安全管理条例》</w:t>
            </w:r>
          </w:p>
        </w:tc>
        <w:tc>
          <w:tcPr>
            <w:tcW w:w="870" w:type="dxa"/>
            <w:vAlign w:val="center"/>
          </w:tcPr>
          <w:p>
            <w:pPr>
              <w:bidi w:val="0"/>
              <w:jc w:val="both"/>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自治区、设区的市应急管理部门</w:t>
            </w:r>
          </w:p>
        </w:tc>
        <w:tc>
          <w:tcPr>
            <w:tcW w:w="705" w:type="dxa"/>
            <w:vAlign w:val="center"/>
          </w:tcPr>
          <w:p>
            <w:pPr>
              <w:bidi w:val="0"/>
              <w:jc w:val="both"/>
              <w:rPr>
                <w:rFonts w:hint="default" w:ascii="Times New Roman" w:hAnsi="Times New Roman" w:eastAsia="仿宋" w:cs="Times New Roman"/>
                <w:sz w:val="24"/>
                <w:szCs w:val="24"/>
                <w:lang w:val="en-US" w:eastAsia="zh-CN"/>
              </w:rPr>
            </w:pPr>
          </w:p>
        </w:tc>
        <w:tc>
          <w:tcPr>
            <w:tcW w:w="870" w:type="dxa"/>
            <w:vAlign w:val="center"/>
          </w:tcPr>
          <w:p>
            <w:pPr>
              <w:bidi w:val="0"/>
              <w:jc w:val="both"/>
              <w:rPr>
                <w:rFonts w:hint="default" w:ascii="Times New Roman" w:hAnsi="Times New Roman" w:eastAsia="仿宋" w:cs="Times New Roman"/>
                <w:sz w:val="24"/>
                <w:szCs w:val="24"/>
                <w:lang w:val="en-US" w:eastAsia="zh-CN"/>
              </w:rPr>
            </w:pPr>
          </w:p>
        </w:tc>
        <w:tc>
          <w:tcPr>
            <w:tcW w:w="720" w:type="dxa"/>
            <w:vAlign w:val="center"/>
          </w:tcPr>
          <w:p>
            <w:pPr>
              <w:bidi w:val="0"/>
              <w:jc w:val="both"/>
              <w:rPr>
                <w:rFonts w:hint="default" w:ascii="Times New Roman" w:hAnsi="Times New Roman" w:eastAsia="仿宋" w:cs="Times New Roman"/>
                <w:sz w:val="24"/>
                <w:szCs w:val="24"/>
                <w:lang w:val="en-US" w:eastAsia="zh-CN"/>
              </w:rPr>
            </w:pPr>
          </w:p>
        </w:tc>
        <w:tc>
          <w:tcPr>
            <w:tcW w:w="720" w:type="dxa"/>
            <w:vAlign w:val="center"/>
          </w:tcPr>
          <w:p>
            <w:pPr>
              <w:bidi w:val="0"/>
              <w:jc w:val="center"/>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w:t>
            </w:r>
          </w:p>
        </w:tc>
        <w:tc>
          <w:tcPr>
            <w:tcW w:w="2700" w:type="dxa"/>
            <w:vAlign w:val="center"/>
          </w:tcPr>
          <w:p>
            <w:pPr>
              <w:bidi w:val="0"/>
              <w:jc w:val="both"/>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1.实现申请、审批全程网上办理。</w:t>
            </w:r>
          </w:p>
          <w:p>
            <w:pPr>
              <w:bidi w:val="0"/>
              <w:jc w:val="both"/>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2.将审批时限由45个工作日压减至30个工作日。</w:t>
            </w:r>
          </w:p>
        </w:tc>
        <w:tc>
          <w:tcPr>
            <w:tcW w:w="3120" w:type="dxa"/>
            <w:vAlign w:val="center"/>
          </w:tcPr>
          <w:p>
            <w:pPr>
              <w:bidi w:val="0"/>
              <w:jc w:val="both"/>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1.开展“双随机、一公开”监管，发现违法违规行为要依法严查并公开结果。</w:t>
            </w:r>
          </w:p>
          <w:p>
            <w:pPr>
              <w:bidi w:val="0"/>
              <w:jc w:val="both"/>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2.加强信用监管，依法依规对失信主体开展失信惩戒。</w:t>
            </w:r>
          </w:p>
        </w:tc>
        <w:tc>
          <w:tcPr>
            <w:tcW w:w="990" w:type="dxa"/>
            <w:vAlign w:val="center"/>
          </w:tcPr>
          <w:p>
            <w:pPr>
              <w:bidi w:val="0"/>
              <w:jc w:val="both"/>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在全区范围内按“危险化学品生产、储存建设项目安全条件审查”实施</w:t>
            </w:r>
          </w:p>
        </w:tc>
      </w:tr>
    </w:tbl>
    <w:p>
      <w:pPr>
        <w:keepNext w:val="0"/>
        <w:keepLines w:val="0"/>
        <w:pageBreakBefore w:val="0"/>
        <w:widowControl w:val="0"/>
        <w:numPr>
          <w:ilvl w:val="0"/>
          <w:numId w:val="0"/>
        </w:numPr>
        <w:kinsoku/>
        <w:wordWrap/>
        <w:overflowPunct/>
        <w:topLinePunct w:val="0"/>
        <w:autoSpaceDE/>
        <w:autoSpaceDN/>
        <w:bidi w:val="0"/>
        <w:adjustRightInd/>
        <w:spacing w:line="600" w:lineRule="exact"/>
        <w:ind w:firstLine="0" w:firstLineChars="0"/>
        <w:jc w:val="left"/>
        <w:textAlignment w:val="auto"/>
        <w:outlineLvl w:val="9"/>
        <w:rPr>
          <w:rFonts w:hint="default" w:ascii="Times New Roman" w:hAnsi="Times New Roman" w:eastAsia="仿宋" w:cs="Times New Roman"/>
          <w:sz w:val="18"/>
          <w:szCs w:val="18"/>
          <w:lang w:val="en-US" w:eastAsia="zh-CN"/>
        </w:rPr>
      </w:pPr>
    </w:p>
    <w:p>
      <w:pPr>
        <w:keepNext w:val="0"/>
        <w:keepLines w:val="0"/>
        <w:pageBreakBefore w:val="0"/>
        <w:widowControl w:val="0"/>
        <w:numPr>
          <w:ilvl w:val="0"/>
          <w:numId w:val="0"/>
        </w:numPr>
        <w:kinsoku/>
        <w:wordWrap/>
        <w:overflowPunct/>
        <w:topLinePunct w:val="0"/>
        <w:autoSpaceDE/>
        <w:autoSpaceDN/>
        <w:bidi w:val="0"/>
        <w:adjustRightInd/>
        <w:spacing w:line="600" w:lineRule="exact"/>
        <w:jc w:val="left"/>
        <w:textAlignment w:val="auto"/>
        <w:outlineLvl w:val="9"/>
        <w:rPr>
          <w:rFonts w:hint="default" w:ascii="Times New Roman" w:hAnsi="Times New Roman" w:eastAsia="仿宋"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pacing w:line="600" w:lineRule="exact"/>
        <w:jc w:val="left"/>
        <w:textAlignment w:val="auto"/>
        <w:outlineLvl w:val="9"/>
        <w:rPr>
          <w:rFonts w:hint="default" w:ascii="Times New Roman" w:hAnsi="Times New Roman" w:eastAsia="仿宋"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pacing w:line="600" w:lineRule="exact"/>
        <w:jc w:val="left"/>
        <w:textAlignment w:val="auto"/>
        <w:outlineLvl w:val="9"/>
        <w:rPr>
          <w:rFonts w:hint="default" w:ascii="Times New Roman" w:hAnsi="Times New Roman" w:eastAsia="仿宋"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pacing w:line="600" w:lineRule="exact"/>
        <w:jc w:val="left"/>
        <w:textAlignment w:val="auto"/>
        <w:outlineLvl w:val="9"/>
        <w:rPr>
          <w:rFonts w:hint="default" w:ascii="Times New Roman" w:hAnsi="Times New Roman" w:eastAsia="仿宋"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pacing w:line="600" w:lineRule="exact"/>
        <w:jc w:val="left"/>
        <w:textAlignment w:val="auto"/>
        <w:outlineLvl w:val="9"/>
        <w:rPr>
          <w:rFonts w:hint="default" w:ascii="Times New Roman" w:hAnsi="Times New Roman" w:eastAsia="仿宋"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pacing w:line="600" w:lineRule="exact"/>
        <w:jc w:val="left"/>
        <w:textAlignment w:val="auto"/>
        <w:outlineLvl w:val="9"/>
        <w:rPr>
          <w:rFonts w:hint="default" w:ascii="Times New Roman" w:hAnsi="Times New Roman" w:eastAsia="仿宋" w:cs="Times New Roman"/>
          <w:sz w:val="32"/>
          <w:szCs w:val="32"/>
          <w:lang w:val="en-US" w:eastAsia="zh-CN"/>
        </w:rPr>
      </w:pPr>
    </w:p>
    <w:p>
      <w:pPr>
        <w:pStyle w:val="2"/>
        <w:rPr>
          <w:rFonts w:hint="default" w:ascii="Times New Roman" w:hAnsi="Times New Roman" w:eastAsia="仿宋" w:cs="Times New Roman"/>
          <w:sz w:val="32"/>
          <w:szCs w:val="32"/>
          <w:lang w:val="en-US" w:eastAsia="zh-CN"/>
        </w:rPr>
      </w:pPr>
    </w:p>
    <w:p>
      <w:pPr>
        <w:pStyle w:val="2"/>
        <w:rPr>
          <w:rFonts w:hint="default" w:ascii="Times New Roman" w:hAnsi="Times New Roman" w:eastAsia="仿宋"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pacing w:line="600" w:lineRule="exact"/>
        <w:jc w:val="left"/>
        <w:textAlignment w:val="auto"/>
        <w:outlineLvl w:val="9"/>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附件2</w:t>
      </w:r>
    </w:p>
    <w:p>
      <w:pPr>
        <w:keepNext w:val="0"/>
        <w:keepLines w:val="0"/>
        <w:pageBreakBefore w:val="0"/>
        <w:widowControl w:val="0"/>
        <w:numPr>
          <w:ilvl w:val="0"/>
          <w:numId w:val="0"/>
        </w:numPr>
        <w:kinsoku/>
        <w:wordWrap/>
        <w:overflowPunct/>
        <w:topLinePunct w:val="0"/>
        <w:autoSpaceDE/>
        <w:autoSpaceDN/>
        <w:bidi w:val="0"/>
        <w:adjustRightInd/>
        <w:spacing w:line="600" w:lineRule="exact"/>
        <w:jc w:val="center"/>
        <w:textAlignment w:val="auto"/>
        <w:outlineLvl w:val="9"/>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中央层面设定的涉企经营许可事项清单（2021年广西自贸试验区版）</w:t>
      </w:r>
    </w:p>
    <w:tbl>
      <w:tblPr>
        <w:tblStyle w:val="25"/>
        <w:tblW w:w="15135" w:type="dxa"/>
        <w:tblInd w:w="-4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
        <w:gridCol w:w="825"/>
        <w:gridCol w:w="990"/>
        <w:gridCol w:w="930"/>
        <w:gridCol w:w="1095"/>
        <w:gridCol w:w="870"/>
        <w:gridCol w:w="705"/>
        <w:gridCol w:w="825"/>
        <w:gridCol w:w="780"/>
        <w:gridCol w:w="720"/>
        <w:gridCol w:w="2685"/>
        <w:gridCol w:w="3120"/>
        <w:gridCol w:w="9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5" w:hRule="atLeast"/>
        </w:trPr>
        <w:tc>
          <w:tcPr>
            <w:tcW w:w="600" w:type="dxa"/>
            <w:vMerge w:val="restart"/>
            <w:vAlign w:val="center"/>
          </w:tcPr>
          <w:p>
            <w:pPr>
              <w:bidi w:val="0"/>
              <w:jc w:val="center"/>
              <w:rPr>
                <w:rFonts w:hint="default" w:ascii="Times New Roman" w:hAnsi="Times New Roman" w:eastAsia="黑体" w:cs="Times New Roman"/>
                <w:sz w:val="24"/>
                <w:szCs w:val="24"/>
                <w:lang w:val="en-US" w:eastAsia="zh-CN"/>
              </w:rPr>
            </w:pPr>
            <w:r>
              <w:rPr>
                <w:rFonts w:hint="default" w:ascii="Times New Roman" w:hAnsi="Times New Roman" w:eastAsia="黑体" w:cs="Times New Roman"/>
                <w:sz w:val="24"/>
                <w:szCs w:val="24"/>
                <w:lang w:val="en-US" w:eastAsia="zh-CN"/>
              </w:rPr>
              <w:t>序号</w:t>
            </w:r>
          </w:p>
        </w:tc>
        <w:tc>
          <w:tcPr>
            <w:tcW w:w="825" w:type="dxa"/>
            <w:vMerge w:val="restart"/>
            <w:vAlign w:val="center"/>
          </w:tcPr>
          <w:p>
            <w:pPr>
              <w:bidi w:val="0"/>
              <w:jc w:val="center"/>
              <w:rPr>
                <w:rFonts w:hint="default" w:ascii="Times New Roman" w:hAnsi="Times New Roman" w:eastAsia="黑体" w:cs="Times New Roman"/>
                <w:sz w:val="24"/>
                <w:szCs w:val="24"/>
                <w:lang w:val="en-US" w:eastAsia="zh-CN"/>
              </w:rPr>
            </w:pPr>
            <w:r>
              <w:rPr>
                <w:rFonts w:hint="default" w:ascii="Times New Roman" w:hAnsi="Times New Roman" w:eastAsia="黑体" w:cs="Times New Roman"/>
                <w:sz w:val="24"/>
                <w:szCs w:val="24"/>
                <w:lang w:val="en-US" w:eastAsia="zh-CN"/>
              </w:rPr>
              <w:t>主管部门</w:t>
            </w:r>
          </w:p>
        </w:tc>
        <w:tc>
          <w:tcPr>
            <w:tcW w:w="990" w:type="dxa"/>
            <w:vMerge w:val="restart"/>
            <w:vAlign w:val="center"/>
          </w:tcPr>
          <w:p>
            <w:pPr>
              <w:bidi w:val="0"/>
              <w:jc w:val="center"/>
              <w:rPr>
                <w:rFonts w:hint="default" w:ascii="Times New Roman" w:hAnsi="Times New Roman" w:eastAsia="黑体" w:cs="Times New Roman"/>
                <w:sz w:val="24"/>
                <w:szCs w:val="24"/>
                <w:lang w:val="en-US" w:eastAsia="zh-CN"/>
              </w:rPr>
            </w:pPr>
            <w:r>
              <w:rPr>
                <w:rFonts w:hint="default" w:ascii="Times New Roman" w:hAnsi="Times New Roman" w:eastAsia="黑体" w:cs="Times New Roman"/>
                <w:sz w:val="24"/>
                <w:szCs w:val="24"/>
                <w:lang w:val="en-US" w:eastAsia="zh-CN"/>
              </w:rPr>
              <w:t>改革事项</w:t>
            </w:r>
          </w:p>
        </w:tc>
        <w:tc>
          <w:tcPr>
            <w:tcW w:w="930" w:type="dxa"/>
            <w:vMerge w:val="restart"/>
            <w:vAlign w:val="center"/>
          </w:tcPr>
          <w:p>
            <w:pPr>
              <w:bidi w:val="0"/>
              <w:jc w:val="center"/>
              <w:rPr>
                <w:rFonts w:hint="default" w:ascii="Times New Roman" w:hAnsi="Times New Roman" w:eastAsia="黑体" w:cs="Times New Roman"/>
                <w:sz w:val="24"/>
                <w:szCs w:val="24"/>
                <w:lang w:val="en-US" w:eastAsia="zh-CN"/>
              </w:rPr>
            </w:pPr>
            <w:r>
              <w:rPr>
                <w:rFonts w:hint="default" w:ascii="Times New Roman" w:hAnsi="Times New Roman" w:eastAsia="黑体" w:cs="Times New Roman"/>
                <w:sz w:val="24"/>
                <w:szCs w:val="24"/>
                <w:lang w:val="en-US" w:eastAsia="zh-CN"/>
              </w:rPr>
              <w:t>许可证件名称</w:t>
            </w:r>
          </w:p>
        </w:tc>
        <w:tc>
          <w:tcPr>
            <w:tcW w:w="1095" w:type="dxa"/>
            <w:vMerge w:val="restart"/>
            <w:vAlign w:val="center"/>
          </w:tcPr>
          <w:p>
            <w:pPr>
              <w:bidi w:val="0"/>
              <w:jc w:val="center"/>
              <w:rPr>
                <w:rFonts w:hint="default" w:ascii="Times New Roman" w:hAnsi="Times New Roman" w:eastAsia="黑体" w:cs="Times New Roman"/>
                <w:sz w:val="24"/>
                <w:szCs w:val="24"/>
                <w:lang w:val="en-US" w:eastAsia="zh-CN"/>
              </w:rPr>
            </w:pPr>
            <w:r>
              <w:rPr>
                <w:rFonts w:hint="default" w:ascii="Times New Roman" w:hAnsi="Times New Roman" w:eastAsia="黑体" w:cs="Times New Roman"/>
                <w:sz w:val="24"/>
                <w:szCs w:val="24"/>
                <w:lang w:val="en-US" w:eastAsia="zh-CN"/>
              </w:rPr>
              <w:t>设定依据</w:t>
            </w:r>
          </w:p>
        </w:tc>
        <w:tc>
          <w:tcPr>
            <w:tcW w:w="870" w:type="dxa"/>
            <w:vMerge w:val="restart"/>
            <w:vAlign w:val="center"/>
          </w:tcPr>
          <w:p>
            <w:pPr>
              <w:bidi w:val="0"/>
              <w:jc w:val="center"/>
              <w:rPr>
                <w:rFonts w:hint="default" w:ascii="Times New Roman" w:hAnsi="Times New Roman" w:eastAsia="黑体" w:cs="Times New Roman"/>
                <w:sz w:val="24"/>
                <w:szCs w:val="24"/>
                <w:lang w:val="en-US" w:eastAsia="zh-CN"/>
              </w:rPr>
            </w:pPr>
            <w:r>
              <w:rPr>
                <w:rFonts w:hint="default" w:ascii="Times New Roman" w:hAnsi="Times New Roman" w:eastAsia="黑体" w:cs="Times New Roman"/>
                <w:sz w:val="24"/>
                <w:szCs w:val="24"/>
                <w:lang w:val="en-US" w:eastAsia="zh-CN"/>
              </w:rPr>
              <w:t>审批层级和部门</w:t>
            </w:r>
          </w:p>
        </w:tc>
        <w:tc>
          <w:tcPr>
            <w:tcW w:w="3030" w:type="dxa"/>
            <w:gridSpan w:val="4"/>
            <w:vAlign w:val="center"/>
          </w:tcPr>
          <w:p>
            <w:pPr>
              <w:bidi w:val="0"/>
              <w:jc w:val="center"/>
              <w:rPr>
                <w:rFonts w:hint="default" w:ascii="Times New Roman" w:hAnsi="Times New Roman" w:eastAsia="黑体" w:cs="Times New Roman"/>
                <w:sz w:val="24"/>
                <w:szCs w:val="24"/>
                <w:lang w:val="en-US" w:eastAsia="zh-CN"/>
              </w:rPr>
            </w:pPr>
            <w:r>
              <w:rPr>
                <w:rFonts w:hint="default" w:ascii="Times New Roman" w:hAnsi="Times New Roman" w:eastAsia="黑体" w:cs="Times New Roman"/>
                <w:sz w:val="24"/>
                <w:szCs w:val="24"/>
                <w:lang w:val="en-US" w:eastAsia="zh-CN"/>
              </w:rPr>
              <w:t>改革方式</w:t>
            </w:r>
          </w:p>
        </w:tc>
        <w:tc>
          <w:tcPr>
            <w:tcW w:w="2685" w:type="dxa"/>
            <w:vMerge w:val="restart"/>
            <w:vAlign w:val="center"/>
          </w:tcPr>
          <w:p>
            <w:pPr>
              <w:bidi w:val="0"/>
              <w:jc w:val="center"/>
              <w:rPr>
                <w:rFonts w:hint="default" w:ascii="Times New Roman" w:hAnsi="Times New Roman" w:eastAsia="黑体" w:cs="Times New Roman"/>
                <w:sz w:val="24"/>
                <w:szCs w:val="24"/>
                <w:lang w:val="en-US" w:eastAsia="zh-CN"/>
              </w:rPr>
            </w:pPr>
            <w:r>
              <w:rPr>
                <w:rFonts w:hint="default" w:ascii="Times New Roman" w:hAnsi="Times New Roman" w:eastAsia="黑体" w:cs="Times New Roman"/>
                <w:sz w:val="24"/>
                <w:szCs w:val="24"/>
                <w:lang w:val="en-US" w:eastAsia="zh-CN"/>
              </w:rPr>
              <w:t>具体改革措施</w:t>
            </w:r>
          </w:p>
        </w:tc>
        <w:tc>
          <w:tcPr>
            <w:tcW w:w="3120" w:type="dxa"/>
            <w:vMerge w:val="restart"/>
            <w:vAlign w:val="center"/>
          </w:tcPr>
          <w:p>
            <w:pPr>
              <w:bidi w:val="0"/>
              <w:jc w:val="center"/>
              <w:rPr>
                <w:rFonts w:hint="default" w:ascii="Times New Roman" w:hAnsi="Times New Roman" w:eastAsia="黑体" w:cs="Times New Roman"/>
                <w:sz w:val="24"/>
                <w:szCs w:val="24"/>
                <w:lang w:val="en-US" w:eastAsia="zh-CN"/>
              </w:rPr>
            </w:pPr>
            <w:r>
              <w:rPr>
                <w:rFonts w:hint="default" w:ascii="Times New Roman" w:hAnsi="Times New Roman" w:eastAsia="黑体" w:cs="Times New Roman"/>
                <w:sz w:val="24"/>
                <w:szCs w:val="24"/>
                <w:lang w:val="en-US" w:eastAsia="zh-CN"/>
              </w:rPr>
              <w:t>加强事中事后监管措施</w:t>
            </w:r>
          </w:p>
        </w:tc>
        <w:tc>
          <w:tcPr>
            <w:tcW w:w="990" w:type="dxa"/>
            <w:vMerge w:val="restart"/>
            <w:vAlign w:val="center"/>
          </w:tcPr>
          <w:p>
            <w:pPr>
              <w:bidi w:val="0"/>
              <w:jc w:val="center"/>
              <w:rPr>
                <w:rFonts w:hint="default" w:ascii="Times New Roman" w:hAnsi="Times New Roman" w:eastAsia="黑体" w:cs="Times New Roman"/>
                <w:sz w:val="24"/>
                <w:szCs w:val="24"/>
                <w:lang w:val="en-US" w:eastAsia="zh-CN"/>
              </w:rPr>
            </w:pPr>
            <w:r>
              <w:rPr>
                <w:rFonts w:hint="default" w:ascii="Times New Roman" w:hAnsi="Times New Roman" w:eastAsia="黑体" w:cs="Times New Roman"/>
                <w:sz w:val="24"/>
                <w:szCs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95" w:hRule="atLeast"/>
        </w:trPr>
        <w:tc>
          <w:tcPr>
            <w:tcW w:w="600" w:type="dxa"/>
            <w:vMerge w:val="continue"/>
            <w:vAlign w:val="center"/>
          </w:tcPr>
          <w:p>
            <w:pPr>
              <w:bidi w:val="0"/>
              <w:jc w:val="center"/>
              <w:rPr>
                <w:rFonts w:hint="default" w:ascii="Times New Roman" w:hAnsi="Times New Roman" w:eastAsia="黑体" w:cs="Times New Roman"/>
                <w:sz w:val="24"/>
                <w:szCs w:val="24"/>
                <w:lang w:val="en-US" w:eastAsia="zh-CN"/>
              </w:rPr>
            </w:pPr>
          </w:p>
        </w:tc>
        <w:tc>
          <w:tcPr>
            <w:tcW w:w="825" w:type="dxa"/>
            <w:vMerge w:val="continue"/>
            <w:vAlign w:val="center"/>
          </w:tcPr>
          <w:p>
            <w:pPr>
              <w:bidi w:val="0"/>
              <w:jc w:val="center"/>
              <w:rPr>
                <w:rFonts w:hint="default" w:ascii="Times New Roman" w:hAnsi="Times New Roman" w:eastAsia="黑体" w:cs="Times New Roman"/>
                <w:sz w:val="24"/>
                <w:szCs w:val="24"/>
                <w:lang w:val="en-US" w:eastAsia="zh-CN"/>
              </w:rPr>
            </w:pPr>
          </w:p>
        </w:tc>
        <w:tc>
          <w:tcPr>
            <w:tcW w:w="990" w:type="dxa"/>
            <w:vMerge w:val="continue"/>
            <w:vAlign w:val="center"/>
          </w:tcPr>
          <w:p>
            <w:pPr>
              <w:bidi w:val="0"/>
              <w:jc w:val="center"/>
              <w:rPr>
                <w:rFonts w:hint="default" w:ascii="Times New Roman" w:hAnsi="Times New Roman" w:eastAsia="黑体" w:cs="Times New Roman"/>
                <w:sz w:val="24"/>
                <w:szCs w:val="24"/>
                <w:lang w:val="en-US" w:eastAsia="zh-CN"/>
              </w:rPr>
            </w:pPr>
          </w:p>
        </w:tc>
        <w:tc>
          <w:tcPr>
            <w:tcW w:w="930" w:type="dxa"/>
            <w:vMerge w:val="continue"/>
            <w:vAlign w:val="center"/>
          </w:tcPr>
          <w:p>
            <w:pPr>
              <w:bidi w:val="0"/>
              <w:jc w:val="center"/>
              <w:rPr>
                <w:rFonts w:hint="default" w:ascii="Times New Roman" w:hAnsi="Times New Roman" w:eastAsia="黑体" w:cs="Times New Roman"/>
                <w:sz w:val="24"/>
                <w:szCs w:val="24"/>
                <w:lang w:val="en-US" w:eastAsia="zh-CN"/>
              </w:rPr>
            </w:pPr>
          </w:p>
        </w:tc>
        <w:tc>
          <w:tcPr>
            <w:tcW w:w="1095" w:type="dxa"/>
            <w:vMerge w:val="continue"/>
            <w:vAlign w:val="center"/>
          </w:tcPr>
          <w:p>
            <w:pPr>
              <w:bidi w:val="0"/>
              <w:jc w:val="center"/>
              <w:rPr>
                <w:rFonts w:hint="default" w:ascii="Times New Roman" w:hAnsi="Times New Roman" w:eastAsia="黑体" w:cs="Times New Roman"/>
                <w:sz w:val="24"/>
                <w:szCs w:val="24"/>
                <w:lang w:val="en-US" w:eastAsia="zh-CN"/>
              </w:rPr>
            </w:pPr>
          </w:p>
        </w:tc>
        <w:tc>
          <w:tcPr>
            <w:tcW w:w="870" w:type="dxa"/>
            <w:vMerge w:val="continue"/>
            <w:vAlign w:val="center"/>
          </w:tcPr>
          <w:p>
            <w:pPr>
              <w:bidi w:val="0"/>
              <w:jc w:val="center"/>
              <w:rPr>
                <w:rFonts w:hint="default" w:ascii="Times New Roman" w:hAnsi="Times New Roman" w:eastAsia="黑体" w:cs="Times New Roman"/>
                <w:sz w:val="24"/>
                <w:szCs w:val="24"/>
                <w:lang w:val="en-US" w:eastAsia="zh-CN"/>
              </w:rPr>
            </w:pPr>
          </w:p>
        </w:tc>
        <w:tc>
          <w:tcPr>
            <w:tcW w:w="705" w:type="dxa"/>
            <w:vAlign w:val="center"/>
          </w:tcPr>
          <w:p>
            <w:pPr>
              <w:bidi w:val="0"/>
              <w:jc w:val="center"/>
              <w:rPr>
                <w:rFonts w:hint="default" w:ascii="Times New Roman" w:hAnsi="Times New Roman" w:eastAsia="黑体" w:cs="Times New Roman"/>
                <w:sz w:val="24"/>
                <w:szCs w:val="24"/>
                <w:lang w:val="en-US" w:eastAsia="zh-CN"/>
              </w:rPr>
            </w:pPr>
            <w:r>
              <w:rPr>
                <w:rFonts w:hint="default" w:ascii="Times New Roman" w:hAnsi="Times New Roman" w:eastAsia="黑体" w:cs="Times New Roman"/>
                <w:sz w:val="24"/>
                <w:szCs w:val="24"/>
                <w:lang w:val="en-US" w:eastAsia="zh-CN"/>
              </w:rPr>
              <w:t>直接取消审批</w:t>
            </w:r>
          </w:p>
        </w:tc>
        <w:tc>
          <w:tcPr>
            <w:tcW w:w="825" w:type="dxa"/>
            <w:vAlign w:val="center"/>
          </w:tcPr>
          <w:p>
            <w:pPr>
              <w:bidi w:val="0"/>
              <w:jc w:val="center"/>
              <w:rPr>
                <w:rFonts w:hint="default" w:ascii="Times New Roman" w:hAnsi="Times New Roman" w:eastAsia="黑体" w:cs="Times New Roman"/>
                <w:sz w:val="24"/>
                <w:szCs w:val="24"/>
                <w:lang w:val="en-US" w:eastAsia="zh-CN"/>
              </w:rPr>
            </w:pPr>
            <w:r>
              <w:rPr>
                <w:rFonts w:hint="default" w:ascii="Times New Roman" w:hAnsi="Times New Roman" w:eastAsia="黑体" w:cs="Times New Roman"/>
                <w:sz w:val="24"/>
                <w:szCs w:val="24"/>
                <w:lang w:val="en-US" w:eastAsia="zh-CN"/>
              </w:rPr>
              <w:t>审批改为备案</w:t>
            </w:r>
          </w:p>
        </w:tc>
        <w:tc>
          <w:tcPr>
            <w:tcW w:w="780" w:type="dxa"/>
            <w:vAlign w:val="center"/>
          </w:tcPr>
          <w:p>
            <w:pPr>
              <w:bidi w:val="0"/>
              <w:jc w:val="center"/>
              <w:rPr>
                <w:rFonts w:hint="default" w:ascii="Times New Roman" w:hAnsi="Times New Roman" w:eastAsia="黑体" w:cs="Times New Roman"/>
                <w:sz w:val="24"/>
                <w:szCs w:val="24"/>
                <w:lang w:val="en-US" w:eastAsia="zh-CN"/>
              </w:rPr>
            </w:pPr>
            <w:r>
              <w:rPr>
                <w:rFonts w:hint="default" w:ascii="Times New Roman" w:hAnsi="Times New Roman" w:eastAsia="黑体" w:cs="Times New Roman"/>
                <w:sz w:val="24"/>
                <w:szCs w:val="24"/>
                <w:lang w:val="en-US" w:eastAsia="zh-CN"/>
              </w:rPr>
              <w:t>实行告知承诺</w:t>
            </w:r>
          </w:p>
        </w:tc>
        <w:tc>
          <w:tcPr>
            <w:tcW w:w="720" w:type="dxa"/>
            <w:vAlign w:val="center"/>
          </w:tcPr>
          <w:p>
            <w:pPr>
              <w:bidi w:val="0"/>
              <w:jc w:val="center"/>
              <w:rPr>
                <w:rFonts w:hint="default" w:ascii="Times New Roman" w:hAnsi="Times New Roman" w:eastAsia="黑体" w:cs="Times New Roman"/>
                <w:sz w:val="24"/>
                <w:szCs w:val="24"/>
                <w:lang w:val="en-US" w:eastAsia="zh-CN"/>
              </w:rPr>
            </w:pPr>
            <w:r>
              <w:rPr>
                <w:rFonts w:hint="default" w:ascii="Times New Roman" w:hAnsi="Times New Roman" w:eastAsia="黑体" w:cs="Times New Roman"/>
                <w:sz w:val="24"/>
                <w:szCs w:val="24"/>
                <w:lang w:val="en-US" w:eastAsia="zh-CN"/>
              </w:rPr>
              <w:t>优化审批服务</w:t>
            </w:r>
          </w:p>
        </w:tc>
        <w:tc>
          <w:tcPr>
            <w:tcW w:w="2685" w:type="dxa"/>
            <w:vMerge w:val="continue"/>
          </w:tcPr>
          <w:p>
            <w:pPr>
              <w:bidi w:val="0"/>
              <w:rPr>
                <w:rFonts w:hint="default" w:ascii="Times New Roman" w:hAnsi="Times New Roman" w:eastAsia="仿宋" w:cs="Times New Roman"/>
                <w:sz w:val="24"/>
                <w:szCs w:val="24"/>
                <w:lang w:val="en-US" w:eastAsia="zh-CN"/>
              </w:rPr>
            </w:pPr>
          </w:p>
        </w:tc>
        <w:tc>
          <w:tcPr>
            <w:tcW w:w="3120" w:type="dxa"/>
            <w:vMerge w:val="continue"/>
          </w:tcPr>
          <w:p>
            <w:pPr>
              <w:bidi w:val="0"/>
              <w:rPr>
                <w:rFonts w:hint="default" w:ascii="Times New Roman" w:hAnsi="Times New Roman" w:eastAsia="仿宋" w:cs="Times New Roman"/>
                <w:sz w:val="24"/>
                <w:szCs w:val="24"/>
                <w:lang w:val="en-US" w:eastAsia="zh-CN"/>
              </w:rPr>
            </w:pPr>
          </w:p>
        </w:tc>
        <w:tc>
          <w:tcPr>
            <w:tcW w:w="990" w:type="dxa"/>
            <w:vMerge w:val="continue"/>
          </w:tcPr>
          <w:p>
            <w:pPr>
              <w:bidi w:val="0"/>
              <w:rPr>
                <w:rFonts w:hint="default" w:ascii="Times New Roman" w:hAnsi="Times New Roman" w:eastAsia="仿宋" w:cs="Times New Roman"/>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00" w:hRule="atLeast"/>
        </w:trPr>
        <w:tc>
          <w:tcPr>
            <w:tcW w:w="600" w:type="dxa"/>
            <w:vAlign w:val="center"/>
          </w:tcPr>
          <w:p>
            <w:pPr>
              <w:bidi w:val="0"/>
              <w:jc w:val="center"/>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1</w:t>
            </w:r>
          </w:p>
        </w:tc>
        <w:tc>
          <w:tcPr>
            <w:tcW w:w="825" w:type="dxa"/>
            <w:vAlign w:val="center"/>
          </w:tcPr>
          <w:p>
            <w:pPr>
              <w:bidi w:val="0"/>
              <w:jc w:val="both"/>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自治区应急厅</w:t>
            </w:r>
          </w:p>
        </w:tc>
        <w:tc>
          <w:tcPr>
            <w:tcW w:w="990" w:type="dxa"/>
            <w:vAlign w:val="center"/>
          </w:tcPr>
          <w:p>
            <w:pPr>
              <w:bidi w:val="0"/>
              <w:jc w:val="both"/>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危险化学品经营（无储存）许可证核发</w:t>
            </w:r>
          </w:p>
        </w:tc>
        <w:tc>
          <w:tcPr>
            <w:tcW w:w="930" w:type="dxa"/>
            <w:vAlign w:val="center"/>
          </w:tcPr>
          <w:p>
            <w:pPr>
              <w:bidi w:val="0"/>
              <w:jc w:val="both"/>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危险化学品经营许可证</w:t>
            </w:r>
          </w:p>
        </w:tc>
        <w:tc>
          <w:tcPr>
            <w:tcW w:w="1095" w:type="dxa"/>
            <w:vAlign w:val="center"/>
          </w:tcPr>
          <w:p>
            <w:pPr>
              <w:bidi w:val="0"/>
              <w:jc w:val="both"/>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《危险化学品安全管理条例》</w:t>
            </w:r>
          </w:p>
        </w:tc>
        <w:tc>
          <w:tcPr>
            <w:tcW w:w="870" w:type="dxa"/>
            <w:vAlign w:val="center"/>
          </w:tcPr>
          <w:p>
            <w:pPr>
              <w:bidi w:val="0"/>
              <w:jc w:val="both"/>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广西自贸试验区南宁、钦州、崇左片区</w:t>
            </w:r>
          </w:p>
        </w:tc>
        <w:tc>
          <w:tcPr>
            <w:tcW w:w="705" w:type="dxa"/>
            <w:vAlign w:val="center"/>
          </w:tcPr>
          <w:p>
            <w:pPr>
              <w:bidi w:val="0"/>
              <w:jc w:val="both"/>
              <w:rPr>
                <w:rFonts w:hint="default" w:ascii="Times New Roman" w:hAnsi="Times New Roman" w:eastAsia="仿宋" w:cs="Times New Roman"/>
                <w:sz w:val="24"/>
                <w:szCs w:val="24"/>
                <w:lang w:val="en-US" w:eastAsia="zh-CN"/>
              </w:rPr>
            </w:pPr>
          </w:p>
        </w:tc>
        <w:tc>
          <w:tcPr>
            <w:tcW w:w="825" w:type="dxa"/>
            <w:vAlign w:val="center"/>
          </w:tcPr>
          <w:p>
            <w:pPr>
              <w:bidi w:val="0"/>
              <w:jc w:val="both"/>
              <w:rPr>
                <w:rFonts w:hint="default" w:ascii="Times New Roman" w:hAnsi="Times New Roman" w:eastAsia="仿宋" w:cs="Times New Roman"/>
                <w:sz w:val="24"/>
                <w:szCs w:val="24"/>
                <w:lang w:val="en-US" w:eastAsia="zh-CN"/>
              </w:rPr>
            </w:pPr>
          </w:p>
        </w:tc>
        <w:tc>
          <w:tcPr>
            <w:tcW w:w="780" w:type="dxa"/>
            <w:vAlign w:val="center"/>
          </w:tcPr>
          <w:p>
            <w:pPr>
              <w:bidi w:val="0"/>
              <w:jc w:val="center"/>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w:t>
            </w:r>
          </w:p>
        </w:tc>
        <w:tc>
          <w:tcPr>
            <w:tcW w:w="720" w:type="dxa"/>
            <w:vAlign w:val="center"/>
          </w:tcPr>
          <w:p>
            <w:pPr>
              <w:bidi w:val="0"/>
              <w:jc w:val="both"/>
              <w:rPr>
                <w:rFonts w:hint="default" w:ascii="Times New Roman" w:hAnsi="Times New Roman" w:eastAsia="仿宋" w:cs="Times New Roman"/>
                <w:sz w:val="24"/>
                <w:szCs w:val="24"/>
                <w:lang w:val="en-US" w:eastAsia="zh-CN"/>
              </w:rPr>
            </w:pPr>
          </w:p>
        </w:tc>
        <w:tc>
          <w:tcPr>
            <w:tcW w:w="2685" w:type="dxa"/>
            <w:vAlign w:val="center"/>
          </w:tcPr>
          <w:p>
            <w:pPr>
              <w:bidi w:val="0"/>
              <w:jc w:val="both"/>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制作并公布告知承诺书格式文本，一次性告知申请人许可条件和所需材料。对申请人自愿承诺符合条件并按要求提交材料的，当场作出许可决定</w:t>
            </w:r>
          </w:p>
        </w:tc>
        <w:tc>
          <w:tcPr>
            <w:tcW w:w="3120" w:type="dxa"/>
            <w:vAlign w:val="center"/>
          </w:tcPr>
          <w:p>
            <w:pPr>
              <w:bidi w:val="0"/>
              <w:jc w:val="both"/>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1.开展“双随机、一公开”监管和信用监管，发现违法违规行为依法查处并公开结果。2.加强信用监管，依法向社会公布危险化学品经营企业信用状况，依法依规对失信主体开展失信惩戒。</w:t>
            </w:r>
          </w:p>
        </w:tc>
        <w:tc>
          <w:tcPr>
            <w:tcW w:w="990" w:type="dxa"/>
            <w:vAlign w:val="center"/>
          </w:tcPr>
          <w:p>
            <w:pPr>
              <w:bidi w:val="0"/>
              <w:jc w:val="both"/>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广西自贸区南宁、钦州、崇左片区实施</w:t>
            </w:r>
          </w:p>
        </w:tc>
      </w:tr>
    </w:tbl>
    <w:p>
      <w:pPr>
        <w:keepNext w:val="0"/>
        <w:keepLines w:val="0"/>
        <w:pageBreakBefore w:val="0"/>
        <w:widowControl w:val="0"/>
        <w:numPr>
          <w:ilvl w:val="0"/>
          <w:numId w:val="0"/>
        </w:numPr>
        <w:kinsoku/>
        <w:wordWrap/>
        <w:overflowPunct/>
        <w:topLinePunct w:val="0"/>
        <w:autoSpaceDE/>
        <w:autoSpaceDN/>
        <w:bidi w:val="0"/>
        <w:adjustRightInd/>
        <w:spacing w:line="600" w:lineRule="exact"/>
        <w:jc w:val="left"/>
        <w:textAlignment w:val="auto"/>
        <w:outlineLvl w:val="9"/>
        <w:rPr>
          <w:rFonts w:hint="default" w:ascii="Times New Roman" w:hAnsi="Times New Roman" w:eastAsia="仿宋"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pacing w:line="600" w:lineRule="exact"/>
        <w:jc w:val="left"/>
        <w:textAlignment w:val="auto"/>
        <w:outlineLvl w:val="9"/>
        <w:rPr>
          <w:rFonts w:hint="default" w:ascii="Times New Roman" w:hAnsi="Times New Roman" w:eastAsia="仿宋"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pacing w:line="600" w:lineRule="exact"/>
        <w:jc w:val="left"/>
        <w:textAlignment w:val="auto"/>
        <w:outlineLvl w:val="9"/>
        <w:rPr>
          <w:rFonts w:hint="default" w:ascii="Times New Roman" w:hAnsi="Times New Roman" w:eastAsia="黑体" w:cs="Times New Roman"/>
          <w:sz w:val="36"/>
          <w:szCs w:val="36"/>
          <w:lang w:val="en-US" w:eastAsia="zh-CN"/>
        </w:rPr>
      </w:pPr>
      <w:r>
        <w:rPr>
          <w:rFonts w:hint="default" w:ascii="Times New Roman" w:hAnsi="Times New Roman" w:eastAsia="黑体" w:cs="Times New Roman"/>
          <w:sz w:val="32"/>
          <w:szCs w:val="32"/>
          <w:lang w:val="en-US" w:eastAsia="zh-CN"/>
        </w:rPr>
        <w:t xml:space="preserve">附件3    </w:t>
      </w:r>
      <w:r>
        <w:rPr>
          <w:rFonts w:hint="default" w:ascii="Times New Roman" w:hAnsi="Times New Roman" w:eastAsia="仿宋" w:cs="Times New Roman"/>
          <w:sz w:val="32"/>
          <w:szCs w:val="32"/>
          <w:lang w:val="en-US" w:eastAsia="zh-CN"/>
        </w:rPr>
        <w:t xml:space="preserve"> </w:t>
      </w:r>
      <w:r>
        <w:rPr>
          <w:rFonts w:hint="default" w:ascii="Times New Roman" w:hAnsi="Times New Roman" w:eastAsia="黑体" w:cs="Times New Roman"/>
          <w:sz w:val="36"/>
          <w:szCs w:val="36"/>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pacing w:line="600" w:lineRule="exact"/>
        <w:jc w:val="center"/>
        <w:textAlignment w:val="auto"/>
        <w:outlineLvl w:val="9"/>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矿山安全生产领域“证照分离”改革实施方案</w:t>
      </w:r>
    </w:p>
    <w:tbl>
      <w:tblPr>
        <w:tblStyle w:val="25"/>
        <w:tblW w:w="15135" w:type="dxa"/>
        <w:tblInd w:w="-4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
        <w:gridCol w:w="825"/>
        <w:gridCol w:w="990"/>
        <w:gridCol w:w="930"/>
        <w:gridCol w:w="1095"/>
        <w:gridCol w:w="870"/>
        <w:gridCol w:w="705"/>
        <w:gridCol w:w="795"/>
        <w:gridCol w:w="735"/>
        <w:gridCol w:w="720"/>
        <w:gridCol w:w="2760"/>
        <w:gridCol w:w="3120"/>
        <w:gridCol w:w="9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5" w:hRule="atLeast"/>
        </w:trPr>
        <w:tc>
          <w:tcPr>
            <w:tcW w:w="600" w:type="dxa"/>
            <w:vMerge w:val="restart"/>
            <w:vAlign w:val="center"/>
          </w:tcPr>
          <w:p>
            <w:pPr>
              <w:bidi w:val="0"/>
              <w:jc w:val="center"/>
              <w:rPr>
                <w:rFonts w:hint="default" w:ascii="Times New Roman" w:hAnsi="Times New Roman" w:eastAsia="黑体" w:cs="Times New Roman"/>
                <w:sz w:val="24"/>
                <w:szCs w:val="24"/>
                <w:lang w:val="en-US" w:eastAsia="zh-CN"/>
              </w:rPr>
            </w:pPr>
            <w:r>
              <w:rPr>
                <w:rFonts w:hint="default" w:ascii="Times New Roman" w:hAnsi="Times New Roman" w:eastAsia="黑体" w:cs="Times New Roman"/>
                <w:sz w:val="24"/>
                <w:szCs w:val="24"/>
                <w:lang w:val="en-US" w:eastAsia="zh-CN"/>
              </w:rPr>
              <w:t>序号</w:t>
            </w:r>
          </w:p>
        </w:tc>
        <w:tc>
          <w:tcPr>
            <w:tcW w:w="825" w:type="dxa"/>
            <w:vMerge w:val="restart"/>
            <w:vAlign w:val="center"/>
          </w:tcPr>
          <w:p>
            <w:pPr>
              <w:bidi w:val="0"/>
              <w:jc w:val="center"/>
              <w:rPr>
                <w:rFonts w:hint="default" w:ascii="Times New Roman" w:hAnsi="Times New Roman" w:eastAsia="黑体" w:cs="Times New Roman"/>
                <w:sz w:val="24"/>
                <w:szCs w:val="24"/>
                <w:lang w:val="en-US" w:eastAsia="zh-CN"/>
              </w:rPr>
            </w:pPr>
            <w:r>
              <w:rPr>
                <w:rFonts w:hint="default" w:ascii="Times New Roman" w:hAnsi="Times New Roman" w:eastAsia="黑体" w:cs="Times New Roman"/>
                <w:sz w:val="24"/>
                <w:szCs w:val="24"/>
                <w:lang w:val="en-US" w:eastAsia="zh-CN"/>
              </w:rPr>
              <w:t>主管部门</w:t>
            </w:r>
          </w:p>
        </w:tc>
        <w:tc>
          <w:tcPr>
            <w:tcW w:w="990" w:type="dxa"/>
            <w:vMerge w:val="restart"/>
            <w:vAlign w:val="center"/>
          </w:tcPr>
          <w:p>
            <w:pPr>
              <w:bidi w:val="0"/>
              <w:jc w:val="center"/>
              <w:rPr>
                <w:rFonts w:hint="default" w:ascii="Times New Roman" w:hAnsi="Times New Roman" w:eastAsia="黑体" w:cs="Times New Roman"/>
                <w:sz w:val="24"/>
                <w:szCs w:val="24"/>
                <w:lang w:val="en-US" w:eastAsia="zh-CN"/>
              </w:rPr>
            </w:pPr>
            <w:r>
              <w:rPr>
                <w:rFonts w:hint="default" w:ascii="Times New Roman" w:hAnsi="Times New Roman" w:eastAsia="黑体" w:cs="Times New Roman"/>
                <w:sz w:val="24"/>
                <w:szCs w:val="24"/>
                <w:lang w:val="en-US" w:eastAsia="zh-CN"/>
              </w:rPr>
              <w:t>改革事项</w:t>
            </w:r>
          </w:p>
        </w:tc>
        <w:tc>
          <w:tcPr>
            <w:tcW w:w="930" w:type="dxa"/>
            <w:vMerge w:val="restart"/>
            <w:vAlign w:val="center"/>
          </w:tcPr>
          <w:p>
            <w:pPr>
              <w:bidi w:val="0"/>
              <w:jc w:val="center"/>
              <w:rPr>
                <w:rFonts w:hint="default" w:ascii="Times New Roman" w:hAnsi="Times New Roman" w:eastAsia="黑体" w:cs="Times New Roman"/>
                <w:sz w:val="24"/>
                <w:szCs w:val="24"/>
                <w:lang w:val="en-US" w:eastAsia="zh-CN"/>
              </w:rPr>
            </w:pPr>
            <w:r>
              <w:rPr>
                <w:rFonts w:hint="default" w:ascii="Times New Roman" w:hAnsi="Times New Roman" w:eastAsia="黑体" w:cs="Times New Roman"/>
                <w:sz w:val="24"/>
                <w:szCs w:val="24"/>
                <w:lang w:val="en-US" w:eastAsia="zh-CN"/>
              </w:rPr>
              <w:t>许可证件名称</w:t>
            </w:r>
          </w:p>
        </w:tc>
        <w:tc>
          <w:tcPr>
            <w:tcW w:w="1095" w:type="dxa"/>
            <w:vMerge w:val="restart"/>
            <w:vAlign w:val="center"/>
          </w:tcPr>
          <w:p>
            <w:pPr>
              <w:bidi w:val="0"/>
              <w:jc w:val="center"/>
              <w:rPr>
                <w:rFonts w:hint="default" w:ascii="Times New Roman" w:hAnsi="Times New Roman" w:eastAsia="黑体" w:cs="Times New Roman"/>
                <w:sz w:val="24"/>
                <w:szCs w:val="24"/>
                <w:lang w:val="en-US" w:eastAsia="zh-CN"/>
              </w:rPr>
            </w:pPr>
            <w:r>
              <w:rPr>
                <w:rFonts w:hint="default" w:ascii="Times New Roman" w:hAnsi="Times New Roman" w:eastAsia="黑体" w:cs="Times New Roman"/>
                <w:sz w:val="24"/>
                <w:szCs w:val="24"/>
                <w:lang w:val="en-US" w:eastAsia="zh-CN"/>
              </w:rPr>
              <w:t>设定依据</w:t>
            </w:r>
          </w:p>
        </w:tc>
        <w:tc>
          <w:tcPr>
            <w:tcW w:w="870" w:type="dxa"/>
            <w:vMerge w:val="restart"/>
            <w:vAlign w:val="center"/>
          </w:tcPr>
          <w:p>
            <w:pPr>
              <w:bidi w:val="0"/>
              <w:jc w:val="center"/>
              <w:rPr>
                <w:rFonts w:hint="default" w:ascii="Times New Roman" w:hAnsi="Times New Roman" w:eastAsia="黑体" w:cs="Times New Roman"/>
                <w:sz w:val="24"/>
                <w:szCs w:val="24"/>
                <w:lang w:val="en-US" w:eastAsia="zh-CN"/>
              </w:rPr>
            </w:pPr>
            <w:r>
              <w:rPr>
                <w:rFonts w:hint="default" w:ascii="Times New Roman" w:hAnsi="Times New Roman" w:eastAsia="黑体" w:cs="Times New Roman"/>
                <w:sz w:val="24"/>
                <w:szCs w:val="24"/>
                <w:lang w:val="en-US" w:eastAsia="zh-CN"/>
              </w:rPr>
              <w:t>审批层级和部门</w:t>
            </w:r>
          </w:p>
        </w:tc>
        <w:tc>
          <w:tcPr>
            <w:tcW w:w="2955" w:type="dxa"/>
            <w:gridSpan w:val="4"/>
            <w:vAlign w:val="center"/>
          </w:tcPr>
          <w:p>
            <w:pPr>
              <w:bidi w:val="0"/>
              <w:jc w:val="center"/>
              <w:rPr>
                <w:rFonts w:hint="default" w:ascii="Times New Roman" w:hAnsi="Times New Roman" w:eastAsia="黑体" w:cs="Times New Roman"/>
                <w:sz w:val="24"/>
                <w:szCs w:val="24"/>
                <w:lang w:val="en-US" w:eastAsia="zh-CN"/>
              </w:rPr>
            </w:pPr>
            <w:r>
              <w:rPr>
                <w:rFonts w:hint="default" w:ascii="Times New Roman" w:hAnsi="Times New Roman" w:eastAsia="黑体" w:cs="Times New Roman"/>
                <w:sz w:val="24"/>
                <w:szCs w:val="24"/>
                <w:lang w:val="en-US" w:eastAsia="zh-CN"/>
              </w:rPr>
              <w:t>改革方式</w:t>
            </w:r>
          </w:p>
        </w:tc>
        <w:tc>
          <w:tcPr>
            <w:tcW w:w="2760" w:type="dxa"/>
            <w:vMerge w:val="restart"/>
            <w:vAlign w:val="center"/>
          </w:tcPr>
          <w:p>
            <w:pPr>
              <w:bidi w:val="0"/>
              <w:jc w:val="center"/>
              <w:rPr>
                <w:rFonts w:hint="default" w:ascii="Times New Roman" w:hAnsi="Times New Roman" w:eastAsia="黑体" w:cs="Times New Roman"/>
                <w:sz w:val="24"/>
                <w:szCs w:val="24"/>
                <w:lang w:val="en-US" w:eastAsia="zh-CN"/>
              </w:rPr>
            </w:pPr>
            <w:r>
              <w:rPr>
                <w:rFonts w:hint="default" w:ascii="Times New Roman" w:hAnsi="Times New Roman" w:eastAsia="黑体" w:cs="Times New Roman"/>
                <w:sz w:val="24"/>
                <w:szCs w:val="24"/>
                <w:lang w:val="en-US" w:eastAsia="zh-CN"/>
              </w:rPr>
              <w:t>具体改革措施</w:t>
            </w:r>
          </w:p>
        </w:tc>
        <w:tc>
          <w:tcPr>
            <w:tcW w:w="3120" w:type="dxa"/>
            <w:vMerge w:val="restart"/>
            <w:vAlign w:val="center"/>
          </w:tcPr>
          <w:p>
            <w:pPr>
              <w:bidi w:val="0"/>
              <w:jc w:val="center"/>
              <w:rPr>
                <w:rFonts w:hint="default" w:ascii="Times New Roman" w:hAnsi="Times New Roman" w:eastAsia="黑体" w:cs="Times New Roman"/>
                <w:sz w:val="24"/>
                <w:szCs w:val="24"/>
                <w:lang w:val="en-US" w:eastAsia="zh-CN"/>
              </w:rPr>
            </w:pPr>
            <w:r>
              <w:rPr>
                <w:rFonts w:hint="default" w:ascii="Times New Roman" w:hAnsi="Times New Roman" w:eastAsia="黑体" w:cs="Times New Roman"/>
                <w:sz w:val="24"/>
                <w:szCs w:val="24"/>
                <w:lang w:val="en-US" w:eastAsia="zh-CN"/>
              </w:rPr>
              <w:t>加强事中事后监管措施</w:t>
            </w:r>
          </w:p>
        </w:tc>
        <w:tc>
          <w:tcPr>
            <w:tcW w:w="990" w:type="dxa"/>
            <w:vMerge w:val="restart"/>
            <w:vAlign w:val="center"/>
          </w:tcPr>
          <w:p>
            <w:pPr>
              <w:bidi w:val="0"/>
              <w:jc w:val="center"/>
              <w:rPr>
                <w:rFonts w:hint="default" w:ascii="Times New Roman" w:hAnsi="Times New Roman" w:eastAsia="黑体" w:cs="Times New Roman"/>
                <w:sz w:val="24"/>
                <w:szCs w:val="24"/>
                <w:lang w:val="en-US" w:eastAsia="zh-CN"/>
              </w:rPr>
            </w:pPr>
            <w:r>
              <w:rPr>
                <w:rFonts w:hint="default" w:ascii="Times New Roman" w:hAnsi="Times New Roman" w:eastAsia="黑体" w:cs="Times New Roman"/>
                <w:sz w:val="24"/>
                <w:szCs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05" w:hRule="atLeast"/>
        </w:trPr>
        <w:tc>
          <w:tcPr>
            <w:tcW w:w="600" w:type="dxa"/>
            <w:vMerge w:val="continue"/>
            <w:vAlign w:val="center"/>
          </w:tcPr>
          <w:p>
            <w:pPr>
              <w:bidi w:val="0"/>
              <w:jc w:val="center"/>
              <w:rPr>
                <w:rFonts w:hint="default" w:ascii="Times New Roman" w:hAnsi="Times New Roman" w:eastAsia="黑体" w:cs="Times New Roman"/>
                <w:sz w:val="24"/>
                <w:szCs w:val="24"/>
                <w:lang w:val="en-US" w:eastAsia="zh-CN"/>
              </w:rPr>
            </w:pPr>
          </w:p>
        </w:tc>
        <w:tc>
          <w:tcPr>
            <w:tcW w:w="825" w:type="dxa"/>
            <w:vMerge w:val="continue"/>
            <w:vAlign w:val="center"/>
          </w:tcPr>
          <w:p>
            <w:pPr>
              <w:bidi w:val="0"/>
              <w:jc w:val="center"/>
              <w:rPr>
                <w:rFonts w:hint="default" w:ascii="Times New Roman" w:hAnsi="Times New Roman" w:eastAsia="黑体" w:cs="Times New Roman"/>
                <w:sz w:val="24"/>
                <w:szCs w:val="24"/>
                <w:lang w:val="en-US" w:eastAsia="zh-CN"/>
              </w:rPr>
            </w:pPr>
          </w:p>
        </w:tc>
        <w:tc>
          <w:tcPr>
            <w:tcW w:w="990" w:type="dxa"/>
            <w:vMerge w:val="continue"/>
            <w:vAlign w:val="center"/>
          </w:tcPr>
          <w:p>
            <w:pPr>
              <w:bidi w:val="0"/>
              <w:jc w:val="center"/>
              <w:rPr>
                <w:rFonts w:hint="default" w:ascii="Times New Roman" w:hAnsi="Times New Roman" w:eastAsia="黑体" w:cs="Times New Roman"/>
                <w:sz w:val="24"/>
                <w:szCs w:val="24"/>
                <w:lang w:val="en-US" w:eastAsia="zh-CN"/>
              </w:rPr>
            </w:pPr>
          </w:p>
        </w:tc>
        <w:tc>
          <w:tcPr>
            <w:tcW w:w="930" w:type="dxa"/>
            <w:vMerge w:val="continue"/>
            <w:vAlign w:val="center"/>
          </w:tcPr>
          <w:p>
            <w:pPr>
              <w:bidi w:val="0"/>
              <w:jc w:val="center"/>
              <w:rPr>
                <w:rFonts w:hint="default" w:ascii="Times New Roman" w:hAnsi="Times New Roman" w:eastAsia="黑体" w:cs="Times New Roman"/>
                <w:sz w:val="24"/>
                <w:szCs w:val="24"/>
                <w:lang w:val="en-US" w:eastAsia="zh-CN"/>
              </w:rPr>
            </w:pPr>
          </w:p>
        </w:tc>
        <w:tc>
          <w:tcPr>
            <w:tcW w:w="1095" w:type="dxa"/>
            <w:vMerge w:val="continue"/>
            <w:vAlign w:val="center"/>
          </w:tcPr>
          <w:p>
            <w:pPr>
              <w:bidi w:val="0"/>
              <w:jc w:val="center"/>
              <w:rPr>
                <w:rFonts w:hint="default" w:ascii="Times New Roman" w:hAnsi="Times New Roman" w:eastAsia="黑体" w:cs="Times New Roman"/>
                <w:sz w:val="24"/>
                <w:szCs w:val="24"/>
                <w:lang w:val="en-US" w:eastAsia="zh-CN"/>
              </w:rPr>
            </w:pPr>
          </w:p>
        </w:tc>
        <w:tc>
          <w:tcPr>
            <w:tcW w:w="870" w:type="dxa"/>
            <w:vMerge w:val="continue"/>
            <w:vAlign w:val="center"/>
          </w:tcPr>
          <w:p>
            <w:pPr>
              <w:bidi w:val="0"/>
              <w:jc w:val="center"/>
              <w:rPr>
                <w:rFonts w:hint="default" w:ascii="Times New Roman" w:hAnsi="Times New Roman" w:eastAsia="黑体" w:cs="Times New Roman"/>
                <w:sz w:val="24"/>
                <w:szCs w:val="24"/>
                <w:lang w:val="en-US" w:eastAsia="zh-CN"/>
              </w:rPr>
            </w:pPr>
          </w:p>
        </w:tc>
        <w:tc>
          <w:tcPr>
            <w:tcW w:w="705" w:type="dxa"/>
            <w:vAlign w:val="center"/>
          </w:tcPr>
          <w:p>
            <w:pPr>
              <w:bidi w:val="0"/>
              <w:jc w:val="center"/>
              <w:rPr>
                <w:rFonts w:hint="default" w:ascii="Times New Roman" w:hAnsi="Times New Roman" w:eastAsia="黑体" w:cs="Times New Roman"/>
                <w:sz w:val="24"/>
                <w:szCs w:val="24"/>
                <w:lang w:val="en-US" w:eastAsia="zh-CN"/>
              </w:rPr>
            </w:pPr>
            <w:r>
              <w:rPr>
                <w:rFonts w:hint="default" w:ascii="Times New Roman" w:hAnsi="Times New Roman" w:eastAsia="黑体" w:cs="Times New Roman"/>
                <w:sz w:val="24"/>
                <w:szCs w:val="24"/>
                <w:lang w:val="en-US" w:eastAsia="zh-CN"/>
              </w:rPr>
              <w:t>直接取消审批</w:t>
            </w:r>
          </w:p>
        </w:tc>
        <w:tc>
          <w:tcPr>
            <w:tcW w:w="795" w:type="dxa"/>
            <w:vAlign w:val="center"/>
          </w:tcPr>
          <w:p>
            <w:pPr>
              <w:bidi w:val="0"/>
              <w:jc w:val="center"/>
              <w:rPr>
                <w:rFonts w:hint="default" w:ascii="Times New Roman" w:hAnsi="Times New Roman" w:eastAsia="黑体" w:cs="Times New Roman"/>
                <w:sz w:val="24"/>
                <w:szCs w:val="24"/>
                <w:lang w:val="en-US" w:eastAsia="zh-CN"/>
              </w:rPr>
            </w:pPr>
            <w:r>
              <w:rPr>
                <w:rFonts w:hint="default" w:ascii="Times New Roman" w:hAnsi="Times New Roman" w:eastAsia="黑体" w:cs="Times New Roman"/>
                <w:sz w:val="24"/>
                <w:szCs w:val="24"/>
                <w:lang w:val="en-US" w:eastAsia="zh-CN"/>
              </w:rPr>
              <w:t>审批改为备案</w:t>
            </w:r>
          </w:p>
        </w:tc>
        <w:tc>
          <w:tcPr>
            <w:tcW w:w="735" w:type="dxa"/>
            <w:vAlign w:val="center"/>
          </w:tcPr>
          <w:p>
            <w:pPr>
              <w:bidi w:val="0"/>
              <w:jc w:val="center"/>
              <w:rPr>
                <w:rFonts w:hint="default" w:ascii="Times New Roman" w:hAnsi="Times New Roman" w:eastAsia="黑体" w:cs="Times New Roman"/>
                <w:sz w:val="24"/>
                <w:szCs w:val="24"/>
                <w:lang w:val="en-US" w:eastAsia="zh-CN"/>
              </w:rPr>
            </w:pPr>
            <w:r>
              <w:rPr>
                <w:rFonts w:hint="default" w:ascii="Times New Roman" w:hAnsi="Times New Roman" w:eastAsia="黑体" w:cs="Times New Roman"/>
                <w:sz w:val="24"/>
                <w:szCs w:val="24"/>
                <w:lang w:val="en-US" w:eastAsia="zh-CN"/>
              </w:rPr>
              <w:t>实行告知承诺</w:t>
            </w:r>
          </w:p>
        </w:tc>
        <w:tc>
          <w:tcPr>
            <w:tcW w:w="720" w:type="dxa"/>
            <w:vAlign w:val="center"/>
          </w:tcPr>
          <w:p>
            <w:pPr>
              <w:bidi w:val="0"/>
              <w:jc w:val="center"/>
              <w:rPr>
                <w:rFonts w:hint="default" w:ascii="Times New Roman" w:hAnsi="Times New Roman" w:eastAsia="黑体" w:cs="Times New Roman"/>
                <w:sz w:val="24"/>
                <w:szCs w:val="24"/>
                <w:lang w:val="en-US" w:eastAsia="zh-CN"/>
              </w:rPr>
            </w:pPr>
            <w:r>
              <w:rPr>
                <w:rFonts w:hint="default" w:ascii="Times New Roman" w:hAnsi="Times New Roman" w:eastAsia="黑体" w:cs="Times New Roman"/>
                <w:sz w:val="24"/>
                <w:szCs w:val="24"/>
                <w:lang w:val="en-US" w:eastAsia="zh-CN"/>
              </w:rPr>
              <w:t>优化审批服务</w:t>
            </w:r>
          </w:p>
        </w:tc>
        <w:tc>
          <w:tcPr>
            <w:tcW w:w="2760" w:type="dxa"/>
            <w:vMerge w:val="continue"/>
            <w:vAlign w:val="center"/>
          </w:tcPr>
          <w:p>
            <w:pPr>
              <w:bidi w:val="0"/>
              <w:jc w:val="both"/>
              <w:rPr>
                <w:rFonts w:hint="default" w:ascii="Times New Roman" w:hAnsi="Times New Roman" w:eastAsia="仿宋" w:cs="Times New Roman"/>
                <w:sz w:val="24"/>
                <w:szCs w:val="24"/>
                <w:lang w:val="en-US" w:eastAsia="zh-CN"/>
              </w:rPr>
            </w:pPr>
          </w:p>
        </w:tc>
        <w:tc>
          <w:tcPr>
            <w:tcW w:w="3120" w:type="dxa"/>
            <w:vMerge w:val="continue"/>
            <w:vAlign w:val="center"/>
          </w:tcPr>
          <w:p>
            <w:pPr>
              <w:bidi w:val="0"/>
              <w:jc w:val="both"/>
              <w:rPr>
                <w:rFonts w:hint="default" w:ascii="Times New Roman" w:hAnsi="Times New Roman" w:eastAsia="仿宋" w:cs="Times New Roman"/>
                <w:sz w:val="24"/>
                <w:szCs w:val="24"/>
                <w:lang w:val="en-US" w:eastAsia="zh-CN"/>
              </w:rPr>
            </w:pPr>
          </w:p>
        </w:tc>
        <w:tc>
          <w:tcPr>
            <w:tcW w:w="990" w:type="dxa"/>
            <w:vMerge w:val="continue"/>
            <w:vAlign w:val="center"/>
          </w:tcPr>
          <w:p>
            <w:pPr>
              <w:bidi w:val="0"/>
              <w:jc w:val="both"/>
              <w:rPr>
                <w:rFonts w:hint="default" w:ascii="Times New Roman" w:hAnsi="Times New Roman" w:eastAsia="仿宋" w:cs="Times New Roman"/>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00" w:type="dxa"/>
            <w:vAlign w:val="center"/>
          </w:tcPr>
          <w:p>
            <w:pPr>
              <w:bidi w:val="0"/>
              <w:jc w:val="center"/>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1</w:t>
            </w:r>
          </w:p>
        </w:tc>
        <w:tc>
          <w:tcPr>
            <w:tcW w:w="825" w:type="dxa"/>
            <w:vAlign w:val="center"/>
          </w:tcPr>
          <w:p>
            <w:pPr>
              <w:bidi w:val="0"/>
              <w:jc w:val="both"/>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自治区应急厅</w:t>
            </w:r>
          </w:p>
        </w:tc>
        <w:tc>
          <w:tcPr>
            <w:tcW w:w="990" w:type="dxa"/>
            <w:vAlign w:val="center"/>
          </w:tcPr>
          <w:p>
            <w:pPr>
              <w:bidi w:val="0"/>
              <w:jc w:val="both"/>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煤矿安全生产许可</w:t>
            </w:r>
          </w:p>
        </w:tc>
        <w:tc>
          <w:tcPr>
            <w:tcW w:w="930" w:type="dxa"/>
            <w:vAlign w:val="center"/>
          </w:tcPr>
          <w:p>
            <w:pPr>
              <w:bidi w:val="0"/>
              <w:jc w:val="both"/>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安全生产（煤矿）可证</w:t>
            </w:r>
          </w:p>
        </w:tc>
        <w:tc>
          <w:tcPr>
            <w:tcW w:w="1095" w:type="dxa"/>
            <w:vAlign w:val="center"/>
          </w:tcPr>
          <w:p>
            <w:pPr>
              <w:bidi w:val="0"/>
              <w:jc w:val="both"/>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《安全生产许可证条例》</w:t>
            </w:r>
          </w:p>
        </w:tc>
        <w:tc>
          <w:tcPr>
            <w:tcW w:w="870" w:type="dxa"/>
            <w:vAlign w:val="center"/>
          </w:tcPr>
          <w:p>
            <w:pPr>
              <w:bidi w:val="0"/>
              <w:jc w:val="both"/>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自治区应急厅</w:t>
            </w:r>
          </w:p>
        </w:tc>
        <w:tc>
          <w:tcPr>
            <w:tcW w:w="705" w:type="dxa"/>
            <w:vAlign w:val="center"/>
          </w:tcPr>
          <w:p>
            <w:pPr>
              <w:bidi w:val="0"/>
              <w:jc w:val="both"/>
              <w:rPr>
                <w:rFonts w:hint="default" w:ascii="Times New Roman" w:hAnsi="Times New Roman" w:eastAsia="仿宋" w:cs="Times New Roman"/>
                <w:sz w:val="24"/>
                <w:szCs w:val="24"/>
                <w:lang w:val="en-US" w:eastAsia="zh-CN"/>
              </w:rPr>
            </w:pPr>
          </w:p>
        </w:tc>
        <w:tc>
          <w:tcPr>
            <w:tcW w:w="795" w:type="dxa"/>
            <w:vAlign w:val="center"/>
          </w:tcPr>
          <w:p>
            <w:pPr>
              <w:bidi w:val="0"/>
              <w:jc w:val="both"/>
              <w:rPr>
                <w:rFonts w:hint="default" w:ascii="Times New Roman" w:hAnsi="Times New Roman" w:eastAsia="仿宋" w:cs="Times New Roman"/>
                <w:sz w:val="24"/>
                <w:szCs w:val="24"/>
                <w:lang w:val="en-US" w:eastAsia="zh-CN"/>
              </w:rPr>
            </w:pPr>
          </w:p>
        </w:tc>
        <w:tc>
          <w:tcPr>
            <w:tcW w:w="735" w:type="dxa"/>
            <w:vAlign w:val="center"/>
          </w:tcPr>
          <w:p>
            <w:pPr>
              <w:bidi w:val="0"/>
              <w:jc w:val="both"/>
              <w:rPr>
                <w:rFonts w:hint="default" w:ascii="Times New Roman" w:hAnsi="Times New Roman" w:eastAsia="仿宋" w:cs="Times New Roman"/>
                <w:sz w:val="24"/>
                <w:szCs w:val="24"/>
                <w:lang w:val="en-US" w:eastAsia="zh-CN"/>
              </w:rPr>
            </w:pPr>
          </w:p>
          <w:p>
            <w:pPr>
              <w:bidi w:val="0"/>
              <w:jc w:val="both"/>
              <w:rPr>
                <w:rFonts w:hint="default" w:ascii="Times New Roman" w:hAnsi="Times New Roman" w:eastAsia="仿宋" w:cs="Times New Roman"/>
                <w:sz w:val="24"/>
                <w:szCs w:val="24"/>
                <w:lang w:val="en-US" w:eastAsia="zh-CN"/>
              </w:rPr>
            </w:pPr>
          </w:p>
          <w:p>
            <w:pPr>
              <w:bidi w:val="0"/>
              <w:jc w:val="both"/>
              <w:rPr>
                <w:rFonts w:hint="default" w:ascii="Times New Roman" w:hAnsi="Times New Roman" w:eastAsia="仿宋" w:cs="Times New Roman"/>
                <w:sz w:val="24"/>
                <w:szCs w:val="24"/>
                <w:lang w:val="en-US" w:eastAsia="zh-CN"/>
              </w:rPr>
            </w:pPr>
          </w:p>
        </w:tc>
        <w:tc>
          <w:tcPr>
            <w:tcW w:w="720" w:type="dxa"/>
            <w:vAlign w:val="center"/>
          </w:tcPr>
          <w:p>
            <w:pPr>
              <w:bidi w:val="0"/>
              <w:jc w:val="center"/>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w:t>
            </w:r>
          </w:p>
        </w:tc>
        <w:tc>
          <w:tcPr>
            <w:tcW w:w="2760" w:type="dxa"/>
            <w:vAlign w:val="center"/>
          </w:tcPr>
          <w:p>
            <w:pPr>
              <w:bidi w:val="0"/>
              <w:jc w:val="both"/>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在省级煤矿安全生产监管部门政府网站公开发布煤矿安全生产许可审批程序、受理条件、评审标准。</w:t>
            </w:r>
          </w:p>
          <w:p>
            <w:pPr>
              <w:bidi w:val="0"/>
              <w:jc w:val="both"/>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煤矿（井、露天坑）及其上级企业申请资料通过许可证管理系统进行网上申报。省级煤矿安全监管部门安排专人负责资料的网上受理审查工作并公开办理进度。</w:t>
            </w:r>
          </w:p>
          <w:p>
            <w:pPr>
              <w:bidi w:val="0"/>
              <w:jc w:val="both"/>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.不再要求申请人提供主要负责人及安全生产管理人员的安全生产知识和管理能力考核合格证复印件、特种作业人员操作资格证复印 件等材料。</w:t>
            </w:r>
          </w:p>
        </w:tc>
        <w:tc>
          <w:tcPr>
            <w:tcW w:w="3120" w:type="dxa"/>
            <w:vAlign w:val="center"/>
          </w:tcPr>
          <w:p>
            <w:pPr>
              <w:bidi w:val="0"/>
              <w:jc w:val="both"/>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按照“谁审批、谁监管，谁主管、谁监管”的原则，切实履行监管职责，坚决杜绝“以批代管”“不批不管”问题，防止出现监管真空。</w:t>
            </w:r>
          </w:p>
          <w:p>
            <w:pPr>
              <w:bidi w:val="0"/>
              <w:jc w:val="both"/>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县级以上地方人民政府矿山安全监管部门要按照分级分类监管的要求，制定安全生产年度监督检查计划，并按照年度监督检查计划对矿山企业实行全覆盖监督检查。</w:t>
            </w:r>
          </w:p>
          <w:p>
            <w:pPr>
              <w:bidi w:val="0"/>
              <w:jc w:val="both"/>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.矿山安全监察机构在监督检查中发现取得安全生产许可的矿山不具备持证条件的，依法进行处罚，并移送安全生产许可证颁发和管理部门依法暂扣或者吊销安全生产许可证。</w:t>
            </w:r>
          </w:p>
        </w:tc>
        <w:tc>
          <w:tcPr>
            <w:tcW w:w="990" w:type="dxa"/>
            <w:vAlign w:val="center"/>
          </w:tcPr>
          <w:p>
            <w:pPr>
              <w:bidi w:val="0"/>
              <w:jc w:val="both"/>
              <w:rPr>
                <w:rFonts w:hint="default" w:ascii="Times New Roman" w:hAnsi="Times New Roman" w:eastAsia="仿宋" w:cs="Times New Roman"/>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00" w:type="dxa"/>
            <w:vAlign w:val="center"/>
          </w:tcPr>
          <w:p>
            <w:pPr>
              <w:bidi w:val="0"/>
              <w:jc w:val="center"/>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2</w:t>
            </w:r>
          </w:p>
        </w:tc>
        <w:tc>
          <w:tcPr>
            <w:tcW w:w="825" w:type="dxa"/>
            <w:vAlign w:val="center"/>
          </w:tcPr>
          <w:p>
            <w:pPr>
              <w:bidi w:val="0"/>
              <w:jc w:val="both"/>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自治区应急厅</w:t>
            </w:r>
          </w:p>
        </w:tc>
        <w:tc>
          <w:tcPr>
            <w:tcW w:w="990" w:type="dxa"/>
            <w:vAlign w:val="center"/>
          </w:tcPr>
          <w:p>
            <w:pPr>
              <w:bidi w:val="0"/>
              <w:jc w:val="both"/>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非煤矿山企业安全生产许可</w:t>
            </w:r>
          </w:p>
        </w:tc>
        <w:tc>
          <w:tcPr>
            <w:tcW w:w="930" w:type="dxa"/>
            <w:vAlign w:val="center"/>
          </w:tcPr>
          <w:p>
            <w:pPr>
              <w:bidi w:val="0"/>
              <w:jc w:val="both"/>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安全生产（非煤矿）许可证</w:t>
            </w:r>
          </w:p>
        </w:tc>
        <w:tc>
          <w:tcPr>
            <w:tcW w:w="1095" w:type="dxa"/>
            <w:vAlign w:val="center"/>
          </w:tcPr>
          <w:p>
            <w:pPr>
              <w:bidi w:val="0"/>
              <w:jc w:val="both"/>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《安全生产许可证条例》</w:t>
            </w:r>
          </w:p>
        </w:tc>
        <w:tc>
          <w:tcPr>
            <w:tcW w:w="870" w:type="dxa"/>
            <w:vAlign w:val="center"/>
          </w:tcPr>
          <w:p>
            <w:pPr>
              <w:bidi w:val="0"/>
              <w:jc w:val="both"/>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自治区、设区的市应急管理部门</w:t>
            </w:r>
          </w:p>
        </w:tc>
        <w:tc>
          <w:tcPr>
            <w:tcW w:w="705" w:type="dxa"/>
            <w:vAlign w:val="center"/>
          </w:tcPr>
          <w:p>
            <w:pPr>
              <w:bidi w:val="0"/>
              <w:jc w:val="both"/>
              <w:rPr>
                <w:rFonts w:hint="default" w:ascii="Times New Roman" w:hAnsi="Times New Roman" w:eastAsia="仿宋" w:cs="Times New Roman"/>
                <w:sz w:val="24"/>
                <w:szCs w:val="24"/>
                <w:lang w:val="en-US" w:eastAsia="zh-CN"/>
              </w:rPr>
            </w:pPr>
          </w:p>
        </w:tc>
        <w:tc>
          <w:tcPr>
            <w:tcW w:w="795" w:type="dxa"/>
            <w:vAlign w:val="center"/>
          </w:tcPr>
          <w:p>
            <w:pPr>
              <w:bidi w:val="0"/>
              <w:jc w:val="both"/>
              <w:rPr>
                <w:rFonts w:hint="default" w:ascii="Times New Roman" w:hAnsi="Times New Roman" w:eastAsia="仿宋" w:cs="Times New Roman"/>
                <w:sz w:val="24"/>
                <w:szCs w:val="24"/>
                <w:lang w:val="en-US" w:eastAsia="zh-CN"/>
              </w:rPr>
            </w:pPr>
          </w:p>
        </w:tc>
        <w:tc>
          <w:tcPr>
            <w:tcW w:w="735" w:type="dxa"/>
            <w:vAlign w:val="center"/>
          </w:tcPr>
          <w:p>
            <w:pPr>
              <w:bidi w:val="0"/>
              <w:jc w:val="both"/>
              <w:rPr>
                <w:rFonts w:hint="default" w:ascii="Times New Roman" w:hAnsi="Times New Roman" w:eastAsia="仿宋" w:cs="Times New Roman"/>
                <w:sz w:val="24"/>
                <w:szCs w:val="24"/>
                <w:lang w:val="en-US" w:eastAsia="zh-CN"/>
              </w:rPr>
            </w:pPr>
          </w:p>
        </w:tc>
        <w:tc>
          <w:tcPr>
            <w:tcW w:w="720" w:type="dxa"/>
            <w:vAlign w:val="center"/>
          </w:tcPr>
          <w:p>
            <w:pPr>
              <w:bidi w:val="0"/>
              <w:jc w:val="center"/>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w:t>
            </w:r>
          </w:p>
        </w:tc>
        <w:tc>
          <w:tcPr>
            <w:tcW w:w="2760" w:type="dxa"/>
            <w:vAlign w:val="center"/>
          </w:tcPr>
          <w:p>
            <w:pPr>
              <w:bidi w:val="0"/>
              <w:jc w:val="both"/>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1.在省级应急监管部门政府网站公开发布非煤矿山企业安全生产许可审批程序、受理条件、评审标准。实现申请、审批全程网上办理并公开办理进度。</w:t>
            </w:r>
          </w:p>
          <w:p>
            <w:pPr>
              <w:bidi w:val="0"/>
              <w:jc w:val="both"/>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2..不再要求申请人提供主要负责人和安全生产管理人员的安全生产知识和管理能力考核合格证复印件。</w:t>
            </w:r>
          </w:p>
          <w:p>
            <w:pPr>
              <w:bidi w:val="0"/>
              <w:jc w:val="both"/>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3.不再要求地质勘探单位提供地质勘查资质证书复印件，不再要求从事爆破作业的金属非金属矿山、地质勘查和采掘施工单位提供爆破作业单位许可证复印件。</w:t>
            </w:r>
          </w:p>
        </w:tc>
        <w:tc>
          <w:tcPr>
            <w:tcW w:w="3120" w:type="dxa"/>
            <w:vAlign w:val="center"/>
          </w:tcPr>
          <w:p>
            <w:pPr>
              <w:bidi w:val="0"/>
              <w:jc w:val="both"/>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1.按照“谁审批、谁监管，谁主管、谁监管”的原则，切实履行监管职责，坚决纠正“以批代管”“不批不管”问题，防止出现监管真空。</w:t>
            </w:r>
          </w:p>
          <w:p>
            <w:pPr>
              <w:bidi w:val="0"/>
              <w:jc w:val="both"/>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2.县级以上地方人民政府矿山安全监管部门要按照分级分类监管的要求，制定安全生产年度监督检查计划，并按照年度监督检查计划对矿山企业实行全覆盖监督检查。</w:t>
            </w:r>
          </w:p>
          <w:p>
            <w:pPr>
              <w:bidi w:val="0"/>
              <w:jc w:val="both"/>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3.矿山安全监察机构在监督检查中发现取得安全生产许可的矿山不具备持证条件的，依法进行处罚，并移送安全生产许可证颁发和管理部门依法暂扣或者吊销安全生产许可证。</w:t>
            </w:r>
          </w:p>
        </w:tc>
        <w:tc>
          <w:tcPr>
            <w:tcW w:w="990" w:type="dxa"/>
            <w:vAlign w:val="center"/>
          </w:tcPr>
          <w:p>
            <w:pPr>
              <w:bidi w:val="0"/>
              <w:jc w:val="both"/>
              <w:rPr>
                <w:rFonts w:hint="default" w:ascii="Times New Roman" w:hAnsi="Times New Roman" w:eastAsia="仿宋" w:cs="Times New Roman"/>
                <w:sz w:val="24"/>
                <w:szCs w:val="24"/>
                <w:lang w:val="en-US" w:eastAsia="zh-CN"/>
              </w:rPr>
            </w:pPr>
          </w:p>
        </w:tc>
      </w:tr>
    </w:tbl>
    <w:p>
      <w:pPr>
        <w:keepNext w:val="0"/>
        <w:keepLines w:val="0"/>
        <w:pageBreakBefore w:val="0"/>
        <w:widowControl w:val="0"/>
        <w:numPr>
          <w:ilvl w:val="0"/>
          <w:numId w:val="0"/>
        </w:numPr>
        <w:kinsoku/>
        <w:wordWrap/>
        <w:overflowPunct/>
        <w:topLinePunct w:val="0"/>
        <w:autoSpaceDE/>
        <w:autoSpaceDN/>
        <w:bidi w:val="0"/>
        <w:adjustRightInd/>
        <w:spacing w:line="600" w:lineRule="exact"/>
        <w:ind w:firstLine="2562" w:firstLineChars="1400"/>
        <w:jc w:val="left"/>
        <w:textAlignment w:val="auto"/>
        <w:outlineLvl w:val="9"/>
        <w:rPr>
          <w:rFonts w:hint="default" w:ascii="Times New Roman" w:hAnsi="Times New Roman" w:eastAsia="仿宋" w:cs="Times New Roman"/>
          <w:sz w:val="18"/>
          <w:szCs w:val="18"/>
          <w:lang w:val="en-US" w:eastAsia="zh-CN"/>
        </w:rPr>
      </w:pPr>
    </w:p>
    <w:sectPr>
      <w:headerReference r:id="rId3" w:type="default"/>
      <w:footerReference r:id="rId5" w:type="default"/>
      <w:headerReference r:id="rId4" w:type="even"/>
      <w:footerReference r:id="rId6" w:type="even"/>
      <w:pgSz w:w="16838" w:h="11906" w:orient="landscape"/>
      <w:pgMar w:top="1474" w:right="1440" w:bottom="1474" w:left="1440" w:header="851" w:footer="992" w:gutter="0"/>
      <w:pgNumType w:fmt="numberInDash"/>
      <w:cols w:space="0" w:num="1"/>
      <w:rtlGutter w:val="0"/>
      <w:docGrid w:type="linesAndChars" w:linePitch="319" w:charSpace="6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5FBC35B-1B99-4908-93AA-E95F438D775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embedRegular r:id="rId2" w:fontKey="{5854C808-AD32-40B9-92FA-9AFD06912604}"/>
  </w:font>
  <w:font w:name="仿宋">
    <w:panose1 w:val="02010609060101010101"/>
    <w:charset w:val="86"/>
    <w:family w:val="modern"/>
    <w:pitch w:val="default"/>
    <w:sig w:usb0="800002BF" w:usb1="38CF7CFA" w:usb2="00000016" w:usb3="00000000" w:csb0="00040001" w:csb1="00000000"/>
    <w:embedRegular r:id="rId3" w:fontKey="{D9A47B4C-6F49-4066-8764-61EA7E26EFD7}"/>
  </w:font>
  <w:font w:name="仿宋_GB2312">
    <w:altName w:val="仿宋"/>
    <w:panose1 w:val="02010609030101010101"/>
    <w:charset w:val="86"/>
    <w:family w:val="auto"/>
    <w:pitch w:val="default"/>
    <w:sig w:usb0="00000000" w:usb1="0000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0" w:usb1="00000000" w:usb2="00000000" w:usb3="00000000" w:csb0="00000000" w:csb1="00000000"/>
  </w:font>
  <w:font w:name="方正小标宋简体">
    <w:panose1 w:val="03000509000000000000"/>
    <w:charset w:val="86"/>
    <w:family w:val="auto"/>
    <w:pitch w:val="default"/>
    <w:sig w:usb0="00000001" w:usb1="080E0000" w:usb2="00000000" w:usb3="00000000" w:csb0="00040000" w:csb1="00000000"/>
    <w:embedRegular r:id="rId4" w:fontKey="{0C5B30D7-ABF5-4356-9C31-691C479280A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pPr>
    <w:r>
      <w:rPr>
        <w:sz w:val="28"/>
      </w:rPr>
      <mc:AlternateContent>
        <mc:Choice Requires="wps">
          <w:drawing>
            <wp:anchor distT="0" distB="0" distL="114300" distR="114300" simplePos="0" relativeHeight="251675648" behindDoc="0" locked="0" layoutInCell="1" allowOverlap="1">
              <wp:simplePos x="0" y="0"/>
              <wp:positionH relativeFrom="margin">
                <wp:align>right</wp:align>
              </wp:positionH>
              <wp:positionV relativeFrom="paragraph">
                <wp:posOffset>-57150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pStyle w:val="2"/>
                            <w:jc w:val="right"/>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eastAsia="zh-CN"/>
                            </w:rPr>
                            <w:t>-</w:t>
                          </w:r>
                          <w:r>
                            <w:rPr>
                              <w:rFonts w:ascii="宋体" w:hAnsi="宋体"/>
                              <w:sz w:val="28"/>
                              <w:szCs w:val="28"/>
                            </w:rPr>
                            <w:t xml:space="preserve"> 7 -</w:t>
                          </w:r>
                          <w:r>
                            <w:rPr>
                              <w:rFonts w:ascii="宋体" w:hAnsi="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4.5pt;height:144pt;width:144pt;mso-position-horizontal:right;mso-position-horizontal-relative:margin;mso-wrap-style:none;z-index:251675648;mso-width-relative:page;mso-height-relative:page;" filled="f" stroked="f" coordsize="21600,21600" o:gfxdata="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Z8lJRdIAAAAHAQAADwAAAAAAAAABACAAAAAiAAAAZHJzL2Rvd25yZXYueG1sUEsBAhQAFAAA&#10;AAgAh07iQIqbapW8AQAAYgMAAA4AAAAAAAAAAQAgAAAAIQEAAGRycy9lMm9Eb2MueG1sUEsFBgAA&#10;AAAGAAYAWQEAAE8FAAAAAA==&#10;">
              <v:fill on="f" focussize="0,0"/>
              <v:stroke on="f"/>
              <v:imagedata o:title=""/>
              <o:lock v:ext="edit" aspectratio="f"/>
              <v:textbox inset="0mm,0mm,0mm,0mm" style="mso-fit-shape-to-text:t;">
                <w:txbxContent>
                  <w:p>
                    <w:pPr>
                      <w:pStyle w:val="2"/>
                      <w:jc w:val="right"/>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eastAsia="zh-CN"/>
                      </w:rPr>
                      <w:t>-</w:t>
                    </w:r>
                    <w:r>
                      <w:rPr>
                        <w:rFonts w:ascii="宋体" w:hAnsi="宋体"/>
                        <w:sz w:val="28"/>
                        <w:szCs w:val="28"/>
                      </w:rPr>
                      <w:t xml:space="preserve"> 7 -</w:t>
                    </w:r>
                    <w:r>
                      <w:rPr>
                        <w:rFonts w:ascii="宋体" w:hAnsi="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28"/>
      </w:rPr>
      <mc:AlternateContent>
        <mc:Choice Requires="wps">
          <w:drawing>
            <wp:anchor distT="0" distB="0" distL="114300" distR="114300" simplePos="0" relativeHeight="251676672" behindDoc="0" locked="0" layoutInCell="1" allowOverlap="1">
              <wp:simplePos x="0" y="0"/>
              <wp:positionH relativeFrom="margin">
                <wp:posOffset>14605</wp:posOffset>
              </wp:positionH>
              <wp:positionV relativeFrom="paragraph">
                <wp:posOffset>-66675</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pStyle w:val="2"/>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8 -</w:t>
                          </w:r>
                          <w:r>
                            <w:rPr>
                              <w:rFonts w:ascii="宋体" w:hAnsi="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left:1.15pt;margin-top:-5.25pt;height:144pt;width:144pt;mso-position-horizontal-relative:margin;mso-wrap-style:none;z-index:251676672;mso-width-relative:page;mso-height-relative:page;" filled="f" stroked="f" coordsize="21600,21600" o:gfxdata="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p974T1gAAAAkBAAAPAAAAAAAAAAEAIAAAACIAAABkcnMvZG93bnJldi54bWxQSwEC&#10;FAAUAAAACACHTuJAgXxFf70BAABiAwAADgAAAAAAAAABACAAAAAlAQAAZHJzL2Uyb0RvYy54bWxQ&#10;SwUGAAAAAAYABgBZAQAAVAUAAAAA&#10;">
              <v:fill on="f" focussize="0,0"/>
              <v:stroke on="f"/>
              <v:imagedata o:title=""/>
              <o:lock v:ext="edit" aspectratio="f"/>
              <v:textbox inset="0mm,0mm,0mm,0mm" style="mso-fit-shape-to-text:t;">
                <w:txbxContent>
                  <w:p>
                    <w:pPr>
                      <w:pStyle w:val="2"/>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8 -</w:t>
                    </w:r>
                    <w:r>
                      <w:rPr>
                        <w:rFonts w:ascii="宋体" w:hAnsi="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1"/>
  <w:bordersDoNotSurroundFooter w:val="1"/>
  <w:documentProtection w:enforcement="0"/>
  <w:defaultTabStop w:val="420"/>
  <w:evenAndOddHeaders w:val="1"/>
  <w:drawingGridHorizontalSpacing w:val="107"/>
  <w:drawingGridVerticalSpacing w:val="159"/>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357D"/>
    <w:rsid w:val="000C357D"/>
    <w:rsid w:val="000D4196"/>
    <w:rsid w:val="000F787E"/>
    <w:rsid w:val="001B4DD6"/>
    <w:rsid w:val="00271696"/>
    <w:rsid w:val="002A3B94"/>
    <w:rsid w:val="0030465C"/>
    <w:rsid w:val="00394DDB"/>
    <w:rsid w:val="005B77EA"/>
    <w:rsid w:val="0065532A"/>
    <w:rsid w:val="00684C9F"/>
    <w:rsid w:val="00822355"/>
    <w:rsid w:val="00890E56"/>
    <w:rsid w:val="0091409F"/>
    <w:rsid w:val="009630E6"/>
    <w:rsid w:val="009D3DBE"/>
    <w:rsid w:val="00A262BF"/>
    <w:rsid w:val="00A34AC5"/>
    <w:rsid w:val="00A603AE"/>
    <w:rsid w:val="00A966EF"/>
    <w:rsid w:val="00B5048F"/>
    <w:rsid w:val="00C275EE"/>
    <w:rsid w:val="00C80051"/>
    <w:rsid w:val="00D31B1A"/>
    <w:rsid w:val="00DA7BE6"/>
    <w:rsid w:val="00DB548D"/>
    <w:rsid w:val="00DF6433"/>
    <w:rsid w:val="00E12DC7"/>
    <w:rsid w:val="00ED64CE"/>
    <w:rsid w:val="00ED6E23"/>
    <w:rsid w:val="00FC7A65"/>
    <w:rsid w:val="00FD5BE4"/>
    <w:rsid w:val="01A45C87"/>
    <w:rsid w:val="01AD3FBA"/>
    <w:rsid w:val="02CD7858"/>
    <w:rsid w:val="032272FB"/>
    <w:rsid w:val="0566614E"/>
    <w:rsid w:val="058113AD"/>
    <w:rsid w:val="078B5B4E"/>
    <w:rsid w:val="083240AB"/>
    <w:rsid w:val="0A1F5C61"/>
    <w:rsid w:val="0A811DAB"/>
    <w:rsid w:val="0AD65D4C"/>
    <w:rsid w:val="0B9829E8"/>
    <w:rsid w:val="0BFE3E2A"/>
    <w:rsid w:val="0C7E17BF"/>
    <w:rsid w:val="0D006F02"/>
    <w:rsid w:val="0D1A1998"/>
    <w:rsid w:val="0D42122A"/>
    <w:rsid w:val="0D6F0C66"/>
    <w:rsid w:val="0E140E19"/>
    <w:rsid w:val="0E2432A4"/>
    <w:rsid w:val="0EE44623"/>
    <w:rsid w:val="0FB01F9E"/>
    <w:rsid w:val="0FB03135"/>
    <w:rsid w:val="104747F4"/>
    <w:rsid w:val="11CB7D61"/>
    <w:rsid w:val="121811A4"/>
    <w:rsid w:val="130E04BD"/>
    <w:rsid w:val="134F2CE7"/>
    <w:rsid w:val="13811067"/>
    <w:rsid w:val="13D33D6E"/>
    <w:rsid w:val="14361C74"/>
    <w:rsid w:val="14660AFE"/>
    <w:rsid w:val="14CD2236"/>
    <w:rsid w:val="14FB13B5"/>
    <w:rsid w:val="15570C75"/>
    <w:rsid w:val="15B25FA7"/>
    <w:rsid w:val="163D58C3"/>
    <w:rsid w:val="16D61DA8"/>
    <w:rsid w:val="17651B1F"/>
    <w:rsid w:val="18AF79C7"/>
    <w:rsid w:val="18D131EE"/>
    <w:rsid w:val="19323E34"/>
    <w:rsid w:val="19DB2AA1"/>
    <w:rsid w:val="1A362C71"/>
    <w:rsid w:val="1A3F12E3"/>
    <w:rsid w:val="1A564992"/>
    <w:rsid w:val="1A586CC3"/>
    <w:rsid w:val="1B0C085C"/>
    <w:rsid w:val="1B110A52"/>
    <w:rsid w:val="1D5278F0"/>
    <w:rsid w:val="1F8C0869"/>
    <w:rsid w:val="1F8C6A4E"/>
    <w:rsid w:val="218B3E3A"/>
    <w:rsid w:val="22F85591"/>
    <w:rsid w:val="233160CB"/>
    <w:rsid w:val="23777349"/>
    <w:rsid w:val="24382209"/>
    <w:rsid w:val="26017A65"/>
    <w:rsid w:val="26126156"/>
    <w:rsid w:val="26143B64"/>
    <w:rsid w:val="274A2D5F"/>
    <w:rsid w:val="27E65F39"/>
    <w:rsid w:val="28710BEA"/>
    <w:rsid w:val="2A346BFB"/>
    <w:rsid w:val="2AF10DFD"/>
    <w:rsid w:val="2B507E46"/>
    <w:rsid w:val="2BF450A6"/>
    <w:rsid w:val="2C3265CF"/>
    <w:rsid w:val="2C33148A"/>
    <w:rsid w:val="2C7F026A"/>
    <w:rsid w:val="2D2E0A3F"/>
    <w:rsid w:val="2E2E3362"/>
    <w:rsid w:val="2E783C88"/>
    <w:rsid w:val="2E7D743F"/>
    <w:rsid w:val="2E8172A0"/>
    <w:rsid w:val="2EFC034D"/>
    <w:rsid w:val="2F583941"/>
    <w:rsid w:val="2FB66AA9"/>
    <w:rsid w:val="2FD31C40"/>
    <w:rsid w:val="30147861"/>
    <w:rsid w:val="309858AF"/>
    <w:rsid w:val="30BB0F5C"/>
    <w:rsid w:val="319A3A56"/>
    <w:rsid w:val="32657FAB"/>
    <w:rsid w:val="332D0D4F"/>
    <w:rsid w:val="33824547"/>
    <w:rsid w:val="343468CE"/>
    <w:rsid w:val="34827BBD"/>
    <w:rsid w:val="34D95751"/>
    <w:rsid w:val="35B15DD1"/>
    <w:rsid w:val="372666C4"/>
    <w:rsid w:val="37AC499F"/>
    <w:rsid w:val="37CB5EEE"/>
    <w:rsid w:val="382E6433"/>
    <w:rsid w:val="38876F22"/>
    <w:rsid w:val="389E5EBD"/>
    <w:rsid w:val="39A804DA"/>
    <w:rsid w:val="3A4B02C0"/>
    <w:rsid w:val="3A964199"/>
    <w:rsid w:val="3AB33B70"/>
    <w:rsid w:val="3C9043B4"/>
    <w:rsid w:val="3CAD514A"/>
    <w:rsid w:val="3EDD69AF"/>
    <w:rsid w:val="3F872475"/>
    <w:rsid w:val="3FE4652D"/>
    <w:rsid w:val="400B0091"/>
    <w:rsid w:val="40741E32"/>
    <w:rsid w:val="41491224"/>
    <w:rsid w:val="41725A2C"/>
    <w:rsid w:val="41BB791E"/>
    <w:rsid w:val="41CF1458"/>
    <w:rsid w:val="421140D9"/>
    <w:rsid w:val="421F66C5"/>
    <w:rsid w:val="42904B35"/>
    <w:rsid w:val="42E94CA4"/>
    <w:rsid w:val="42ED485C"/>
    <w:rsid w:val="43663BA2"/>
    <w:rsid w:val="437A1D34"/>
    <w:rsid w:val="43C10091"/>
    <w:rsid w:val="43E81DC1"/>
    <w:rsid w:val="449C2207"/>
    <w:rsid w:val="451B3CBA"/>
    <w:rsid w:val="45825C4E"/>
    <w:rsid w:val="48115868"/>
    <w:rsid w:val="482724B3"/>
    <w:rsid w:val="488D0124"/>
    <w:rsid w:val="49D52431"/>
    <w:rsid w:val="4A1B59A8"/>
    <w:rsid w:val="4A3D22CA"/>
    <w:rsid w:val="4BBC61C9"/>
    <w:rsid w:val="4C1A528A"/>
    <w:rsid w:val="4C36050C"/>
    <w:rsid w:val="4C776B4E"/>
    <w:rsid w:val="4D3B5D10"/>
    <w:rsid w:val="4D955EC1"/>
    <w:rsid w:val="4DA10918"/>
    <w:rsid w:val="4EB203A1"/>
    <w:rsid w:val="509E3FFD"/>
    <w:rsid w:val="51A4707D"/>
    <w:rsid w:val="53861B5A"/>
    <w:rsid w:val="553D0CC5"/>
    <w:rsid w:val="58103BD6"/>
    <w:rsid w:val="58423694"/>
    <w:rsid w:val="591F6A6E"/>
    <w:rsid w:val="594B13DD"/>
    <w:rsid w:val="5B86602E"/>
    <w:rsid w:val="5B8A519E"/>
    <w:rsid w:val="5C9F4FEA"/>
    <w:rsid w:val="5EE70560"/>
    <w:rsid w:val="5F92485B"/>
    <w:rsid w:val="5FC636ED"/>
    <w:rsid w:val="60F224C7"/>
    <w:rsid w:val="61EF5E50"/>
    <w:rsid w:val="62143292"/>
    <w:rsid w:val="64337430"/>
    <w:rsid w:val="6440368E"/>
    <w:rsid w:val="65F6045A"/>
    <w:rsid w:val="6601340E"/>
    <w:rsid w:val="675A09FE"/>
    <w:rsid w:val="67DA4E2D"/>
    <w:rsid w:val="69703AA5"/>
    <w:rsid w:val="6B32027F"/>
    <w:rsid w:val="6BB04E5C"/>
    <w:rsid w:val="6DBF1E0B"/>
    <w:rsid w:val="6E7E1B4E"/>
    <w:rsid w:val="6F906085"/>
    <w:rsid w:val="6FCA26F9"/>
    <w:rsid w:val="70B17B35"/>
    <w:rsid w:val="712E3419"/>
    <w:rsid w:val="71583976"/>
    <w:rsid w:val="723D44B7"/>
    <w:rsid w:val="726A2BE6"/>
    <w:rsid w:val="743D2F7D"/>
    <w:rsid w:val="74AC4CC8"/>
    <w:rsid w:val="74C56DD4"/>
    <w:rsid w:val="74CE5FB1"/>
    <w:rsid w:val="754B3B95"/>
    <w:rsid w:val="75A72A8B"/>
    <w:rsid w:val="75C366B0"/>
    <w:rsid w:val="75D92AA8"/>
    <w:rsid w:val="76026DC5"/>
    <w:rsid w:val="775B142D"/>
    <w:rsid w:val="7786373C"/>
    <w:rsid w:val="77E757A8"/>
    <w:rsid w:val="787F63C0"/>
    <w:rsid w:val="78D10B44"/>
    <w:rsid w:val="78F74A34"/>
    <w:rsid w:val="79502EC5"/>
    <w:rsid w:val="79C24D67"/>
    <w:rsid w:val="7A354189"/>
    <w:rsid w:val="7A481F9B"/>
    <w:rsid w:val="7ABC20D6"/>
    <w:rsid w:val="7AE00B63"/>
    <w:rsid w:val="7C092567"/>
    <w:rsid w:val="7C4433D4"/>
    <w:rsid w:val="7E743EFD"/>
    <w:rsid w:val="7EA92EF3"/>
    <w:rsid w:val="7EDC32CE"/>
    <w:rsid w:val="7F6D667A"/>
    <w:rsid w:val="7FB86D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uiPriority="39" w:name="toc 1"/>
    <w:lsdException w:uiPriority="39" w:name="toc 2"/>
    <w:lsdException w:uiPriority="39" w:name="toc 3"/>
    <w:lsdException w:uiPriority="39" w:name="toc 4"/>
    <w:lsdException w:uiPriority="39" w:name="toc 5"/>
    <w:lsdException w:qFormat="1" w:unhideWhenUsed="0" w:uiPriority="0" w:semiHidden="0"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iPriority="99" w:semiHidden="0" w:name="Message Header"/>
    <w:lsdException w:qFormat="1" w:unhideWhenUsed="0" w:uiPriority="11" w:semiHidden="0" w:name="Subtitle"/>
    <w:lsdException w:uiPriority="99" w:name="Salutation"/>
    <w:lsdException w:qFormat="1" w:uiPriority="99" w:semiHidden="0"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spacing w:before="100" w:beforeAutospacing="1" w:after="100" w:afterAutospacing="1"/>
      <w:jc w:val="left"/>
    </w:pPr>
    <w:rPr>
      <w:rFonts w:hint="eastAsia" w:ascii="宋体" w:hAnsi="宋体" w:eastAsia="宋体" w:cs="宋体"/>
      <w:b/>
      <w:kern w:val="44"/>
      <w:sz w:val="48"/>
      <w:szCs w:val="48"/>
      <w:lang w:val="en-US" w:eastAsia="zh-CN" w:bidi="ar"/>
    </w:rPr>
  </w:style>
  <w:style w:type="paragraph" w:styleId="4">
    <w:name w:val="heading 2"/>
    <w:basedOn w:val="1"/>
    <w:next w:val="1"/>
    <w:unhideWhenUsed/>
    <w:qFormat/>
    <w:uiPriority w:val="0"/>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19">
    <w:name w:val="Default Paragraph Font"/>
    <w:link w:val="20"/>
    <w:unhideWhenUsed/>
    <w:qFormat/>
    <w:uiPriority w:val="1"/>
    <w:rPr>
      <w:rFonts w:ascii="Times New Roman" w:hAnsi="Times New Roman"/>
      <w:szCs w:val="24"/>
    </w:rPr>
  </w:style>
  <w:style w:type="table" w:default="1" w:styleId="24">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32"/>
    <w:unhideWhenUsed/>
    <w:qFormat/>
    <w:uiPriority w:val="99"/>
    <w:pPr>
      <w:tabs>
        <w:tab w:val="center" w:pos="4153"/>
        <w:tab w:val="right" w:pos="8306"/>
      </w:tabs>
      <w:snapToGrid w:val="0"/>
      <w:jc w:val="left"/>
    </w:pPr>
    <w:rPr>
      <w:sz w:val="18"/>
      <w:szCs w:val="18"/>
    </w:rPr>
  </w:style>
  <w:style w:type="paragraph" w:styleId="5">
    <w:name w:val="Body Text First Indent"/>
    <w:basedOn w:val="6"/>
    <w:unhideWhenUsed/>
    <w:qFormat/>
    <w:uiPriority w:val="99"/>
    <w:pPr>
      <w:ind w:firstLine="420" w:firstLineChars="100"/>
      <w:jc w:val="left"/>
    </w:pPr>
    <w:rPr>
      <w:sz w:val="28"/>
      <w:szCs w:val="24"/>
    </w:rPr>
  </w:style>
  <w:style w:type="paragraph" w:styleId="6">
    <w:name w:val="Body Text"/>
    <w:basedOn w:val="1"/>
    <w:unhideWhenUsed/>
    <w:qFormat/>
    <w:uiPriority w:val="99"/>
  </w:style>
  <w:style w:type="paragraph" w:styleId="7">
    <w:name w:val="index 8"/>
    <w:basedOn w:val="1"/>
    <w:next w:val="1"/>
    <w:qFormat/>
    <w:uiPriority w:val="0"/>
    <w:pPr>
      <w:ind w:left="2940"/>
    </w:pPr>
  </w:style>
  <w:style w:type="paragraph" w:styleId="8">
    <w:name w:val="Normal Indent"/>
    <w:basedOn w:val="1"/>
    <w:qFormat/>
    <w:uiPriority w:val="0"/>
    <w:pPr>
      <w:ind w:firstLine="420" w:firstLineChars="200"/>
    </w:pPr>
    <w:rPr>
      <w:rFonts w:eastAsia="仿宋"/>
      <w:sz w:val="32"/>
    </w:rPr>
  </w:style>
  <w:style w:type="paragraph" w:styleId="9">
    <w:name w:val="Body Text Indent"/>
    <w:basedOn w:val="1"/>
    <w:next w:val="8"/>
    <w:qFormat/>
    <w:uiPriority w:val="0"/>
    <w:pPr>
      <w:spacing w:after="120"/>
      <w:ind w:left="420" w:leftChars="200"/>
    </w:pPr>
    <w:rPr>
      <w:rFonts w:ascii="Times New Roman" w:hAnsi="Times New Roman" w:eastAsia="宋体"/>
    </w:rPr>
  </w:style>
  <w:style w:type="paragraph" w:styleId="10">
    <w:name w:val="Plain Text"/>
    <w:basedOn w:val="1"/>
    <w:next w:val="7"/>
    <w:qFormat/>
    <w:uiPriority w:val="0"/>
    <w:pPr>
      <w:widowControl/>
      <w:spacing w:before="100" w:beforeAutospacing="1" w:after="100" w:afterAutospacing="1"/>
      <w:jc w:val="left"/>
    </w:pPr>
    <w:rPr>
      <w:rFonts w:ascii="宋体" w:hAnsi="宋体" w:eastAsia="宋体" w:cs="Times New Roman"/>
      <w:kern w:val="0"/>
      <w:sz w:val="24"/>
      <w:szCs w:val="24"/>
    </w:rPr>
  </w:style>
  <w:style w:type="paragraph" w:styleId="11">
    <w:name w:val="Date"/>
    <w:basedOn w:val="1"/>
    <w:next w:val="1"/>
    <w:link w:val="31"/>
    <w:unhideWhenUsed/>
    <w:qFormat/>
    <w:uiPriority w:val="99"/>
    <w:pPr>
      <w:ind w:left="100" w:leftChars="2500"/>
    </w:pPr>
  </w:style>
  <w:style w:type="paragraph" w:styleId="12">
    <w:name w:val="Balloon Text"/>
    <w:basedOn w:val="1"/>
    <w:link w:val="33"/>
    <w:unhideWhenUsed/>
    <w:qFormat/>
    <w:uiPriority w:val="99"/>
    <w:rPr>
      <w:sz w:val="18"/>
      <w:szCs w:val="18"/>
    </w:rPr>
  </w:style>
  <w:style w:type="paragraph" w:styleId="13">
    <w:name w:val="Body Text First Indent 2"/>
    <w:basedOn w:val="9"/>
    <w:qFormat/>
    <w:uiPriority w:val="0"/>
    <w:pPr>
      <w:spacing w:after="0"/>
      <w:ind w:firstLine="420" w:firstLineChars="200"/>
    </w:pPr>
  </w:style>
  <w:style w:type="paragraph" w:styleId="14">
    <w:name w:val="header"/>
    <w:basedOn w:val="1"/>
    <w:next w:val="1"/>
    <w:link w:val="34"/>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oc 6"/>
    <w:basedOn w:val="1"/>
    <w:next w:val="1"/>
    <w:qFormat/>
    <w:uiPriority w:val="0"/>
    <w:pPr>
      <w:ind w:left="141" w:leftChars="67"/>
    </w:pPr>
    <w:rPr>
      <w:rFonts w:eastAsia="仿宋_GB2312"/>
      <w:sz w:val="32"/>
      <w:szCs w:val="32"/>
    </w:rPr>
  </w:style>
  <w:style w:type="paragraph" w:styleId="16">
    <w:name w:val="Message Header"/>
    <w:basedOn w:val="1"/>
    <w:next w:val="6"/>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cs="Times New Roman"/>
      <w:sz w:val="24"/>
      <w:szCs w:val="24"/>
    </w:rPr>
  </w:style>
  <w:style w:type="paragraph" w:styleId="17">
    <w:name w:val="Normal (Web)"/>
    <w:basedOn w:val="1"/>
    <w:qFormat/>
    <w:uiPriority w:val="0"/>
    <w:pPr>
      <w:spacing w:beforeAutospacing="1" w:afterAutospacing="1"/>
      <w:jc w:val="left"/>
    </w:pPr>
    <w:rPr>
      <w:rFonts w:cs="Times New Roman"/>
      <w:kern w:val="0"/>
      <w:sz w:val="24"/>
    </w:rPr>
  </w:style>
  <w:style w:type="paragraph" w:styleId="18">
    <w:name w:val="Title"/>
    <w:basedOn w:val="1"/>
    <w:next w:val="1"/>
    <w:qFormat/>
    <w:uiPriority w:val="10"/>
    <w:pPr>
      <w:spacing w:beforeLines="0" w:beforeAutospacing="0" w:afterLines="0" w:afterAutospacing="0"/>
      <w:jc w:val="left"/>
      <w:outlineLvl w:val="0"/>
    </w:pPr>
    <w:rPr>
      <w:rFonts w:ascii="Arial" w:hAnsi="Arial"/>
    </w:rPr>
  </w:style>
  <w:style w:type="paragraph" w:customStyle="1" w:styleId="20">
    <w:name w:val=" Char Char Char Char"/>
    <w:basedOn w:val="1"/>
    <w:link w:val="19"/>
    <w:qFormat/>
    <w:uiPriority w:val="0"/>
    <w:rPr>
      <w:rFonts w:ascii="Times New Roman" w:hAnsi="Times New Roman"/>
      <w:szCs w:val="24"/>
    </w:rPr>
  </w:style>
  <w:style w:type="character" w:styleId="21">
    <w:name w:val="Strong"/>
    <w:basedOn w:val="19"/>
    <w:qFormat/>
    <w:uiPriority w:val="0"/>
    <w:rPr>
      <w:b/>
      <w:bCs/>
    </w:rPr>
  </w:style>
  <w:style w:type="character" w:styleId="22">
    <w:name w:val="page number"/>
    <w:basedOn w:val="19"/>
    <w:qFormat/>
    <w:uiPriority w:val="0"/>
  </w:style>
  <w:style w:type="character" w:styleId="23">
    <w:name w:val="Hyperlink"/>
    <w:basedOn w:val="19"/>
    <w:qFormat/>
    <w:uiPriority w:val="0"/>
    <w:rPr>
      <w:color w:val="0000FF"/>
      <w:u w:val="single"/>
    </w:rPr>
  </w:style>
  <w:style w:type="table" w:styleId="25">
    <w:name w:val="Table Grid"/>
    <w:basedOn w:val="2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26">
    <w:name w:val="Char"/>
    <w:basedOn w:val="1"/>
    <w:next w:val="1"/>
    <w:link w:val="19"/>
    <w:qFormat/>
    <w:uiPriority w:val="0"/>
    <w:rPr>
      <w:rFonts w:ascii="Times New Roman" w:hAnsi="Times New Roman"/>
      <w:bCs/>
      <w:lang w:eastAsia="en-US"/>
    </w:rPr>
  </w:style>
  <w:style w:type="paragraph" w:customStyle="1" w:styleId="27">
    <w:name w:val="Default"/>
    <w:next w:val="28"/>
    <w:qFormat/>
    <w:uiPriority w:val="99"/>
    <w:pPr>
      <w:widowControl w:val="0"/>
      <w:autoSpaceDE w:val="0"/>
      <w:autoSpaceDN w:val="0"/>
      <w:adjustRightInd w:val="0"/>
    </w:pPr>
    <w:rPr>
      <w:rFonts w:hint="eastAsia" w:ascii="方正小标宋_GBK" w:hAnsi="方正小标宋_GBK" w:eastAsia="方正小标宋_GBK" w:cs="Times New Roman"/>
      <w:color w:val="000000"/>
      <w:sz w:val="24"/>
      <w:lang w:val="en-US" w:eastAsia="zh-CN" w:bidi="ar-SA"/>
    </w:rPr>
  </w:style>
  <w:style w:type="paragraph" w:customStyle="1" w:styleId="28">
    <w:name w:val="正文文字 6"/>
    <w:next w:val="1"/>
    <w:qFormat/>
    <w:uiPriority w:val="0"/>
    <w:pPr>
      <w:widowControl w:val="0"/>
      <w:ind w:left="240"/>
      <w:jc w:val="both"/>
    </w:pPr>
    <w:rPr>
      <w:rFonts w:ascii="宋体" w:hAnsi="Calibri" w:eastAsia="宋体" w:cs="Times New Roman"/>
      <w:b/>
      <w:bCs/>
      <w:kern w:val="2"/>
      <w:sz w:val="32"/>
      <w:szCs w:val="32"/>
      <w:lang w:val="en-US" w:eastAsia="zh-CN" w:bidi="ar-SA"/>
    </w:rPr>
  </w:style>
  <w:style w:type="paragraph" w:customStyle="1" w:styleId="29">
    <w:name w:val="正文-公1"/>
    <w:basedOn w:val="1"/>
    <w:next w:val="1"/>
    <w:qFormat/>
    <w:uiPriority w:val="0"/>
    <w:pPr>
      <w:ind w:firstLine="200" w:firstLineChars="200"/>
      <w:jc w:val="left"/>
    </w:pPr>
    <w:rPr>
      <w:rFonts w:eastAsia="仿宋_GB2312"/>
    </w:rPr>
  </w:style>
  <w:style w:type="paragraph" w:customStyle="1" w:styleId="30">
    <w:name w:val="列出段落1"/>
    <w:basedOn w:val="1"/>
    <w:qFormat/>
    <w:uiPriority w:val="34"/>
    <w:pPr>
      <w:ind w:firstLine="420" w:firstLineChars="200"/>
    </w:pPr>
  </w:style>
  <w:style w:type="character" w:customStyle="1" w:styleId="31">
    <w:name w:val="日期 Char"/>
    <w:basedOn w:val="19"/>
    <w:link w:val="11"/>
    <w:semiHidden/>
    <w:qFormat/>
    <w:uiPriority w:val="99"/>
  </w:style>
  <w:style w:type="character" w:customStyle="1" w:styleId="32">
    <w:name w:val="页脚 Char"/>
    <w:basedOn w:val="19"/>
    <w:link w:val="2"/>
    <w:qFormat/>
    <w:uiPriority w:val="99"/>
    <w:rPr>
      <w:sz w:val="18"/>
      <w:szCs w:val="18"/>
    </w:rPr>
  </w:style>
  <w:style w:type="character" w:customStyle="1" w:styleId="33">
    <w:name w:val="批注框文本 Char"/>
    <w:basedOn w:val="19"/>
    <w:link w:val="12"/>
    <w:semiHidden/>
    <w:qFormat/>
    <w:uiPriority w:val="99"/>
    <w:rPr>
      <w:sz w:val="18"/>
      <w:szCs w:val="18"/>
    </w:rPr>
  </w:style>
  <w:style w:type="character" w:customStyle="1" w:styleId="34">
    <w:name w:val="页眉 Char"/>
    <w:basedOn w:val="19"/>
    <w:link w:val="14"/>
    <w:qFormat/>
    <w:uiPriority w:val="99"/>
    <w:rPr>
      <w:sz w:val="18"/>
      <w:szCs w:val="18"/>
    </w:rPr>
  </w:style>
  <w:style w:type="character" w:customStyle="1" w:styleId="35">
    <w:name w:val="font141"/>
    <w:basedOn w:val="19"/>
    <w:qFormat/>
    <w:uiPriority w:val="0"/>
    <w:rPr>
      <w:rFonts w:hint="eastAsia" w:ascii="宋体" w:hAnsi="宋体" w:eastAsia="宋体" w:cs="宋体"/>
      <w:color w:val="000000"/>
      <w:sz w:val="28"/>
      <w:szCs w:val="28"/>
      <w:u w:val="none"/>
    </w:rPr>
  </w:style>
  <w:style w:type="character" w:customStyle="1" w:styleId="36">
    <w:name w:val="font21"/>
    <w:basedOn w:val="19"/>
    <w:qFormat/>
    <w:uiPriority w:val="0"/>
    <w:rPr>
      <w:rFonts w:hint="eastAsia" w:ascii="黑体" w:hAnsi="宋体" w:eastAsia="黑体" w:cs="黑体"/>
      <w:b/>
      <w:color w:val="000000"/>
      <w:sz w:val="20"/>
      <w:szCs w:val="20"/>
      <w:u w:val="none"/>
    </w:rPr>
  </w:style>
  <w:style w:type="character" w:customStyle="1" w:styleId="37">
    <w:name w:val="font81"/>
    <w:basedOn w:val="19"/>
    <w:qFormat/>
    <w:uiPriority w:val="0"/>
    <w:rPr>
      <w:rFonts w:ascii="仿宋" w:hAnsi="仿宋" w:eastAsia="仿宋" w:cs="仿宋"/>
      <w:b/>
      <w:color w:val="000000"/>
      <w:sz w:val="20"/>
      <w:szCs w:val="20"/>
      <w:u w:val="none"/>
    </w:rPr>
  </w:style>
  <w:style w:type="character" w:customStyle="1" w:styleId="38">
    <w:name w:val="font51"/>
    <w:basedOn w:val="19"/>
    <w:qFormat/>
    <w:uiPriority w:val="0"/>
    <w:rPr>
      <w:rFonts w:hint="eastAsia" w:ascii="仿宋_GB2312" w:eastAsia="仿宋_GB2312" w:cs="仿宋_GB2312"/>
      <w:b/>
      <w:color w:val="000000"/>
      <w:sz w:val="20"/>
      <w:szCs w:val="20"/>
      <w:u w:val="none"/>
    </w:rPr>
  </w:style>
  <w:style w:type="character" w:customStyle="1" w:styleId="39">
    <w:name w:val="font11"/>
    <w:basedOn w:val="19"/>
    <w:qFormat/>
    <w:uiPriority w:val="0"/>
    <w:rPr>
      <w:rFonts w:ascii="方正黑体简体" w:hAnsi="方正黑体简体" w:eastAsia="方正黑体简体" w:cs="方正黑体简体"/>
      <w:b/>
      <w:color w:val="000000"/>
      <w:sz w:val="20"/>
      <w:szCs w:val="20"/>
      <w:u w:val="none"/>
    </w:rPr>
  </w:style>
  <w:style w:type="character" w:customStyle="1" w:styleId="40">
    <w:name w:val="font01"/>
    <w:basedOn w:val="19"/>
    <w:qFormat/>
    <w:uiPriority w:val="0"/>
    <w:rPr>
      <w:rFonts w:ascii="黑体" w:hAnsi="宋体" w:eastAsia="黑体" w:cs="黑体"/>
      <w:b/>
      <w:color w:val="000000"/>
      <w:sz w:val="20"/>
      <w:szCs w:val="20"/>
      <w:u w:val="none"/>
    </w:rPr>
  </w:style>
  <w:style w:type="paragraph" w:customStyle="1" w:styleId="41">
    <w:name w:val="_Style 2"/>
    <w:basedOn w:val="1"/>
    <w:next w:val="1"/>
    <w:qFormat/>
    <w:uiPriority w:val="0"/>
    <w:pPr>
      <w:pBdr>
        <w:bottom w:val="single" w:color="auto" w:sz="6" w:space="1"/>
      </w:pBdr>
      <w:jc w:val="center"/>
    </w:pPr>
    <w:rPr>
      <w:rFonts w:ascii="Arial" w:eastAsia="宋体"/>
      <w:vanish/>
      <w:sz w:val="16"/>
    </w:rPr>
  </w:style>
  <w:style w:type="paragraph" w:customStyle="1" w:styleId="42">
    <w:name w:val="_Style 3"/>
    <w:basedOn w:val="1"/>
    <w:next w:val="1"/>
    <w:qFormat/>
    <w:uiPriority w:val="0"/>
    <w:pPr>
      <w:pBdr>
        <w:top w:val="single" w:color="auto" w:sz="6" w:space="1"/>
      </w:pBdr>
      <w:jc w:val="center"/>
    </w:pPr>
    <w:rPr>
      <w:rFonts w:ascii="Arial" w:eastAsia="宋体"/>
      <w:vanish/>
      <w:sz w:val="16"/>
    </w:rPr>
  </w:style>
  <w:style w:type="paragraph" w:customStyle="1" w:styleId="43">
    <w:name w:val="正文（公文）"/>
    <w:basedOn w:val="1"/>
    <w:qFormat/>
    <w:uiPriority w:val="0"/>
    <w:pPr>
      <w:spacing w:line="580" w:lineRule="exact"/>
      <w:ind w:firstLine="420"/>
    </w:pPr>
    <w:rPr>
      <w:rFonts w:ascii="Calibri" w:hAnsi="Calibri" w:eastAsia="方正仿宋_GBK" w:cs="Times New Roman"/>
      <w:sz w:val="32"/>
    </w:rPr>
  </w:style>
  <w:style w:type="character" w:customStyle="1" w:styleId="44">
    <w:name w:val="NormalCharacter"/>
    <w:link w:val="45"/>
    <w:semiHidden/>
    <w:qFormat/>
    <w:uiPriority w:val="0"/>
    <w:rPr>
      <w:rFonts w:ascii="Calibri" w:hAnsi="Calibri" w:eastAsia="仿宋_GB2312"/>
      <w:kern w:val="24"/>
      <w:sz w:val="24"/>
      <w:szCs w:val="24"/>
      <w:lang w:val="en-US" w:eastAsia="zh-CN" w:bidi="ar-SA"/>
    </w:rPr>
  </w:style>
  <w:style w:type="paragraph" w:customStyle="1" w:styleId="45">
    <w:name w:val="UserStyle_5"/>
    <w:basedOn w:val="1"/>
    <w:link w:val="44"/>
    <w:qFormat/>
    <w:uiPriority w:val="0"/>
    <w:pPr>
      <w:tabs>
        <w:tab w:val="left" w:pos="425"/>
      </w:tabs>
      <w:ind w:left="425" w:hanging="425"/>
      <w:jc w:val="both"/>
      <w:textAlignment w:val="baseline"/>
    </w:pPr>
    <w:rPr>
      <w:rFonts w:ascii="Calibri" w:hAnsi="Calibri" w:eastAsia="仿宋_GB2312"/>
      <w:kern w:val="24"/>
      <w:sz w:val="24"/>
      <w:szCs w:val="24"/>
      <w:lang w:val="en-US" w:eastAsia="zh-CN" w:bidi="ar-SA"/>
    </w:rPr>
  </w:style>
  <w:style w:type="paragraph" w:customStyle="1" w:styleId="46">
    <w:name w:val="reader-word-layer"/>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47">
    <w:name w:val="Table caption|1"/>
    <w:basedOn w:val="1"/>
    <w:qFormat/>
    <w:uiPriority w:val="0"/>
    <w:pPr>
      <w:widowControl w:val="0"/>
      <w:shd w:val="clear" w:color="auto" w:fill="auto"/>
    </w:pPr>
    <w:rPr>
      <w:rFonts w:ascii="宋体" w:hAnsi="宋体" w:eastAsia="宋体" w:cs="宋体"/>
      <w:sz w:val="28"/>
      <w:szCs w:val="28"/>
      <w:u w:val="none"/>
      <w:shd w:val="clear" w:color="auto" w:fill="auto"/>
      <w:lang w:val="zh-TW" w:eastAsia="zh-TW" w:bidi="zh-TW"/>
    </w:rPr>
  </w:style>
  <w:style w:type="character" w:customStyle="1" w:styleId="48">
    <w:name w:val="font41"/>
    <w:qFormat/>
    <w:uiPriority w:val="0"/>
    <w:rPr>
      <w:rFonts w:hint="eastAsia" w:ascii="宋体" w:hAnsi="宋体" w:eastAsia="宋体" w:cs="宋体"/>
      <w:color w:val="000000"/>
      <w:sz w:val="20"/>
      <w:szCs w:val="20"/>
      <w:u w:val="none"/>
    </w:rPr>
  </w:style>
  <w:style w:type="character" w:customStyle="1" w:styleId="49">
    <w:name w:val="font31"/>
    <w:basedOn w:val="19"/>
    <w:qFormat/>
    <w:uiPriority w:val="0"/>
    <w:rPr>
      <w:rFonts w:hint="eastAsia" w:ascii="仿宋" w:hAnsi="仿宋" w:eastAsia="仿宋" w:cs="仿宋"/>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3</Pages>
  <Words>134</Words>
  <Characters>766</Characters>
  <Lines>6</Lines>
  <Paragraphs>1</Paragraphs>
  <TotalTime>26</TotalTime>
  <ScaleCrop>false</ScaleCrop>
  <LinksUpToDate>false</LinksUpToDate>
  <CharactersWithSpaces>899</CharactersWithSpaces>
  <Application>WPS Office_10.8.0.6470_F1E327BC-269C-435d-A152-05C5408002CA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2018-01-10T02:30:00Z</dcterms:created>
  <dc:creator>刘贞梅</dc:creator>
  <cp:lastModifiedBy>NTKO</cp:lastModifiedBy>
  <cp:lastPrinted>2020-09-21T08:23:00Z</cp:lastPrinted>
  <dcterms:modified xsi:type="dcterms:W3CDTF">2021-11-29T07:49:48Z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2052-10.8.0.6470</vt:lpwstr>
  </property>
</Properties>
</file>