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0"/>
        <w:jc w:val="left"/>
        <w:textAlignment w:val="auto"/>
        <w:rPr>
          <w:rFonts w:hint="default" w:ascii="Times New Roman" w:hAnsi="Times New Roman" w:eastAsia="仿宋_GB2312" w:cs="Times New Roman"/>
          <w:kern w:val="2"/>
          <w:sz w:val="32"/>
          <w:szCs w:val="32"/>
          <w:highlight w:val="none"/>
          <w:lang w:val="en-US" w:eastAsia="zh-CN" w:bidi="ar-SA"/>
        </w:rPr>
      </w:pPr>
      <w:bookmarkStart w:id="0" w:name="_GoBack"/>
      <w:r>
        <w:rPr>
          <w:rFonts w:hint="default" w:ascii="Times New Roman" w:hAnsi="Times New Roman" w:eastAsia="仿宋_GB2312" w:cs="Times New Roman"/>
          <w:kern w:val="2"/>
          <w:sz w:val="32"/>
          <w:szCs w:val="32"/>
          <w:highlight w:val="none"/>
          <w:lang w:val="en-US" w:eastAsia="zh-CN" w:bidi="ar-SA"/>
        </w:rPr>
        <w:t>附件1</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default" w:ascii="Times New Roman" w:hAnsi="Times New Roman" w:eastAsia="方正小标宋简体" w:cs="Times New Roman"/>
          <w:kern w:val="2"/>
          <w:sz w:val="44"/>
          <w:szCs w:val="44"/>
          <w:lang w:val="en-US" w:eastAsia="zh-CN" w:bidi="ar-SA"/>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柳州市推动企业建立事故隐患内部报告</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奖励机制促进生产经营单位主体责任落实</w:t>
      </w:r>
    </w:p>
    <w:bookmarkEnd w:id="0"/>
    <w:p>
      <w:pPr>
        <w:keepNext w:val="0"/>
        <w:keepLines w:val="0"/>
        <w:pageBreakBefore w:val="0"/>
        <w:widowControl w:val="0"/>
        <w:kinsoku/>
        <w:wordWrap/>
        <w:overflowPunct/>
        <w:topLinePunct w:val="0"/>
        <w:autoSpaceDE/>
        <w:autoSpaceDN/>
        <w:bidi w:val="0"/>
        <w:adjustRightInd/>
        <w:snapToGrid/>
        <w:spacing w:line="620" w:lineRule="exact"/>
        <w:ind w:firstLine="880" w:firstLineChars="200"/>
        <w:jc w:val="both"/>
        <w:textAlignment w:val="auto"/>
        <w:rPr>
          <w:rFonts w:hint="default" w:ascii="Times New Roman" w:hAnsi="Times New Roman" w:eastAsia="方正小标宋简体" w:cs="Times New Roman"/>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近年来，柳州市创新工作方式，</w:t>
      </w:r>
      <w:r>
        <w:rPr>
          <w:rFonts w:hint="default" w:ascii="Times New Roman" w:hAnsi="Times New Roman" w:eastAsia="仿宋_GB2312" w:cs="Times New Roman"/>
          <w:color w:val="auto"/>
          <w:sz w:val="32"/>
          <w:szCs w:val="32"/>
          <w:highlight w:val="none"/>
        </w:rPr>
        <w:t>积极</w:t>
      </w:r>
      <w:r>
        <w:rPr>
          <w:rFonts w:hint="default" w:ascii="Times New Roman" w:hAnsi="Times New Roman" w:eastAsia="仿宋_GB2312" w:cs="Times New Roman"/>
          <w:color w:val="auto"/>
          <w:sz w:val="32"/>
          <w:szCs w:val="32"/>
          <w:highlight w:val="none"/>
          <w:lang w:eastAsia="zh-CN"/>
        </w:rPr>
        <w:t>推动</w:t>
      </w:r>
      <w:r>
        <w:rPr>
          <w:rFonts w:hint="default" w:ascii="Times New Roman" w:hAnsi="Times New Roman" w:eastAsia="仿宋_GB2312" w:cs="Times New Roman"/>
          <w:color w:val="auto"/>
          <w:sz w:val="32"/>
          <w:szCs w:val="32"/>
          <w:highlight w:val="none"/>
        </w:rPr>
        <w:t>企</w:t>
      </w:r>
      <w:r>
        <w:rPr>
          <w:rFonts w:hint="default" w:ascii="Times New Roman" w:hAnsi="Times New Roman" w:eastAsia="仿宋_GB2312" w:cs="Times New Roman"/>
          <w:sz w:val="32"/>
          <w:szCs w:val="32"/>
          <w:lang w:val="en-US" w:eastAsia="zh-CN"/>
        </w:rPr>
        <w:t>业建立事故隐患内部报告奖励机制，提升事故隐患排查整治的精准性和时效性，促进生产经营单位主体责任落实，安全生产举报奖励工作得到全面加强。2023年1月至2024年9月，柳州市共统计报送企业事故隐患内部报告17433件，发放奖励86.594万元，分别占全市安全生产举报总量和奖励总额的95.2％和94.7％。</w:t>
      </w:r>
    </w:p>
    <w:p>
      <w:pPr>
        <w:pStyle w:val="10"/>
        <w:keepNext w:val="0"/>
        <w:keepLines w:val="0"/>
        <w:pageBreakBefore w:val="0"/>
        <w:widowControl w:val="0"/>
        <w:kinsoku/>
        <w:wordWrap/>
        <w:overflowPunct/>
        <w:topLinePunct w:val="0"/>
        <w:autoSpaceDE/>
        <w:autoSpaceDN/>
        <w:bidi w:val="0"/>
        <w:adjustRightInd/>
        <w:snapToGrid/>
        <w:spacing w:after="0" w:line="62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lang w:eastAsia="zh-CN"/>
        </w:rPr>
        <w:t>一、高位推动，强化部署安排。</w:t>
      </w:r>
      <w:r>
        <w:rPr>
          <w:rFonts w:hint="default" w:ascii="Times New Roman" w:hAnsi="Times New Roman" w:eastAsia="仿宋_GB2312" w:cs="Times New Roman"/>
          <w:b w:val="0"/>
          <w:bCs w:val="0"/>
          <w:sz w:val="32"/>
          <w:szCs w:val="32"/>
          <w:lang w:eastAsia="zh-CN"/>
        </w:rPr>
        <w:t>柳州市从政府层面加强</w:t>
      </w:r>
      <w:r>
        <w:rPr>
          <w:rFonts w:hint="default" w:ascii="Times New Roman" w:hAnsi="Times New Roman" w:eastAsia="仿宋_GB2312" w:cs="Times New Roman"/>
          <w:sz w:val="32"/>
          <w:szCs w:val="32"/>
          <w:lang w:eastAsia="zh-CN"/>
        </w:rPr>
        <w:t>安全生产社会共治格局的</w:t>
      </w:r>
      <w:r>
        <w:rPr>
          <w:rFonts w:hint="default" w:ascii="Times New Roman" w:hAnsi="Times New Roman" w:eastAsia="仿宋_GB2312" w:cs="Times New Roman"/>
          <w:b w:val="0"/>
          <w:bCs w:val="0"/>
          <w:color w:val="auto"/>
          <w:sz w:val="32"/>
          <w:szCs w:val="32"/>
          <w:lang w:val="en" w:eastAsia="zh-CN"/>
        </w:rPr>
        <w:t>顶层设计，</w:t>
      </w:r>
      <w:r>
        <w:rPr>
          <w:rFonts w:hint="default" w:ascii="Times New Roman" w:hAnsi="Times New Roman" w:eastAsia="仿宋_GB2312" w:cs="Times New Roman"/>
          <w:color w:val="auto"/>
          <w:sz w:val="32"/>
          <w:szCs w:val="32"/>
          <w:lang w:eastAsia="zh-CN"/>
        </w:rPr>
        <w:t>2020年</w:t>
      </w:r>
      <w:r>
        <w:rPr>
          <w:rFonts w:hint="default" w:ascii="Times New Roman" w:hAnsi="Times New Roman" w:eastAsia="仿宋_GB2312" w:cs="Times New Roman"/>
          <w:b w:val="0"/>
          <w:bCs w:val="0"/>
          <w:color w:val="auto"/>
          <w:sz w:val="32"/>
          <w:szCs w:val="32"/>
          <w:lang w:eastAsia="zh-CN"/>
        </w:rPr>
        <w:t>以政府规范性文件形式印发</w:t>
      </w:r>
      <w:r>
        <w:rPr>
          <w:rFonts w:hint="default" w:ascii="Times New Roman" w:hAnsi="Times New Roman" w:eastAsia="仿宋_GB2312" w:cs="Times New Roman"/>
          <w:b w:val="0"/>
          <w:bCs w:val="0"/>
          <w:color w:val="auto"/>
          <w:sz w:val="32"/>
          <w:szCs w:val="32"/>
        </w:rPr>
        <w:t>《柳州市安全生产举报奖励办法》</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sz w:val="32"/>
          <w:szCs w:val="32"/>
          <w:lang w:val="en-US" w:eastAsia="zh-CN"/>
        </w:rPr>
        <w:t>为推行企业事故隐患内部报告奖励机制奠实基础</w:t>
      </w:r>
      <w:r>
        <w:rPr>
          <w:rFonts w:hint="default" w:ascii="Times New Roman" w:hAnsi="Times New Roman" w:eastAsia="仿宋_GB2312" w:cs="Times New Roman"/>
          <w:b w:val="0"/>
          <w:bCs w:val="0"/>
          <w:sz w:val="32"/>
          <w:szCs w:val="32"/>
          <w:lang w:eastAsia="zh-CN"/>
        </w:rPr>
        <w:t>。市</w:t>
      </w:r>
      <w:r>
        <w:rPr>
          <w:rFonts w:hint="default" w:ascii="Times New Roman" w:hAnsi="Times New Roman" w:eastAsia="仿宋_GB2312" w:cs="Times New Roman"/>
          <w:sz w:val="32"/>
          <w:szCs w:val="32"/>
          <w:lang w:eastAsia="zh-CN"/>
        </w:rPr>
        <w:t>政府分管安全生产工作领导亲自批示推动</w:t>
      </w:r>
      <w:r>
        <w:rPr>
          <w:rFonts w:hint="default" w:ascii="Times New Roman" w:hAnsi="Times New Roman" w:eastAsia="仿宋_GB2312" w:cs="Times New Roman"/>
          <w:b w:val="0"/>
          <w:bCs w:val="0"/>
          <w:sz w:val="32"/>
          <w:szCs w:val="32"/>
          <w:lang w:val="en-US" w:eastAsia="zh-CN"/>
        </w:rPr>
        <w:t>企业事故隐患内部报告奖励</w:t>
      </w:r>
      <w:r>
        <w:rPr>
          <w:rFonts w:hint="default" w:ascii="Times New Roman" w:hAnsi="Times New Roman" w:eastAsia="仿宋_GB2312" w:cs="Times New Roman"/>
          <w:b w:val="0"/>
          <w:bCs w:val="0"/>
          <w:sz w:val="32"/>
          <w:szCs w:val="32"/>
          <w:lang w:eastAsia="zh-CN"/>
        </w:rPr>
        <w:t>工作。市</w:t>
      </w:r>
      <w:r>
        <w:rPr>
          <w:rFonts w:hint="default" w:ascii="Times New Roman" w:hAnsi="Times New Roman" w:eastAsia="仿宋_GB2312" w:cs="Times New Roman"/>
          <w:sz w:val="32"/>
          <w:szCs w:val="32"/>
          <w:lang w:eastAsia="zh-CN"/>
        </w:rPr>
        <w:t>安委会</w:t>
      </w:r>
      <w:r>
        <w:rPr>
          <w:rFonts w:hint="default" w:ascii="Times New Roman" w:hAnsi="Times New Roman" w:eastAsia="仿宋_GB2312" w:cs="Times New Roman"/>
          <w:color w:val="auto"/>
          <w:sz w:val="32"/>
          <w:szCs w:val="32"/>
          <w:lang w:eastAsia="zh-CN"/>
        </w:rPr>
        <w:t>将</w:t>
      </w:r>
      <w:r>
        <w:rPr>
          <w:rFonts w:hint="default" w:ascii="Times New Roman" w:hAnsi="Times New Roman" w:eastAsia="仿宋_GB2312" w:cs="Times New Roman"/>
          <w:color w:val="auto"/>
          <w:sz w:val="32"/>
          <w:lang w:eastAsia="zh-CN"/>
        </w:rPr>
        <w:t>企业事故隐患内部报告奖励工作</w:t>
      </w:r>
      <w:r>
        <w:rPr>
          <w:rFonts w:hint="default" w:ascii="Times New Roman" w:hAnsi="Times New Roman" w:eastAsia="仿宋_GB2312" w:cs="Times New Roman"/>
          <w:b w:val="0"/>
          <w:bCs w:val="0"/>
          <w:color w:val="auto"/>
          <w:sz w:val="32"/>
          <w:lang w:eastAsia="zh-CN"/>
        </w:rPr>
        <w:t>纳入对县（区）党委、政府，以及行业主管部门和重</w:t>
      </w:r>
      <w:r>
        <w:rPr>
          <w:rFonts w:hint="default" w:ascii="Times New Roman" w:hAnsi="Times New Roman" w:eastAsia="仿宋_GB2312" w:cs="Times New Roman"/>
          <w:color w:val="auto"/>
          <w:sz w:val="32"/>
          <w:lang w:eastAsia="zh-CN"/>
        </w:rPr>
        <w:t>点企业的年度安全生产考核</w:t>
      </w:r>
      <w:r>
        <w:rPr>
          <w:rFonts w:hint="default" w:ascii="Times New Roman" w:hAnsi="Times New Roman" w:eastAsia="仿宋_GB2312" w:cs="Times New Roman"/>
          <w:color w:val="auto"/>
          <w:kern w:val="2"/>
          <w:sz w:val="32"/>
          <w:szCs w:val="22"/>
          <w:lang w:val="en-US" w:eastAsia="zh-CN" w:bidi="ar-SA"/>
        </w:rPr>
        <w:t>，在《全市安全生产治本攻坚三年行动实施方案（</w:t>
      </w:r>
      <w:r>
        <w:rPr>
          <w:rFonts w:hint="default" w:ascii="Times New Roman" w:hAnsi="Times New Roman" w:eastAsia="仿宋_GB2312" w:cs="Times New Roman"/>
          <w:color w:val="auto"/>
          <w:kern w:val="2"/>
          <w:sz w:val="32"/>
          <w:szCs w:val="22"/>
          <w:lang w:val="en" w:eastAsia="zh-CN" w:bidi="ar-SA"/>
        </w:rPr>
        <w:t>2024-2026年</w:t>
      </w:r>
      <w:r>
        <w:rPr>
          <w:rFonts w:hint="default" w:ascii="Times New Roman" w:hAnsi="Times New Roman" w:eastAsia="仿宋_GB2312" w:cs="Times New Roman"/>
          <w:color w:val="auto"/>
          <w:kern w:val="2"/>
          <w:sz w:val="32"/>
          <w:szCs w:val="22"/>
          <w:lang w:val="en-US" w:eastAsia="zh-CN" w:bidi="ar-SA"/>
        </w:rPr>
        <w:t>）》中提出明确要求，并</w:t>
      </w:r>
      <w:r>
        <w:rPr>
          <w:rFonts w:hint="default" w:ascii="Times New Roman" w:hAnsi="Times New Roman" w:eastAsia="仿宋_GB2312" w:cs="Times New Roman"/>
          <w:b w:val="0"/>
          <w:bCs w:val="0"/>
          <w:sz w:val="32"/>
          <w:szCs w:val="32"/>
          <w:lang w:val="en-US" w:eastAsia="zh-CN"/>
        </w:rPr>
        <w:t>印发</w:t>
      </w:r>
      <w:r>
        <w:rPr>
          <w:rFonts w:hint="default" w:ascii="Times New Roman" w:hAnsi="Times New Roman" w:eastAsia="仿宋_GB2312" w:cs="Times New Roman"/>
          <w:b w:val="0"/>
          <w:bCs w:val="0"/>
          <w:sz w:val="32"/>
          <w:szCs w:val="32"/>
          <w:lang w:val="en" w:eastAsia="zh-CN"/>
        </w:rPr>
        <w:t>《关于加强全市安全生产举报奖励工作的通知》，对</w:t>
      </w:r>
      <w:r>
        <w:rPr>
          <w:rFonts w:hint="default" w:ascii="Times New Roman" w:hAnsi="Times New Roman" w:eastAsia="仿宋_GB2312" w:cs="Times New Roman"/>
          <w:b w:val="0"/>
          <w:bCs w:val="0"/>
          <w:sz w:val="32"/>
          <w:szCs w:val="32"/>
          <w:lang w:val="en-US" w:eastAsia="zh-CN"/>
        </w:rPr>
        <w:t>企业事故隐患内部报告奖励工作进行详尽部署。</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jc w:val="both"/>
        <w:textAlignment w:val="auto"/>
        <w:rPr>
          <w:rFonts w:hint="default" w:ascii="Times New Roman" w:hAnsi="Times New Roman" w:eastAsia="仿宋_GB2312" w:cs="Times New Roman"/>
          <w:b w:val="0"/>
          <w:bCs w:val="0"/>
          <w:color w:val="0000FF"/>
          <w:sz w:val="32"/>
          <w:lang w:val="en-US" w:eastAsia="zh-CN"/>
        </w:rPr>
      </w:pPr>
      <w:r>
        <w:rPr>
          <w:rFonts w:hint="default" w:ascii="Times New Roman" w:hAnsi="Times New Roman" w:eastAsia="黑体" w:cs="Times New Roman"/>
          <w:b w:val="0"/>
          <w:bCs w:val="0"/>
          <w:color w:val="auto"/>
          <w:sz w:val="32"/>
          <w:szCs w:val="32"/>
          <w:lang w:eastAsia="zh-CN"/>
        </w:rPr>
        <w:t>二、宣传开路，优化监管方式。</w:t>
      </w:r>
      <w:r>
        <w:rPr>
          <w:rFonts w:hint="default" w:ascii="Times New Roman" w:hAnsi="Times New Roman" w:eastAsia="仿宋_GB2312" w:cs="Times New Roman"/>
          <w:b w:val="0"/>
          <w:bCs w:val="0"/>
          <w:sz w:val="32"/>
          <w:szCs w:val="32"/>
          <w:lang w:val="en" w:eastAsia="zh-CN"/>
        </w:rPr>
        <w:t>柳州市积极发动应急、</w:t>
      </w:r>
      <w:r>
        <w:rPr>
          <w:rFonts w:hint="default" w:ascii="Times New Roman" w:hAnsi="Times New Roman" w:eastAsia="仿宋_GB2312" w:cs="Times New Roman"/>
          <w:b w:val="0"/>
          <w:bCs w:val="0"/>
          <w:sz w:val="32"/>
          <w:szCs w:val="32"/>
          <w:lang w:val="en-US" w:eastAsia="zh-CN"/>
        </w:rPr>
        <w:t>消防、住建和文广旅等多个</w:t>
      </w:r>
      <w:r>
        <w:rPr>
          <w:rFonts w:hint="default" w:ascii="Times New Roman" w:hAnsi="Times New Roman" w:eastAsia="仿宋_GB2312" w:cs="Times New Roman"/>
          <w:b w:val="0"/>
          <w:bCs w:val="0"/>
          <w:sz w:val="32"/>
          <w:szCs w:val="32"/>
          <w:lang w:val="en" w:eastAsia="zh-CN"/>
        </w:rPr>
        <w:t>行业主管部门组织</w:t>
      </w:r>
      <w:r>
        <w:rPr>
          <w:rFonts w:hint="default" w:ascii="Times New Roman" w:hAnsi="Times New Roman" w:eastAsia="仿宋_GB2312" w:cs="Times New Roman"/>
          <w:b w:val="0"/>
          <w:bCs w:val="0"/>
          <w:sz w:val="32"/>
          <w:szCs w:val="32"/>
          <w:lang w:val="en-US" w:eastAsia="zh-CN"/>
        </w:rPr>
        <w:t>开展形式多样的</w:t>
      </w:r>
      <w:r>
        <w:rPr>
          <w:rFonts w:hint="default" w:ascii="Times New Roman" w:hAnsi="Times New Roman" w:eastAsia="仿宋_GB2312" w:cs="Times New Roman"/>
          <w:b w:val="0"/>
          <w:bCs w:val="0"/>
          <w:sz w:val="32"/>
          <w:szCs w:val="32"/>
          <w:lang w:val="en" w:eastAsia="zh-CN"/>
        </w:rPr>
        <w:t>宣传活动。在企业</w:t>
      </w:r>
      <w:r>
        <w:rPr>
          <w:rFonts w:hint="default" w:ascii="Times New Roman" w:hAnsi="Times New Roman" w:eastAsia="仿宋_GB2312" w:cs="Times New Roman"/>
          <w:b w:val="0"/>
          <w:bCs w:val="0"/>
          <w:sz w:val="32"/>
          <w:szCs w:val="32"/>
          <w:lang w:val="en-US" w:eastAsia="zh-CN"/>
        </w:rPr>
        <w:t>大力推行举报奖励公告牌制度，让企</w:t>
      </w:r>
      <w:r>
        <w:rPr>
          <w:rFonts w:hint="default" w:ascii="Times New Roman" w:hAnsi="Times New Roman" w:eastAsia="仿宋_GB2312" w:cs="Times New Roman"/>
          <w:b w:val="0"/>
          <w:bCs w:val="0"/>
          <w:sz w:val="32"/>
          <w:szCs w:val="32"/>
          <w:lang w:val="en" w:eastAsia="zh-CN"/>
        </w:rPr>
        <w:t>业职工</w:t>
      </w:r>
      <w:r>
        <w:rPr>
          <w:rFonts w:hint="default" w:ascii="Times New Roman" w:hAnsi="Times New Roman" w:eastAsia="仿宋_GB2312" w:cs="Times New Roman"/>
          <w:b w:val="0"/>
          <w:bCs w:val="0"/>
          <w:sz w:val="32"/>
          <w:szCs w:val="32"/>
          <w:lang w:val="en-US" w:eastAsia="zh-CN"/>
        </w:rPr>
        <w:t>通过</w:t>
      </w:r>
      <w:r>
        <w:rPr>
          <w:rFonts w:hint="default" w:ascii="Times New Roman" w:hAnsi="Times New Roman" w:eastAsia="仿宋_GB2312" w:cs="Times New Roman"/>
          <w:b w:val="0"/>
          <w:bCs w:val="0"/>
          <w:sz w:val="32"/>
          <w:szCs w:val="32"/>
          <w:lang w:val="en" w:eastAsia="zh-CN"/>
        </w:rPr>
        <w:t>公告牌扫码即可对内报告或对外举报安全隐患，提升隐患排查整治的积极性、主动性</w:t>
      </w:r>
      <w:r>
        <w:rPr>
          <w:rFonts w:hint="default" w:ascii="Times New Roman" w:hAnsi="Times New Roman" w:eastAsia="仿宋_GB2312" w:cs="Times New Roman"/>
          <w:b w:val="0"/>
          <w:bCs w:val="0"/>
          <w:sz w:val="32"/>
          <w:szCs w:val="32"/>
          <w:lang w:val="en-US" w:eastAsia="zh-CN"/>
        </w:rPr>
        <w:t>。同时，建立完善</w:t>
      </w:r>
      <w:r>
        <w:rPr>
          <w:rFonts w:hint="default" w:ascii="Times New Roman" w:hAnsi="Times New Roman" w:eastAsia="仿宋_GB2312" w:cs="Times New Roman"/>
          <w:bCs/>
          <w:sz w:val="32"/>
          <w:szCs w:val="32"/>
          <w:lang w:val="en-US" w:eastAsia="zh-CN"/>
        </w:rPr>
        <w:t>企业内部事故隐患报告奖励信息收集报送、行业主管部门信息收集报送、应急管理部门牵头汇总信息报送等安全生产</w:t>
      </w:r>
      <w:r>
        <w:rPr>
          <w:rFonts w:hint="default" w:ascii="Times New Roman" w:hAnsi="Times New Roman" w:eastAsia="仿宋_GB2312" w:cs="Times New Roman"/>
          <w:b w:val="0"/>
          <w:bCs w:val="0"/>
          <w:sz w:val="32"/>
          <w:szCs w:val="32"/>
          <w:lang w:val="en-US" w:eastAsia="zh-CN"/>
        </w:rPr>
        <w:t>举报奖励信息共享机制，提高了企业事故隐患内部报告奖励数据统计的覆盖率，为数据分析运用、优化监管提供有效依据。市安委办定期</w:t>
      </w:r>
      <w:r>
        <w:rPr>
          <w:rFonts w:hint="default" w:ascii="Times New Roman" w:hAnsi="Times New Roman" w:eastAsia="仿宋_GB2312" w:cs="Times New Roman"/>
          <w:b w:val="0"/>
          <w:bCs w:val="0"/>
          <w:sz w:val="32"/>
          <w:szCs w:val="32"/>
          <w:lang w:val="en" w:eastAsia="zh-CN"/>
        </w:rPr>
        <w:t>通报各县（区）、行业主管部门以及重点行业企业推进事故隐患内部报告奖励工作情况，针对存在的问题，市安委办领导多次带队深入县（区）和企业指导服务</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color w:val="auto"/>
          <w:kern w:val="2"/>
          <w:sz w:val="32"/>
          <w:szCs w:val="32"/>
          <w:lang w:val="en-US" w:eastAsia="zh-CN" w:bidi="ar-SA"/>
        </w:rPr>
        <w:t>三、多措引导，形成多样机制。</w:t>
      </w:r>
      <w:r>
        <w:rPr>
          <w:rFonts w:hint="default" w:ascii="Times New Roman" w:hAnsi="Times New Roman" w:eastAsia="仿宋_GB2312" w:cs="Times New Roman"/>
          <w:b/>
          <w:bCs/>
          <w:sz w:val="32"/>
          <w:szCs w:val="32"/>
          <w:u w:val="none"/>
          <w:lang w:eastAsia="zh-CN"/>
        </w:rPr>
        <w:t>一是</w:t>
      </w:r>
      <w:r>
        <w:rPr>
          <w:rFonts w:hint="default" w:ascii="Times New Roman" w:hAnsi="Times New Roman" w:eastAsia="仿宋_GB2312" w:cs="Times New Roman"/>
          <w:b w:val="0"/>
          <w:bCs w:val="0"/>
          <w:sz w:val="32"/>
          <w:szCs w:val="32"/>
          <w:lang w:val="en" w:eastAsia="zh-CN"/>
        </w:rPr>
        <w:t>结合监管检查等日常工作，积极引导鼓励</w:t>
      </w:r>
      <w:r>
        <w:rPr>
          <w:rFonts w:hint="default" w:ascii="Times New Roman" w:hAnsi="Times New Roman" w:eastAsia="仿宋_GB2312" w:cs="Times New Roman"/>
          <w:b w:val="0"/>
          <w:bCs w:val="0"/>
          <w:sz w:val="32"/>
          <w:szCs w:val="32"/>
          <w:lang w:val="en-US" w:eastAsia="zh-CN"/>
        </w:rPr>
        <w:t>企业建立事故隐患内部报告奖励机制，</w:t>
      </w:r>
      <w:r>
        <w:rPr>
          <w:rFonts w:hint="default" w:ascii="Times New Roman" w:hAnsi="Times New Roman" w:eastAsia="仿宋_GB2312" w:cs="Times New Roman"/>
          <w:b w:val="0"/>
          <w:bCs w:val="0"/>
          <w:sz w:val="32"/>
          <w:szCs w:val="32"/>
          <w:lang w:val="en" w:eastAsia="zh-CN"/>
        </w:rPr>
        <w:t>扩大行业内企业覆盖面。</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u w:val="none"/>
          <w:lang w:eastAsia="zh-CN"/>
        </w:rPr>
        <w:t>积极引导企业设立奖励专项资金，保障企业内部报告事故隐患的奖励支出。</w:t>
      </w:r>
      <w:r>
        <w:rPr>
          <w:rFonts w:hint="default" w:ascii="Times New Roman" w:hAnsi="Times New Roman" w:eastAsia="仿宋_GB2312" w:cs="Times New Roman"/>
          <w:b/>
          <w:bCs/>
          <w:sz w:val="32"/>
          <w:szCs w:val="32"/>
          <w:lang w:val="en" w:eastAsia="zh-CN"/>
        </w:rPr>
        <w:t>三是</w:t>
      </w:r>
      <w:r>
        <w:rPr>
          <w:rFonts w:hint="default" w:ascii="Times New Roman" w:hAnsi="Times New Roman" w:eastAsia="仿宋_GB2312" w:cs="Times New Roman"/>
          <w:sz w:val="32"/>
          <w:szCs w:val="32"/>
          <w:u w:val="none"/>
          <w:lang w:eastAsia="zh-CN"/>
        </w:rPr>
        <w:t>鼓励企业将事故隐患内部报告奖励制度纳入全员安全生产教育，有效提升从业人员发现隐患、辨识隐患的能力。在柳州市政府、市安委会和行业主管部门的引导鼓励下，柳州市辖区内各重点企业纷纷结合实际建立健全企业事故隐患内部报告奖励制度，明确本企业受理事故隐患报告的部门、途径、范围、奖励标准及报告人信息保护等内容，并将内部报告的事故隐患列入本企业隐患排查治理台账，依法依规实施闭环管理，取得了较好成效。典型的做法有：广西柳州钢铁集团有限公司建立《员工安全生产奖惩管理办法》，</w:t>
      </w:r>
      <w:r>
        <w:rPr>
          <w:rFonts w:hint="default" w:ascii="Times New Roman" w:hAnsi="Times New Roman" w:eastAsia="仿宋_GB2312" w:cs="Times New Roman"/>
          <w:sz w:val="32"/>
          <w:szCs w:val="32"/>
          <w:lang w:val="en-US" w:eastAsia="zh-CN"/>
        </w:rPr>
        <w:t>鼓励员工通过公司的“智慧安全员平台”上报隐患，由公司安全员第一时间将信息反馈给相关部门进行核实并落实整改，公司对员工的事故隐患上报行为予以经济奖励；东风柳州汽车有限公司制定《员工安全正向积分管理办法》，员工通过上报身边的隐患，可获得安全激励卡或安全正向积分，凭卡或积分可兑换实物奖励；安琪酵母（柳州）有限公司出台《安全生产激励制度》，拨专款建立员工代表安全津贴，鼓励全体员工进行安全自查，积极向公司安全环保部门提供安全生产管理意见或建议，安全津贴用于奖励员工举报、制止或及时排除重大安全隐患，以及提出的安全管理合理化建议。2024年8月20日，《中国应急管理报》头版头条刊发报道《多地持续推动企业建立完善事故隐患内部报告奖励机制让每一名员工都成为企业安全“当家人”》，对柳州市积极引导鼓励企业建立事故隐患内部报告奖励机制予以关注。</w:t>
      </w:r>
    </w:p>
    <w:p>
      <w:pPr>
        <w:pStyle w:val="2"/>
        <w:keepNext w:val="0"/>
        <w:keepLines w:val="0"/>
        <w:pageBreakBefore w:val="0"/>
        <w:kinsoku/>
        <w:wordWrap/>
        <w:overflowPunct/>
        <w:topLinePunct w:val="0"/>
        <w:bidi w:val="0"/>
        <w:snapToGrid/>
        <w:spacing w:line="620" w:lineRule="exact"/>
        <w:rPr>
          <w:rFonts w:hint="default" w:ascii="Times New Roman" w:hAnsi="Times New Roman" w:cs="Times New Roman"/>
          <w:lang w:val="en-US" w:eastAsia="zh-CN"/>
        </w:rPr>
        <w:sectPr>
          <w:pgSz w:w="11906" w:h="16838"/>
          <w:pgMar w:top="1440" w:right="1474" w:bottom="1440" w:left="1474" w:header="851" w:footer="992" w:gutter="0"/>
          <w:pgNumType w:fmt="numberInDash"/>
          <w:cols w:space="720" w:num="1"/>
          <w:rtlGutter w:val="0"/>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mNTU5NzRmM2U2NWM4ZmUwMGQ1ZWFmZjdjMDFjZDUifQ=="/>
  </w:docVars>
  <w:rsids>
    <w:rsidRoot w:val="2D326B61"/>
    <w:rsid w:val="2D326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next w:val="4"/>
    <w:autoRedefine/>
    <w:qFormat/>
    <w:uiPriority w:val="99"/>
    <w:pPr>
      <w:widowControl w:val="0"/>
      <w:autoSpaceDE w:val="0"/>
      <w:autoSpaceDN w:val="0"/>
      <w:adjustRightInd w:val="0"/>
    </w:pPr>
    <w:rPr>
      <w:rFonts w:hint="eastAsia" w:ascii="方正小标宋_GBK" w:hAnsi="方正小标宋_GBK" w:eastAsia="方正小标宋_GBK" w:cs="Times New Roman"/>
      <w:color w:val="000000"/>
      <w:sz w:val="24"/>
      <w:lang w:val="en-US" w:eastAsia="zh-CN" w:bidi="ar-SA"/>
    </w:rPr>
  </w:style>
  <w:style w:type="paragraph" w:customStyle="1" w:styleId="3">
    <w:name w:val="纯文本1"/>
    <w:basedOn w:val="1"/>
    <w:qFormat/>
    <w:uiPriority w:val="0"/>
    <w:pPr>
      <w:textAlignment w:val="baseline"/>
    </w:pPr>
    <w:rPr>
      <w:rFonts w:ascii="宋体" w:hAnsi="Courier New" w:eastAsia="宋体" w:cs="Times New Roman"/>
    </w:rPr>
  </w:style>
  <w:style w:type="paragraph" w:customStyle="1" w:styleId="4">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paragraph" w:styleId="5">
    <w:name w:val="Normal Indent"/>
    <w:basedOn w:val="1"/>
    <w:next w:val="1"/>
    <w:qFormat/>
    <w:uiPriority w:val="0"/>
    <w:pPr>
      <w:ind w:firstLine="420" w:firstLineChars="200"/>
    </w:pPr>
    <w:rPr>
      <w:rFonts w:eastAsia="仿宋"/>
      <w:sz w:val="32"/>
    </w:rPr>
  </w:style>
  <w:style w:type="paragraph" w:styleId="6">
    <w:name w:val="Body Text Indent"/>
    <w:basedOn w:val="1"/>
    <w:next w:val="5"/>
    <w:qFormat/>
    <w:uiPriority w:val="0"/>
    <w:pPr>
      <w:spacing w:after="120"/>
      <w:ind w:left="420" w:leftChars="200"/>
    </w:pPr>
    <w:rPr>
      <w:rFonts w:ascii="Times New Roman" w:hAnsi="Times New Roman" w:eastAsia="宋体"/>
    </w:rPr>
  </w:style>
  <w:style w:type="paragraph" w:styleId="7">
    <w:name w:val="Date"/>
    <w:basedOn w:val="1"/>
    <w:next w:val="1"/>
    <w:unhideWhenUsed/>
    <w:qFormat/>
    <w:uiPriority w:val="99"/>
    <w:pPr>
      <w:ind w:left="100" w:leftChars="2500"/>
    </w:pPr>
  </w:style>
  <w:style w:type="paragraph" w:styleId="8">
    <w:name w:val="footer"/>
    <w:basedOn w:val="1"/>
    <w:next w:val="7"/>
    <w:unhideWhenUsed/>
    <w:qFormat/>
    <w:uiPriority w:val="99"/>
    <w:pPr>
      <w:tabs>
        <w:tab w:val="center" w:pos="4153"/>
        <w:tab w:val="right" w:pos="8306"/>
      </w:tabs>
      <w:snapToGrid w:val="0"/>
      <w:jc w:val="left"/>
    </w:pPr>
    <w:rPr>
      <w:sz w:val="18"/>
      <w:szCs w:val="18"/>
    </w:rPr>
  </w:style>
  <w:style w:type="paragraph" w:styleId="9">
    <w:name w:val="Normal (Web)"/>
    <w:basedOn w:val="1"/>
    <w:next w:val="1"/>
    <w:qFormat/>
    <w:uiPriority w:val="0"/>
    <w:pPr>
      <w:spacing w:beforeAutospacing="1" w:afterAutospacing="1"/>
      <w:jc w:val="left"/>
    </w:pPr>
    <w:rPr>
      <w:rFonts w:cs="Times New Roman"/>
      <w:kern w:val="0"/>
      <w:sz w:val="24"/>
    </w:rPr>
  </w:style>
  <w:style w:type="paragraph" w:styleId="10">
    <w:name w:val="Body Text First Indent 2"/>
    <w:basedOn w:val="6"/>
    <w:next w:val="1"/>
    <w:qFormat/>
    <w:uiPriority w:val="0"/>
    <w:pPr>
      <w:spacing w:after="0"/>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2024-10-18T08:43:00Z</dcterms:created>
  <dc:creator>77262</dc:creator>
  <cp:lastModifiedBy>77262</cp:lastModifiedBy>
  <dcterms:modified xsi:type="dcterms:W3CDTF">2024-10-18T08:44:21Z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2928AB7D837449C18ACCD595EB3B6E10_11</vt:lpwstr>
  </property>
</Properties>
</file>