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94A77">
      <w:pPr>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附件</w:t>
      </w:r>
    </w:p>
    <w:p w14:paraId="7FC4A8D1">
      <w:pPr>
        <w:pStyle w:val="4"/>
        <w:rPr>
          <w:rFonts w:hint="default"/>
          <w:color w:val="000000"/>
          <w:lang w:eastAsia="zh-CN"/>
        </w:rPr>
      </w:pPr>
    </w:p>
    <w:p w14:paraId="636CF0F7">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default" w:ascii="Times New Roman" w:hAnsi="Times New Roman" w:eastAsia="方正小标宋_GBK" w:cs="Times New Roman"/>
          <w:color w:val="000000"/>
          <w:sz w:val="44"/>
          <w:szCs w:val="44"/>
          <w:lang w:eastAsia="zh-CN"/>
        </w:rPr>
      </w:pPr>
      <w:r>
        <w:rPr>
          <w:rFonts w:hint="default" w:ascii="Times New Roman" w:hAnsi="Times New Roman" w:eastAsia="方正小标宋_GBK" w:cs="Times New Roman"/>
          <w:color w:val="000000"/>
          <w:sz w:val="44"/>
          <w:szCs w:val="44"/>
          <w:lang w:eastAsia="zh-CN"/>
        </w:rPr>
        <w:t>关于加强产业园区安全生产工作的意见</w:t>
      </w:r>
    </w:p>
    <w:p w14:paraId="752EC336">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default" w:ascii="Times New Roman" w:hAnsi="Times New Roman" w:eastAsia="方正小标宋_GBK" w:cs="Times New Roman"/>
          <w:color w:val="000000"/>
          <w:sz w:val="44"/>
          <w:szCs w:val="44"/>
          <w:lang w:val="en-US" w:eastAsia="zh-CN"/>
        </w:rPr>
      </w:pPr>
      <w:r>
        <w:rPr>
          <w:rFonts w:hint="default" w:ascii="Times New Roman" w:hAnsi="Times New Roman" w:eastAsia="方正仿宋_GBK" w:cs="Times New Roman"/>
          <w:color w:val="000000"/>
          <w:sz w:val="32"/>
          <w:szCs w:val="32"/>
          <w:lang w:val="en-US" w:eastAsia="zh-CN"/>
        </w:rPr>
        <w:t>（</w:t>
      </w:r>
      <w:r>
        <w:rPr>
          <w:rFonts w:hint="eastAsia" w:ascii="Times New Roman" w:hAnsi="Times New Roman" w:eastAsia="方正仿宋_GBK" w:cs="Times New Roman"/>
          <w:i w:val="0"/>
          <w:iCs w:val="0"/>
          <w:caps w:val="0"/>
          <w:color w:val="000000"/>
          <w:spacing w:val="0"/>
          <w:kern w:val="0"/>
          <w:sz w:val="32"/>
          <w:szCs w:val="32"/>
          <w:shd w:val="clear" w:color="auto" w:fill="FFFFFF"/>
          <w:lang w:val="en-US" w:eastAsia="zh-CN" w:bidi="ar-SA"/>
        </w:rPr>
        <w:t>第三次</w:t>
      </w:r>
      <w:r>
        <w:rPr>
          <w:rFonts w:hint="default" w:ascii="Times New Roman" w:hAnsi="Times New Roman" w:eastAsia="方正仿宋_GBK" w:cs="Times New Roman"/>
          <w:i w:val="0"/>
          <w:iCs w:val="0"/>
          <w:caps w:val="0"/>
          <w:color w:val="000000"/>
          <w:spacing w:val="0"/>
          <w:kern w:val="0"/>
          <w:sz w:val="32"/>
          <w:szCs w:val="32"/>
          <w:shd w:val="clear" w:color="auto" w:fill="FFFFFF"/>
          <w:lang w:val="en-US" w:eastAsia="zh-CN" w:bidi="ar-SA"/>
        </w:rPr>
        <w:t>征求意见稿</w:t>
      </w:r>
      <w:r>
        <w:rPr>
          <w:rFonts w:hint="default" w:ascii="Times New Roman" w:hAnsi="Times New Roman" w:eastAsia="方正仿宋_GBK" w:cs="Times New Roman"/>
          <w:color w:val="000000"/>
          <w:sz w:val="32"/>
          <w:szCs w:val="32"/>
          <w:lang w:val="en-US" w:eastAsia="zh-CN"/>
        </w:rPr>
        <w:t>）</w:t>
      </w:r>
    </w:p>
    <w:p w14:paraId="48535797">
      <w:pPr>
        <w:keepNext w:val="0"/>
        <w:keepLines w:val="0"/>
        <w:pageBreakBefore w:val="0"/>
        <w:widowControl w:val="0"/>
        <w:kinsoku/>
        <w:wordWrap/>
        <w:overflowPunct/>
        <w:topLinePunct w:val="0"/>
        <w:autoSpaceDE/>
        <w:autoSpaceDN/>
        <w:bidi w:val="0"/>
        <w:adjustRightInd/>
        <w:snapToGrid/>
        <w:spacing w:line="620" w:lineRule="exact"/>
        <w:textAlignment w:val="auto"/>
        <w:outlineLvl w:val="9"/>
        <w:rPr>
          <w:rFonts w:hint="default" w:ascii="Times New Roman" w:hAnsi="Times New Roman" w:eastAsia="仿宋" w:cs="Times New Roman"/>
          <w:color w:val="000000"/>
          <w:sz w:val="32"/>
          <w:szCs w:val="32"/>
        </w:rPr>
      </w:pPr>
      <w:bookmarkStart w:id="0" w:name="_GoBack"/>
      <w:bookmarkEnd w:id="0"/>
    </w:p>
    <w:p w14:paraId="424FFF1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为深入学习贯彻习近平总书记关于安全生产重要论述和关于广西工作论述的重要要求，进一步加强我区产业园区安全生产工作，防范化解安全风险，防止和减少生产安全事故，切实维护人民群众生命财产安全，</w:t>
      </w:r>
      <w:r>
        <w:rPr>
          <w:rFonts w:hint="eastAsia" w:ascii="Times New Roman" w:hAnsi="Times New Roman" w:eastAsia="方正仿宋_GBK" w:cs="Times New Roman"/>
          <w:color w:val="000000"/>
          <w:sz w:val="32"/>
          <w:szCs w:val="32"/>
          <w:lang w:val="en-US" w:eastAsia="zh-CN"/>
        </w:rPr>
        <w:t>现</w:t>
      </w:r>
      <w:r>
        <w:rPr>
          <w:rFonts w:hint="default" w:ascii="Times New Roman" w:hAnsi="Times New Roman" w:eastAsia="方正仿宋_GBK" w:cs="Times New Roman"/>
          <w:color w:val="000000"/>
          <w:sz w:val="32"/>
          <w:szCs w:val="32"/>
          <w:lang w:eastAsia="zh-CN"/>
        </w:rPr>
        <w:t>提出</w:t>
      </w:r>
      <w:r>
        <w:rPr>
          <w:rFonts w:hint="eastAsia" w:ascii="Times New Roman" w:hAnsi="Times New Roman" w:eastAsia="方正仿宋_GBK" w:cs="Times New Roman"/>
          <w:color w:val="000000"/>
          <w:sz w:val="32"/>
          <w:szCs w:val="32"/>
          <w:lang w:val="en-US" w:eastAsia="zh-CN"/>
        </w:rPr>
        <w:t>以</w:t>
      </w:r>
      <w:r>
        <w:rPr>
          <w:rFonts w:hint="default" w:ascii="Times New Roman" w:hAnsi="Times New Roman" w:eastAsia="方正仿宋_GBK" w:cs="Times New Roman"/>
          <w:color w:val="000000"/>
          <w:sz w:val="32"/>
          <w:szCs w:val="32"/>
          <w:lang w:eastAsia="zh-CN"/>
        </w:rPr>
        <w:t>下意见</w:t>
      </w:r>
      <w:r>
        <w:rPr>
          <w:rFonts w:hint="eastAsia" w:ascii="Times New Roman" w:hAnsi="Times New Roman" w:eastAsia="方正仿宋_GBK" w:cs="Times New Roman"/>
          <w:color w:val="000000"/>
          <w:sz w:val="32"/>
          <w:szCs w:val="32"/>
          <w:lang w:eastAsia="zh-CN"/>
        </w:rPr>
        <w:t>：</w:t>
      </w:r>
    </w:p>
    <w:p w14:paraId="47F3A4C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一、强化安全生产责任落实</w:t>
      </w:r>
    </w:p>
    <w:p w14:paraId="0EB4510A">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楷体_GB2312" w:cs="Times New Roman"/>
          <w:b/>
          <w:bCs/>
          <w:color w:val="000000"/>
          <w:sz w:val="32"/>
          <w:szCs w:val="32"/>
          <w:lang w:eastAsia="zh-CN"/>
        </w:rPr>
        <w:t>（一）</w:t>
      </w:r>
      <w:r>
        <w:rPr>
          <w:rFonts w:hint="eastAsia" w:ascii="Times New Roman" w:hAnsi="Times New Roman" w:eastAsia="楷体_GB2312" w:cs="Times New Roman"/>
          <w:b/>
          <w:bCs/>
          <w:color w:val="000000"/>
          <w:sz w:val="32"/>
          <w:szCs w:val="32"/>
          <w:lang w:val="en-US" w:eastAsia="zh-CN"/>
        </w:rPr>
        <w:t>强化</w:t>
      </w:r>
      <w:r>
        <w:rPr>
          <w:rFonts w:hint="default" w:ascii="Times New Roman" w:hAnsi="Times New Roman" w:eastAsia="楷体_GB2312" w:cs="Times New Roman"/>
          <w:b/>
          <w:bCs/>
          <w:color w:val="000000"/>
          <w:sz w:val="32"/>
          <w:szCs w:val="32"/>
          <w:lang w:eastAsia="zh-CN"/>
        </w:rPr>
        <w:t>属地监管责任。</w:t>
      </w:r>
      <w:r>
        <w:rPr>
          <w:rFonts w:hint="default" w:ascii="Times New Roman" w:hAnsi="Times New Roman" w:eastAsia="方正仿宋_GBK" w:cs="Times New Roman"/>
          <w:color w:val="000000"/>
          <w:sz w:val="32"/>
          <w:szCs w:val="32"/>
          <w:lang w:eastAsia="zh-CN"/>
        </w:rPr>
        <w:t>严格落实“党政同责、一岗双责、齐抓共管、失职追责”要求，各级</w:t>
      </w:r>
      <w:r>
        <w:rPr>
          <w:rFonts w:hint="eastAsia" w:ascii="Times New Roman" w:hAnsi="Times New Roman" w:eastAsia="方正仿宋_GBK" w:cs="Times New Roman"/>
          <w:color w:val="000000"/>
          <w:sz w:val="32"/>
          <w:szCs w:val="32"/>
          <w:lang w:val="en-US" w:eastAsia="zh-CN"/>
        </w:rPr>
        <w:t>党委和</w:t>
      </w:r>
      <w:r>
        <w:rPr>
          <w:rFonts w:hint="default" w:ascii="Times New Roman" w:hAnsi="Times New Roman" w:eastAsia="方正仿宋_GBK" w:cs="Times New Roman"/>
          <w:color w:val="000000"/>
          <w:sz w:val="32"/>
          <w:szCs w:val="32"/>
          <w:lang w:eastAsia="zh-CN"/>
        </w:rPr>
        <w:t>政府应加强对本行政区域内产业园区安全生产工作的领导，定期研究部署，统筹协调解决重大问题，加强监管力量建设，明确负责安全生产的监管部门（机构）及其权责清单，支持负有安全生产监管职责的部门（机构）开展安全监管执法，督促各项安全生产责任制落实到位。</w:t>
      </w:r>
    </w:p>
    <w:p w14:paraId="08F42C6D">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楷体_GB2312" w:cs="Times New Roman"/>
          <w:b/>
          <w:bCs/>
          <w:color w:val="000000"/>
          <w:sz w:val="32"/>
          <w:szCs w:val="32"/>
          <w:lang w:eastAsia="zh-CN"/>
        </w:rPr>
        <w:t>（二）</w:t>
      </w:r>
      <w:r>
        <w:rPr>
          <w:rFonts w:hint="eastAsia" w:ascii="Times New Roman" w:hAnsi="Times New Roman" w:eastAsia="楷体_GB2312" w:cs="Times New Roman"/>
          <w:b/>
          <w:bCs/>
          <w:color w:val="000000"/>
          <w:sz w:val="32"/>
          <w:szCs w:val="32"/>
          <w:lang w:val="en-US" w:eastAsia="zh-CN"/>
        </w:rPr>
        <w:t>明确</w:t>
      </w:r>
      <w:r>
        <w:rPr>
          <w:rFonts w:hint="default" w:ascii="Times New Roman" w:hAnsi="Times New Roman" w:eastAsia="楷体_GB2312" w:cs="Times New Roman"/>
          <w:b/>
          <w:bCs/>
          <w:color w:val="000000"/>
          <w:sz w:val="32"/>
          <w:szCs w:val="32"/>
          <w:lang w:eastAsia="zh-CN"/>
        </w:rPr>
        <w:t>产业园区管理机构责任。</w:t>
      </w:r>
      <w:r>
        <w:rPr>
          <w:rFonts w:hint="default" w:ascii="Times New Roman" w:hAnsi="Times New Roman" w:eastAsia="方正仿宋_GBK" w:cs="Times New Roman"/>
          <w:color w:val="000000"/>
          <w:sz w:val="32"/>
          <w:szCs w:val="32"/>
          <w:lang w:eastAsia="zh-CN"/>
        </w:rPr>
        <w:t>产业园区管理机构应按照当地政府的统一部署，将安全生产工作纳入重要议事日程，与开发建设工作同谋划、同部署、同推进。被依法赋予安全生产监管职责的产业园区管理机构，应明确内设安全生产监管机构及其职责，加强对园区内企业安全生产的监督检查和指导服务，强化安全生产基础设施建设、专业队伍建设和“园中园”安全管理，协调“园中园”“厂中厂”做好消防安全联控联防工作。没有安全生产监管职责的产业园区管理机构，应全力协助负有安全生产监管职责的部门（机构），及时掌握安全生产动态，配合做好安全生产监管工作。</w:t>
      </w:r>
    </w:p>
    <w:p w14:paraId="4F0E3E71">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楷体_GB2312" w:cs="Times New Roman"/>
          <w:b/>
          <w:bCs/>
          <w:color w:val="000000"/>
          <w:sz w:val="32"/>
          <w:szCs w:val="32"/>
          <w:lang w:eastAsia="zh-CN"/>
        </w:rPr>
        <w:t>（三）</w:t>
      </w:r>
      <w:r>
        <w:rPr>
          <w:rFonts w:hint="eastAsia" w:ascii="Times New Roman" w:hAnsi="Times New Roman" w:eastAsia="楷体_GB2312" w:cs="Times New Roman"/>
          <w:b/>
          <w:bCs/>
          <w:color w:val="000000"/>
          <w:sz w:val="32"/>
          <w:szCs w:val="32"/>
          <w:lang w:val="en-US" w:eastAsia="zh-CN"/>
        </w:rPr>
        <w:t>强化</w:t>
      </w:r>
      <w:r>
        <w:rPr>
          <w:rFonts w:hint="default" w:ascii="Times New Roman" w:hAnsi="Times New Roman" w:eastAsia="楷体_GB2312" w:cs="Times New Roman"/>
          <w:b/>
          <w:bCs/>
          <w:color w:val="000000"/>
          <w:sz w:val="32"/>
          <w:szCs w:val="32"/>
          <w:lang w:eastAsia="zh-CN"/>
        </w:rPr>
        <w:t>部门监管责任。</w:t>
      </w:r>
      <w:r>
        <w:rPr>
          <w:rFonts w:hint="default" w:ascii="Times New Roman" w:hAnsi="Times New Roman" w:eastAsia="方正仿宋_GBK" w:cs="Times New Roman"/>
          <w:color w:val="000000"/>
          <w:sz w:val="32"/>
          <w:szCs w:val="32"/>
          <w:lang w:eastAsia="zh-CN"/>
        </w:rPr>
        <w:t>按照“</w:t>
      </w:r>
      <w:r>
        <w:rPr>
          <w:rFonts w:hint="eastAsia" w:ascii="Times New Roman" w:hAnsi="Times New Roman" w:eastAsia="方正仿宋_GBK" w:cs="Times New Roman"/>
          <w:color w:val="000000"/>
          <w:sz w:val="32"/>
          <w:szCs w:val="32"/>
          <w:lang w:val="en-US" w:eastAsia="zh-CN"/>
        </w:rPr>
        <w:t>管行业必须管安全、管业务必须管安全、管生产经营必须管安全</w:t>
      </w:r>
      <w:r>
        <w:rPr>
          <w:rFonts w:hint="default" w:ascii="Times New Roman" w:hAnsi="Times New Roman" w:eastAsia="方正仿宋_GBK" w:cs="Times New Roman"/>
          <w:color w:val="000000"/>
          <w:sz w:val="32"/>
          <w:szCs w:val="32"/>
          <w:lang w:eastAsia="zh-CN"/>
        </w:rPr>
        <w:t>”和“谁审批、谁负责”的原则和要求，各级产业园区改革发展办公室统筹指导产业园区安全生产工作；科技、工业和信息化、商务等部门依职责指导协调督促产业园区安全生产工作。负有安全生产监管职责的有关部门应相互配合、齐抓共管、信息共享、资源共用，加强对产业园区安全生产工作的督促指导，依法依规履行项目审批、行政许可、监管执法等法定职责。应急管理部门对产业园区安全生产工作实施综合监督管理，督促各有关部门落实安全监管责任。</w:t>
      </w:r>
    </w:p>
    <w:p w14:paraId="2D8DFD26">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楷体_GB2312" w:cs="Times New Roman"/>
          <w:b/>
          <w:bCs/>
          <w:color w:val="000000"/>
          <w:sz w:val="32"/>
          <w:szCs w:val="32"/>
          <w:lang w:eastAsia="zh-CN"/>
        </w:rPr>
        <w:t>（四）</w:t>
      </w:r>
      <w:r>
        <w:rPr>
          <w:rFonts w:hint="eastAsia" w:ascii="Times New Roman" w:hAnsi="Times New Roman" w:eastAsia="楷体_GB2312" w:cs="Times New Roman"/>
          <w:b/>
          <w:bCs/>
          <w:color w:val="000000"/>
          <w:sz w:val="32"/>
          <w:szCs w:val="32"/>
          <w:lang w:val="en-US" w:eastAsia="zh-CN"/>
        </w:rPr>
        <w:t>强化</w:t>
      </w:r>
      <w:r>
        <w:rPr>
          <w:rFonts w:hint="default" w:ascii="Times New Roman" w:hAnsi="Times New Roman" w:eastAsia="楷体_GB2312" w:cs="Times New Roman"/>
          <w:b/>
          <w:bCs/>
          <w:color w:val="000000"/>
          <w:sz w:val="32"/>
          <w:szCs w:val="32"/>
          <w:lang w:eastAsia="zh-CN"/>
        </w:rPr>
        <w:t>企业主体责任。</w:t>
      </w:r>
      <w:r>
        <w:rPr>
          <w:rFonts w:hint="default" w:ascii="Times New Roman" w:hAnsi="Times New Roman" w:eastAsia="方正仿宋_GBK" w:cs="Times New Roman"/>
          <w:color w:val="000000"/>
          <w:sz w:val="32"/>
          <w:szCs w:val="32"/>
          <w:lang w:eastAsia="zh-CN"/>
        </w:rPr>
        <w:t>产业园区内各企业应健全全员安全生产责任制和安全生产规章制度，加强安全生产标准化、信息化建设，构建安全风险分级管控和隐患排查治理双重预防机制，配强安全技术和管理团队，突出抓好特殊作业、检维修等环节事故防范，加强外包外租安全管理，按规定提取和使用安全生产费用，主动向负责产业园区安全生产的监管部门（机构）报告改、扩建项目，做到安全责任、管理、投入、培训和应急救援“五到位”。企业法定代表人、实际控制人、实际负责人应认真履行安全生产第一责任人责任，组织制定领导带班一线检查、安全生产奖惩、全员安全生产责任履职考核、事故应急救援演练等制度，配齐专职安全管理人员等关键岗位人员，督促作业人员落实安全生产责任，以“关键少数”的主导作用带动全员安全生产责任制落实。</w:t>
      </w:r>
    </w:p>
    <w:p w14:paraId="0188ACE2">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outlineLvl w:val="9"/>
        <w:rPr>
          <w:rFonts w:hint="default" w:ascii="Times New Roman" w:hAnsi="Times New Roman" w:eastAsia="方正仿宋_GBK" w:cs="Times New Roman"/>
          <w:b w:val="0"/>
          <w:color w:val="000000"/>
          <w:kern w:val="2"/>
          <w:sz w:val="32"/>
          <w:szCs w:val="32"/>
          <w:lang w:val="en-US" w:eastAsia="zh-CN" w:bidi="ar-SA"/>
        </w:rPr>
      </w:pPr>
      <w:r>
        <w:rPr>
          <w:rFonts w:hint="default" w:ascii="Times New Roman" w:hAnsi="Times New Roman" w:eastAsia="楷体_GB2312" w:cs="Times New Roman"/>
          <w:b/>
          <w:bCs/>
          <w:color w:val="000000"/>
          <w:sz w:val="32"/>
          <w:szCs w:val="32"/>
          <w:lang w:eastAsia="zh-CN"/>
        </w:rPr>
        <w:t>（五）严肃责任追究。</w:t>
      </w:r>
      <w:r>
        <w:rPr>
          <w:rFonts w:hint="default" w:ascii="Times New Roman" w:hAnsi="Times New Roman" w:eastAsia="方正仿宋_GBK" w:cs="Times New Roman"/>
          <w:b w:val="0"/>
          <w:color w:val="000000"/>
          <w:kern w:val="2"/>
          <w:sz w:val="32"/>
          <w:szCs w:val="32"/>
          <w:lang w:val="en-US" w:eastAsia="zh-CN" w:bidi="ar-SA"/>
        </w:rPr>
        <w:t>严格落实安全生产</w:t>
      </w:r>
      <w:r>
        <w:rPr>
          <w:rFonts w:hint="eastAsia" w:ascii="Times New Roman" w:hAnsi="Times New Roman" w:eastAsia="方正仿宋_GBK" w:cs="Times New Roman"/>
          <w:b w:val="0"/>
          <w:color w:val="000000"/>
          <w:kern w:val="2"/>
          <w:sz w:val="32"/>
          <w:szCs w:val="32"/>
          <w:lang w:val="en-US" w:eastAsia="zh-CN" w:bidi="ar-SA"/>
        </w:rPr>
        <w:t>风险排查整治和</w:t>
      </w:r>
      <w:r>
        <w:rPr>
          <w:rFonts w:hint="default" w:ascii="Times New Roman" w:hAnsi="Times New Roman" w:eastAsia="方正仿宋_GBK" w:cs="Times New Roman"/>
          <w:b w:val="0"/>
          <w:color w:val="000000"/>
          <w:kern w:val="2"/>
          <w:sz w:val="32"/>
          <w:szCs w:val="32"/>
          <w:lang w:val="en-US" w:eastAsia="zh-CN" w:bidi="ar-SA"/>
        </w:rPr>
        <w:t>责任倒查机制，对责任不落实、隐患排查整治不认真、监管执法不严格等行为严格责任追究。产业园区内发生生产安全事故，导致人员死亡的，产业园区管理机构应配合事故调查处理，如实提供有关情况，不得阻挠和干涉对事故的报告和依法调查处理。承担事故调查职责的产业园区，依法履行事故调查职责。</w:t>
      </w:r>
    </w:p>
    <w:p w14:paraId="73391F6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二、强化安全风险源头管控</w:t>
      </w:r>
    </w:p>
    <w:p w14:paraId="45D0CBC4">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楷体_GB2312" w:cs="Times New Roman"/>
          <w:b/>
          <w:bCs/>
          <w:color w:val="000000"/>
          <w:sz w:val="32"/>
          <w:szCs w:val="32"/>
          <w:lang w:eastAsia="zh-CN"/>
        </w:rPr>
        <w:t>（六）科学规划建设。</w:t>
      </w:r>
      <w:r>
        <w:rPr>
          <w:rFonts w:hint="default" w:ascii="Times New Roman" w:hAnsi="Times New Roman" w:eastAsia="方正仿宋_GBK" w:cs="Times New Roman"/>
          <w:color w:val="000000"/>
          <w:sz w:val="32"/>
          <w:szCs w:val="32"/>
          <w:lang w:eastAsia="zh-CN"/>
        </w:rPr>
        <w:t>各地按照产业园区总体发展规划要求，结合本地区国民经济和社会发展规划、国土空间规划、安全生产规划、消防安全规划等，综合考虑主导风向、地形地貌、企业装置之间的相互影响、产品类别、生产工艺、物料互供、公共设施保障、应急救援等因素，优化园区各功能分区布局。园区建设应以安全为前提，完善停车场、公共管廊、消防站、消防水源、消防车通道、医疗救护站、应急响应中心、应急物资等公用工程配套和安全保障设施，规划布局应预留应急救援通道及安全防护距离。化工园区的设立应符合国家和自治区有关规定，充分考虑选址安全，与城市建成区、人口密集区、重要设施等防护目标之间保持足够的安全防护距离，开展突发水污染事件环境应急三级防控体系建设。</w:t>
      </w:r>
    </w:p>
    <w:p w14:paraId="3B04D13D">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楷体_GB2312" w:cs="Times New Roman"/>
          <w:b/>
          <w:bCs/>
          <w:color w:val="000000"/>
          <w:sz w:val="32"/>
          <w:szCs w:val="32"/>
          <w:lang w:eastAsia="zh-CN"/>
        </w:rPr>
        <w:t>（七）严格项目准入管理。</w:t>
      </w:r>
      <w:r>
        <w:rPr>
          <w:rFonts w:hint="default" w:ascii="Times New Roman" w:hAnsi="Times New Roman" w:eastAsia="方正仿宋_GBK" w:cs="Times New Roman"/>
          <w:color w:val="000000"/>
          <w:sz w:val="32"/>
          <w:szCs w:val="32"/>
          <w:lang w:eastAsia="zh-CN"/>
        </w:rPr>
        <w:t>各地应根据区域产业发展定位，明确</w:t>
      </w:r>
      <w:r>
        <w:rPr>
          <w:rFonts w:hint="eastAsia" w:ascii="Times New Roman" w:hAnsi="Times New Roman" w:eastAsia="方正仿宋_GBK" w:cs="Times New Roman"/>
          <w:color w:val="000000"/>
          <w:sz w:val="32"/>
          <w:szCs w:val="32"/>
          <w:lang w:val="en-US" w:eastAsia="zh-CN"/>
        </w:rPr>
        <w:t>产业</w:t>
      </w:r>
      <w:r>
        <w:rPr>
          <w:rFonts w:hint="default" w:ascii="Times New Roman" w:hAnsi="Times New Roman" w:eastAsia="方正仿宋_GBK" w:cs="Times New Roman"/>
          <w:color w:val="000000"/>
          <w:sz w:val="32"/>
          <w:szCs w:val="32"/>
          <w:lang w:eastAsia="zh-CN"/>
        </w:rPr>
        <w:t>园区项目准入条件，制定安全生产禁止和限制类产业目录。建立完善项目安全风险评估与论证机制，严把项目审批安全关，严格安全许可，非煤矿山、危险化学品、烟花爆竹、金属冶炼等高危行业领域的建设项目在进行可行性研究时，建设单位应进行安全预评价。产业园区管理机构应在项目引进后30日内将项目有关信息通报本级应急管理部门，应急管理部门应指导督促有关企业履行好建设项目“三同时”审批手续。园区内的新建、改扩建等工程要严格按照法律法规和技术标准进行消防设计审查、验收或备案。</w:t>
      </w:r>
    </w:p>
    <w:p w14:paraId="00BFE141">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楷体_GB2312" w:cs="Times New Roman"/>
          <w:b/>
          <w:bCs/>
          <w:color w:val="000000"/>
          <w:sz w:val="32"/>
          <w:szCs w:val="32"/>
          <w:lang w:eastAsia="zh-CN"/>
        </w:rPr>
        <w:t>（八）全面辨识管控安全风险。</w:t>
      </w:r>
      <w:r>
        <w:rPr>
          <w:rFonts w:hint="default" w:ascii="Times New Roman" w:hAnsi="Times New Roman" w:eastAsia="方正仿宋_GBK" w:cs="Times New Roman"/>
          <w:color w:val="000000"/>
          <w:sz w:val="32"/>
          <w:szCs w:val="32"/>
          <w:lang w:eastAsia="zh-CN"/>
        </w:rPr>
        <w:t>已建成投用的</w:t>
      </w:r>
      <w:r>
        <w:rPr>
          <w:rFonts w:hint="eastAsia" w:ascii="Times New Roman" w:hAnsi="Times New Roman" w:eastAsia="方正仿宋_GBK" w:cs="Times New Roman"/>
          <w:color w:val="000000"/>
          <w:sz w:val="32"/>
          <w:szCs w:val="32"/>
          <w:lang w:val="en-US" w:eastAsia="zh-CN"/>
        </w:rPr>
        <w:t>产业</w:t>
      </w:r>
      <w:r>
        <w:rPr>
          <w:rFonts w:hint="default" w:ascii="Times New Roman" w:hAnsi="Times New Roman" w:eastAsia="方正仿宋_GBK" w:cs="Times New Roman"/>
          <w:color w:val="000000"/>
          <w:sz w:val="32"/>
          <w:szCs w:val="32"/>
          <w:lang w:eastAsia="zh-CN"/>
        </w:rPr>
        <w:t>园区应至少每五年（化工园区至少每三年）开展一次园区整体性安全风险评估，提出消除、降低、管控安全风险的对策措施并有效实施。园区“四至”范围（指在东、南、西、北四个方向上的边界位置）发生较大变化、危险源明显增多等可能导致园区整体安全风险显著提高，或园区发生较大及以上事故的，应重新开展整体性安全风险评估，调整风险等级和管控措施，确保风险始终处于可控状态。</w:t>
      </w:r>
    </w:p>
    <w:p w14:paraId="2341AE4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三、强化事故隐患排查治理</w:t>
      </w:r>
    </w:p>
    <w:p w14:paraId="6A2FECBE">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楷体_GB2312" w:cs="Times New Roman"/>
          <w:b/>
          <w:bCs/>
          <w:color w:val="000000"/>
          <w:sz w:val="32"/>
          <w:szCs w:val="32"/>
          <w:lang w:eastAsia="zh-CN"/>
        </w:rPr>
        <w:t>（九）健全隐患排查治理长效机制。</w:t>
      </w:r>
      <w:r>
        <w:rPr>
          <w:rFonts w:hint="default" w:ascii="Times New Roman" w:hAnsi="Times New Roman" w:eastAsia="方正仿宋_GBK" w:cs="Times New Roman"/>
          <w:color w:val="000000"/>
          <w:sz w:val="32"/>
          <w:szCs w:val="32"/>
          <w:lang w:eastAsia="zh-CN"/>
        </w:rPr>
        <w:t>各地应建立行业监管部门和负责产业园区安全生产监管部门的信息共享、联动整改、成果互认机制，定期组织开展排查治理，督促指导产业园区内企业建立实施事故隐患内部报告奖励机制。产业园区应结合园区内企业类型，定期开展动火作业、有限空间作业、外包作业、建筑施工、涉爆粉尘、化工企业异常工况处置、消防安全等专项治理，及时消除事故隐患，严防演变失控发生事故。</w:t>
      </w:r>
    </w:p>
    <w:p w14:paraId="32767C6E">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楷体_GB2312" w:cs="Times New Roman"/>
          <w:b/>
          <w:bCs/>
          <w:color w:val="000000"/>
          <w:sz w:val="32"/>
          <w:szCs w:val="32"/>
          <w:lang w:eastAsia="zh-CN"/>
        </w:rPr>
        <w:t>（十）推动重大事故隐患动态清零。</w:t>
      </w:r>
      <w:r>
        <w:rPr>
          <w:rFonts w:hint="default" w:ascii="Times New Roman" w:hAnsi="Times New Roman" w:eastAsia="方正仿宋_GBK" w:cs="Times New Roman"/>
          <w:color w:val="000000"/>
          <w:sz w:val="32"/>
          <w:szCs w:val="32"/>
          <w:lang w:eastAsia="zh-CN"/>
        </w:rPr>
        <w:t>持续加强各行业领域重大事故隐患判定标准宣贯，产业园区内企业应将学习掌握重大事故隐患判定标准纳入安全生产教育培训计划，对照标准全面开展排查，及时主动向负责产业园区安全生产的监管部门（机构）报告发现的重大事故隐患情况，制定治理方案并整改销号。完善地方政府和产业园区对重大事故隐患治理的督办制度，建立监管部门（机构）审核把关销号机制，确保重大事故隐患闭环整改到位。</w:t>
      </w:r>
    </w:p>
    <w:p w14:paraId="108345B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黑体" w:cs="Times New Roman"/>
          <w:color w:val="000000"/>
          <w:sz w:val="32"/>
          <w:szCs w:val="32"/>
          <w:lang w:eastAsia="zh-CN"/>
        </w:rPr>
        <w:t>四、强化安全监管效能</w:t>
      </w:r>
    </w:p>
    <w:p w14:paraId="57629E3C">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楷体_GB2312" w:cs="Times New Roman"/>
          <w:b/>
          <w:bCs/>
          <w:color w:val="000000"/>
          <w:sz w:val="32"/>
          <w:szCs w:val="32"/>
          <w:lang w:eastAsia="zh-CN"/>
        </w:rPr>
        <w:t>（十一）统筹精准执法和指导服务。</w:t>
      </w:r>
      <w:r>
        <w:rPr>
          <w:rFonts w:hint="default" w:ascii="Times New Roman" w:hAnsi="Times New Roman" w:eastAsia="方正仿宋_GBK" w:cs="Times New Roman"/>
          <w:color w:val="000000"/>
          <w:sz w:val="32"/>
          <w:szCs w:val="32"/>
          <w:lang w:eastAsia="zh-CN"/>
        </w:rPr>
        <w:t>各地应明确产业园区内企业的安全生产执法检查主体，规范实施涉企行政检查，清查并公布执法检查事项，能通过非现场方式实施的不得入园入企检查，推行“综合查一次”。对企业严重违法违规行为，坚持依法从严处罚，落实“一案双罚”、行刑衔接等措施，强化震慑力。加大对产业园区安全生产工作的指导帮扶力度，推行“执法人员+专家”模式，运用专业力量为企业提供安全咨询和指导。</w:t>
      </w:r>
    </w:p>
    <w:p w14:paraId="436FDE75">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楷体_GB2312" w:cs="Times New Roman"/>
          <w:b/>
          <w:bCs/>
          <w:color w:val="000000"/>
          <w:sz w:val="32"/>
          <w:szCs w:val="32"/>
          <w:lang w:eastAsia="zh-CN"/>
        </w:rPr>
        <w:t>（十二）推进数字化安全监管。</w:t>
      </w:r>
      <w:r>
        <w:rPr>
          <w:rFonts w:hint="default" w:ascii="Times New Roman" w:hAnsi="Times New Roman" w:eastAsia="方正仿宋_GBK" w:cs="Times New Roman"/>
          <w:color w:val="000000"/>
          <w:sz w:val="32"/>
          <w:szCs w:val="32"/>
          <w:lang w:eastAsia="zh-CN"/>
        </w:rPr>
        <w:t>充分运用人工智能、大数据、物联网等先进技术手段，推进智慧园区建设。建立园区安全风险智能化管控平台，融合安全基础管理、危险源安全管理、特殊作业管理、自动消防设施等应用系统，实现对产业园区内企业安全生产风险的快速感知、实时监测、超前预警、应急处置和系统评估等功能，提升数据服务能力。</w:t>
      </w:r>
    </w:p>
    <w:p w14:paraId="6703484E">
      <w:pPr>
        <w:pStyle w:val="4"/>
        <w:ind w:left="0" w:leftChars="0" w:firstLine="643" w:firstLineChars="200"/>
        <w:rPr>
          <w:rFonts w:hint="default" w:ascii="Times New Roman" w:hAnsi="Times New Roman" w:eastAsia="方正仿宋_GBK" w:cs="Times New Roman"/>
          <w:b w:val="0"/>
          <w:bCs w:val="0"/>
          <w:color w:val="000000"/>
          <w:kern w:val="2"/>
          <w:sz w:val="32"/>
          <w:szCs w:val="32"/>
          <w:lang w:val="en-US" w:eastAsia="zh-CN" w:bidi="ar-SA"/>
        </w:rPr>
      </w:pPr>
      <w:r>
        <w:rPr>
          <w:rFonts w:hint="default" w:ascii="Times New Roman" w:hAnsi="Times New Roman" w:eastAsia="楷体_GB2312" w:cs="Times New Roman"/>
          <w:color w:val="000000"/>
          <w:sz w:val="32"/>
          <w:szCs w:val="32"/>
          <w:highlight w:val="none"/>
          <w:lang w:eastAsia="zh-CN"/>
        </w:rPr>
        <w:t>（十三）加快应急处置能力建设。</w:t>
      </w:r>
      <w:r>
        <w:rPr>
          <w:rFonts w:hint="default" w:ascii="Times New Roman" w:hAnsi="Times New Roman" w:eastAsia="方正仿宋_GBK" w:cs="Times New Roman"/>
          <w:b w:val="0"/>
          <w:bCs w:val="0"/>
          <w:color w:val="000000"/>
          <w:kern w:val="2"/>
          <w:sz w:val="32"/>
          <w:szCs w:val="32"/>
          <w:lang w:val="en-US" w:eastAsia="zh-CN" w:bidi="ar-SA"/>
        </w:rPr>
        <w:t>产业园区管理机构应当制定</w:t>
      </w:r>
      <w:r>
        <w:rPr>
          <w:rFonts w:hint="eastAsia" w:ascii="Times New Roman" w:eastAsia="方正仿宋_GBK" w:cs="Times New Roman"/>
          <w:b w:val="0"/>
          <w:bCs w:val="0"/>
          <w:color w:val="000000"/>
          <w:kern w:val="2"/>
          <w:sz w:val="32"/>
          <w:szCs w:val="32"/>
          <w:lang w:val="en-US" w:eastAsia="zh-CN" w:bidi="ar-SA"/>
        </w:rPr>
        <w:t>产业园区</w:t>
      </w:r>
      <w:r>
        <w:rPr>
          <w:rFonts w:hint="default" w:ascii="Times New Roman" w:hAnsi="Times New Roman" w:eastAsia="方正仿宋_GBK" w:cs="Times New Roman"/>
          <w:b w:val="0"/>
          <w:bCs w:val="0"/>
          <w:color w:val="000000"/>
          <w:kern w:val="2"/>
          <w:sz w:val="32"/>
          <w:szCs w:val="32"/>
          <w:lang w:val="en-US" w:eastAsia="zh-CN" w:bidi="ar-SA"/>
        </w:rPr>
        <w:t>生产安全事故应急救援预案，</w:t>
      </w:r>
      <w:r>
        <w:rPr>
          <w:rFonts w:hint="eastAsia" w:ascii="Times New Roman" w:eastAsia="方正仿宋_GBK" w:cs="Times New Roman"/>
          <w:b w:val="0"/>
          <w:bCs w:val="0"/>
          <w:color w:val="000000"/>
          <w:kern w:val="2"/>
          <w:sz w:val="32"/>
          <w:szCs w:val="32"/>
          <w:lang w:val="en-US" w:eastAsia="zh-CN" w:bidi="ar-SA"/>
        </w:rPr>
        <w:t>协助人民政府有关部门或者按照授权依法履行生产安全事故应急救援工作职责。</w:t>
      </w:r>
      <w:r>
        <w:rPr>
          <w:rFonts w:hint="default" w:ascii="Times New Roman" w:hAnsi="Times New Roman" w:eastAsia="方正仿宋_GBK" w:cs="Times New Roman"/>
          <w:b w:val="0"/>
          <w:bCs w:val="0"/>
          <w:color w:val="000000"/>
          <w:kern w:val="2"/>
          <w:sz w:val="32"/>
          <w:szCs w:val="32"/>
          <w:lang w:val="en-US" w:eastAsia="zh-CN" w:bidi="ar-SA"/>
        </w:rPr>
        <w:t>组建或依托园区内企业建立专业应急救援队伍，按照规定</w:t>
      </w:r>
      <w:r>
        <w:rPr>
          <w:rFonts w:hint="eastAsia" w:ascii="Times New Roman" w:hAnsi="Times New Roman" w:eastAsia="方正仿宋_GBK" w:cs="Times New Roman"/>
          <w:b w:val="0"/>
          <w:bCs w:val="0"/>
          <w:color w:val="000000"/>
          <w:kern w:val="2"/>
          <w:sz w:val="32"/>
          <w:szCs w:val="32"/>
          <w:lang w:val="en-US" w:eastAsia="zh-CN" w:bidi="ar-SA"/>
        </w:rPr>
        <w:t>建立</w:t>
      </w:r>
      <w:r>
        <w:rPr>
          <w:rFonts w:hint="default" w:ascii="Times New Roman" w:hAnsi="Times New Roman" w:eastAsia="方正仿宋_GBK" w:cs="Times New Roman"/>
          <w:b w:val="0"/>
          <w:bCs w:val="0"/>
          <w:color w:val="000000"/>
          <w:kern w:val="2"/>
          <w:sz w:val="32"/>
          <w:szCs w:val="32"/>
          <w:lang w:val="en-US" w:eastAsia="zh-CN" w:bidi="ar-SA"/>
        </w:rPr>
        <w:t>专职消防队、志愿消防队、工艺处置队等消防组织，统筹园区以及周边应急救援力量，建立应急救援联动机制，规划储备充足的应急救援装备和物资，按规定组织开展应急预案演练，加强应急演练评估，实现应急预案的动态优化和科学规范管理。生产安全事故发生后，事故发生单位、产业园区管理机构应当立即启动事故相应应急救援预案，采取有效措施，组织事故抢救。</w:t>
      </w:r>
    </w:p>
    <w:p w14:paraId="73FE2CE9">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五、</w:t>
      </w:r>
      <w:r>
        <w:rPr>
          <w:rFonts w:hint="eastAsia" w:ascii="Times New Roman" w:hAnsi="Times New Roman" w:eastAsia="黑体" w:cs="Times New Roman"/>
          <w:color w:val="000000"/>
          <w:sz w:val="32"/>
          <w:szCs w:val="32"/>
          <w:lang w:val="en-US" w:eastAsia="zh-CN"/>
        </w:rPr>
        <w:t>推进</w:t>
      </w:r>
      <w:r>
        <w:rPr>
          <w:rFonts w:hint="default" w:ascii="Times New Roman" w:hAnsi="Times New Roman" w:eastAsia="黑体" w:cs="Times New Roman"/>
          <w:color w:val="000000"/>
          <w:sz w:val="32"/>
          <w:szCs w:val="32"/>
          <w:lang w:eastAsia="zh-CN"/>
        </w:rPr>
        <w:t>企业安全发展项目建设</w:t>
      </w:r>
    </w:p>
    <w:p w14:paraId="03A4AF6A">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楷体_GB2312" w:cs="Times New Roman"/>
          <w:b/>
          <w:bCs/>
          <w:color w:val="000000"/>
          <w:sz w:val="32"/>
          <w:szCs w:val="32"/>
          <w:lang w:eastAsia="zh-CN"/>
        </w:rPr>
        <w:t>（十四）推动企业可持续安全发展。</w:t>
      </w:r>
      <w:r>
        <w:rPr>
          <w:rFonts w:hint="default" w:ascii="Times New Roman" w:hAnsi="Times New Roman" w:eastAsia="方正仿宋_GBK" w:cs="Times New Roman"/>
          <w:color w:val="000000"/>
          <w:sz w:val="32"/>
          <w:szCs w:val="32"/>
          <w:lang w:eastAsia="zh-CN"/>
        </w:rPr>
        <w:t>各级人民政府应统筹产业园区安全与发展，通过在高危行业企业、安全管理基础薄弱的企业、中小微企业广泛实施广西企业安全发展项目，提升企业本质安全水平和安全管理能力，增强企业生产力和竞争力，有效预防和减少生产安全事故，促进企业安全和发展可持续。</w:t>
      </w:r>
    </w:p>
    <w:p w14:paraId="7ED9D13A">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楷体_GB2312" w:cs="Times New Roman"/>
          <w:b/>
          <w:bCs/>
          <w:color w:val="000000"/>
          <w:sz w:val="32"/>
          <w:szCs w:val="32"/>
          <w:lang w:eastAsia="zh-CN"/>
        </w:rPr>
        <w:t>（十五）推进企业安全发展政策扶持。</w:t>
      </w:r>
      <w:r>
        <w:rPr>
          <w:rFonts w:hint="default" w:ascii="Times New Roman" w:hAnsi="Times New Roman" w:eastAsia="方正仿宋_GBK" w:cs="Times New Roman"/>
          <w:color w:val="000000"/>
          <w:sz w:val="32"/>
          <w:szCs w:val="32"/>
          <w:lang w:eastAsia="zh-CN"/>
        </w:rPr>
        <w:t>各级人民政府行业主管部门和职能部门应落实产业园区安全生产齐抓共管要求，在制定涉企政策时，在同等条件下优先给予实施广西企业安全发展项目的企业政策扶持。鼓励高危行业参保企业将其安责险事故预防费用，在符合保险合同约定和保险公司服务目录的前提下，优先用于支持本企业参与广西企业安全发展项目相关活动。</w:t>
      </w:r>
    </w:p>
    <w:p w14:paraId="7829CA87">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楷体_GB2312" w:cs="Times New Roman"/>
          <w:b/>
          <w:bCs/>
          <w:color w:val="000000"/>
          <w:sz w:val="32"/>
          <w:szCs w:val="32"/>
          <w:lang w:eastAsia="zh-CN"/>
        </w:rPr>
        <w:t>（十六）推动企业安全发展项目落地见效。</w:t>
      </w:r>
      <w:r>
        <w:rPr>
          <w:rFonts w:hint="default" w:ascii="Times New Roman" w:hAnsi="Times New Roman" w:eastAsia="方正仿宋_GBK" w:cs="Times New Roman"/>
          <w:color w:val="000000"/>
          <w:sz w:val="32"/>
          <w:szCs w:val="32"/>
          <w:lang w:eastAsia="zh-CN"/>
        </w:rPr>
        <w:t>产业园区企业应通过实施企业安全发展项目，制定企业安全发展计划，建立企业持续改进机制，激发企业全员参与隐患排查整改等安全生产管理，构建自我发现、分析和解决问题的长效机制，实现企业安全管理模式从他律向自律转型。</w:t>
      </w:r>
    </w:p>
    <w:p w14:paraId="12DB058F">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default"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lang w:eastAsia="zh-CN"/>
        </w:rPr>
        <w:t>六、强化化工园区安全管理</w:t>
      </w:r>
    </w:p>
    <w:p w14:paraId="51177366">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楷体_GB2312" w:cs="Times New Roman"/>
          <w:b/>
          <w:bCs/>
          <w:color w:val="000000"/>
          <w:sz w:val="32"/>
          <w:szCs w:val="32"/>
          <w:lang w:eastAsia="zh-CN"/>
        </w:rPr>
        <w:t>（十七）进一步推进安全整治提升</w:t>
      </w:r>
      <w:r>
        <w:rPr>
          <w:rFonts w:hint="default" w:ascii="Times New Roman" w:hAnsi="Times New Roman" w:eastAsia="楷体_GB2312"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严格规范开展化工园区公布认定和已认定化工园区复核，持续深化“十有两禁”整治提升，落实安全风险等级动态调整机制和项目禁限批要求，严格限制高安全风险等级（A级）和较高安全风险等级（B级）园区新、改、扩建危险化学品生产建设项目，未达到较低安全风险等级（D级）园区不得扩区。实施重点化工园区重大安全风险防控项目，加强专家指导服务，高水平建设D级园区。</w:t>
      </w:r>
    </w:p>
    <w:p w14:paraId="5A62254E">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楷体_GB2312" w:cs="Times New Roman"/>
          <w:b/>
          <w:bCs/>
          <w:color w:val="000000"/>
          <w:sz w:val="32"/>
          <w:szCs w:val="32"/>
          <w:lang w:eastAsia="zh-CN"/>
        </w:rPr>
        <w:t>（十八）加强化工园区封闭化管理。</w:t>
      </w:r>
      <w:r>
        <w:rPr>
          <w:rFonts w:hint="default" w:ascii="Times New Roman" w:hAnsi="Times New Roman" w:eastAsia="方正仿宋_GBK" w:cs="Times New Roman"/>
          <w:color w:val="000000"/>
          <w:sz w:val="32"/>
          <w:szCs w:val="32"/>
          <w:lang w:eastAsia="zh-CN"/>
        </w:rPr>
        <w:t>化工园区应根据规划布局，结合整体性安全风险评估结果，按照核心控制区、关键控制区、一般控制区分别采取不同的管控措施进行封闭化分类管理，建立完善门禁系统和视频监控系统，利用视频监控、在线监测预警等信息化手段，实现人员、车辆及物料进出全过程动态监管。对具有毒性气体、液态易燃气体、一级重大危险源的核心控制区应采用远程探测在线监测预警，实行严格的进出授权管理。</w:t>
      </w:r>
    </w:p>
    <w:p w14:paraId="14064D0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default" w:ascii="Times New Roman" w:hAnsi="Times New Roman" w:eastAsia="黑体" w:cs="Times New Roman"/>
          <w:color w:val="000000"/>
          <w:sz w:val="32"/>
          <w:szCs w:val="32"/>
          <w:lang w:eastAsia="zh-CN"/>
        </w:rPr>
      </w:pPr>
    </w:p>
    <w:p w14:paraId="5FD5EC5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default" w:ascii="Times New Roman" w:hAnsi="Times New Roman" w:eastAsia="方正仿宋_GBK" w:cs="Times New Roman"/>
          <w:color w:val="000000"/>
          <w:sz w:val="32"/>
          <w:szCs w:val="32"/>
          <w:lang w:eastAsia="zh-CN"/>
        </w:rPr>
      </w:pPr>
      <w:r>
        <w:rPr>
          <w:rFonts w:hint="default" w:ascii="Times New Roman" w:hAnsi="Times New Roman" w:eastAsia="黑体" w:cs="Times New Roman"/>
          <w:color w:val="000000"/>
          <w:sz w:val="32"/>
          <w:szCs w:val="32"/>
          <w:lang w:eastAsia="zh-CN"/>
        </w:rPr>
        <w:t>说明：</w:t>
      </w:r>
      <w:r>
        <w:rPr>
          <w:rFonts w:hint="default" w:ascii="Times New Roman" w:hAnsi="Times New Roman" w:eastAsia="方正仿宋_GBK" w:cs="Times New Roman"/>
          <w:color w:val="000000"/>
          <w:sz w:val="32"/>
          <w:szCs w:val="32"/>
          <w:lang w:eastAsia="zh-CN"/>
        </w:rPr>
        <w:t>产业园区是指经国务院、自治区人民政府批准设立的以发展制造业和生产性服务业为主的特定区域，包括经济（技术）开发区、高新技术产业开发区、工业园（区、集中区、示范园区）、产业园（区、示范区）、边（跨）境经济合作区、海关特殊监管区域等。</w:t>
      </w:r>
    </w:p>
    <w:p w14:paraId="02F146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463142-9F60-48A0-BF11-000A5E260C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8538A0A-B70B-475E-91DC-4BA5C798C8A7}"/>
  </w:font>
  <w:font w:name="方正小标宋_GBK">
    <w:panose1 w:val="02000000000000000000"/>
    <w:charset w:val="86"/>
    <w:family w:val="auto"/>
    <w:pitch w:val="default"/>
    <w:sig w:usb0="A00002BF" w:usb1="38CF7CFA" w:usb2="00082016" w:usb3="00000000" w:csb0="00040001" w:csb1="00000000"/>
    <w:embedRegular r:id="rId3" w:fontKey="{8966B270-3E41-49C9-AF31-0A685EC6996C}"/>
  </w:font>
  <w:font w:name="方正仿宋_GBK">
    <w:altName w:val="微软雅黑"/>
    <w:panose1 w:val="03000509000000000000"/>
    <w:charset w:val="86"/>
    <w:family w:val="auto"/>
    <w:pitch w:val="default"/>
    <w:sig w:usb0="00000000" w:usb1="00000000" w:usb2="00000000" w:usb3="00000000" w:csb0="00040000" w:csb1="00000000"/>
    <w:embedRegular r:id="rId4" w:fontKey="{FEE89ADB-735B-4D5D-BD34-F4ED9C10F2C2}"/>
  </w:font>
  <w:font w:name="仿宋">
    <w:panose1 w:val="02010609060101010101"/>
    <w:charset w:val="86"/>
    <w:family w:val="auto"/>
    <w:pitch w:val="default"/>
    <w:sig w:usb0="800002BF" w:usb1="38CF7CFA" w:usb2="00000016" w:usb3="00000000" w:csb0="00040001" w:csb1="00000000"/>
    <w:embedRegular r:id="rId5" w:fontKey="{0935EF2A-4F0A-457C-A621-36A263903675}"/>
  </w:font>
  <w:font w:name="楷体_GB2312">
    <w:altName w:val="楷体"/>
    <w:panose1 w:val="02010609030101010101"/>
    <w:charset w:val="86"/>
    <w:family w:val="auto"/>
    <w:pitch w:val="default"/>
    <w:sig w:usb0="00000000" w:usb1="00000000" w:usb2="00000000" w:usb3="00000000" w:csb0="00040000" w:csb1="00000000"/>
    <w:embedRegular r:id="rId6" w:fontKey="{D16C16EE-15B2-4CDE-993B-0759AE033D23}"/>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2345B"/>
    <w:rsid w:val="27823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Default"/>
    <w:basedOn w:val="3"/>
    <w:next w:val="4"/>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黑体" w:hAnsi="Times New Roman" w:eastAsia="黑体" w:cs="Times New Roman"/>
      <w:color w:val="000000"/>
      <w:kern w:val="0"/>
      <w:sz w:val="24"/>
      <w:szCs w:val="24"/>
      <w:lang w:val="en-US" w:eastAsia="zh-CN" w:bidi="ar"/>
    </w:rPr>
  </w:style>
  <w:style w:type="paragraph" w:customStyle="1" w:styleId="3">
    <w:name w:val="纯文本1"/>
    <w:basedOn w:val="1"/>
    <w:qFormat/>
    <w:uiPriority w:val="0"/>
    <w:pPr>
      <w:textAlignment w:val="baseline"/>
    </w:pPr>
    <w:rPr>
      <w:rFonts w:ascii="宋体" w:hAnsi="Courier New"/>
    </w:r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5">
    <w:name w:val="footer"/>
    <w:basedOn w:val="1"/>
    <w:next w:val="1"/>
    <w:uiPriority w:val="0"/>
    <w:pPr>
      <w:tabs>
        <w:tab w:val="center" w:pos="4153"/>
        <w:tab w:val="right" w:pos="8306"/>
      </w:tabs>
      <w:snapToGrid w:val="0"/>
      <w:jc w:val="left"/>
    </w:pPr>
    <w:rPr>
      <w:sz w:val="18"/>
    </w:rPr>
  </w:style>
  <w:style w:type="paragraph" w:styleId="6">
    <w:name w:val="header"/>
    <w:basedOn w:val="1"/>
    <w:next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2025-08-26T07:40:00Z</dcterms:created>
  <dc:creator>77262</dc:creator>
  <cp:lastModifiedBy>77262</cp:lastModifiedBy>
  <dcterms:modified xsi:type="dcterms:W3CDTF">2025-08-26T07:57:40Z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75AD6C096D5348FC8F9CEA17D2D337D4_11</vt:lpwstr>
  </property>
  <property fmtid="{D5CDD505-2E9C-101B-9397-08002B2CF9AE}" pid="4" name="KSOTemplateDocerSaveRecord">
    <vt:lpwstr>eyJoZGlkIjoiMjVmNTU5NzRmM2U2NWM4ZmUwMGQ1ZWFmZjdjMDFjZDUiLCJ1c2VySWQiOiI0NTM0NjAxNzYifQ==</vt:lpwstr>
  </property>
</Properties>
</file>