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E6490">
      <w:pP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kern w:val="0"/>
          <w:sz w:val="32"/>
          <w:szCs w:val="32"/>
          <w:highlight w:val="none"/>
          <w:lang w:val="en-US" w:eastAsia="zh-CN"/>
        </w:rPr>
        <w:t>附件3</w:t>
      </w:r>
    </w:p>
    <w:p w14:paraId="1F5945C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b w:val="0"/>
          <w:bCs w:val="0"/>
          <w:color w:val="000000"/>
          <w:kern w:val="2"/>
          <w:sz w:val="44"/>
          <w:szCs w:val="44"/>
          <w:highlight w:val="none"/>
          <w:lang w:val="en-US" w:eastAsia="zh-CN" w:bidi="ar-SA"/>
        </w:rPr>
      </w:pPr>
      <w:r>
        <w:rPr>
          <w:rFonts w:hint="default" w:ascii="Times New Roman" w:hAnsi="Times New Roman" w:eastAsia="方正小标宋简体" w:cs="Times New Roman"/>
          <w:b w:val="0"/>
          <w:bCs w:val="0"/>
          <w:color w:val="000000"/>
          <w:kern w:val="2"/>
          <w:sz w:val="44"/>
          <w:szCs w:val="44"/>
          <w:highlight w:val="none"/>
          <w:lang w:val="en-US" w:eastAsia="zh-CN" w:bidi="ar-SA"/>
        </w:rPr>
        <w:t>2026年执法工作日测算表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
        <w:gridCol w:w="4895"/>
        <w:gridCol w:w="1472"/>
        <w:gridCol w:w="1297"/>
      </w:tblGrid>
      <w:tr w14:paraId="3C6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5770" w:type="dxa"/>
            <w:gridSpan w:val="3"/>
            <w:noWrap w:val="0"/>
            <w:vAlign w:val="center"/>
          </w:tcPr>
          <w:p w14:paraId="149677DB">
            <w:pPr>
              <w:spacing w:line="360" w:lineRule="exact"/>
              <w:ind w:right="-118" w:rightChars="-56"/>
              <w:jc w:val="center"/>
              <w:rPr>
                <w:rFonts w:hint="default" w:ascii="Times New Roman" w:hAnsi="Times New Roman" w:eastAsia="黑体" w:cs="Times New Roman"/>
                <w:b/>
                <w:bCs/>
                <w:color w:val="auto"/>
                <w:kern w:val="0"/>
                <w:sz w:val="24"/>
                <w:szCs w:val="24"/>
                <w:highlight w:val="none"/>
                <w:lang w:val="en-US" w:eastAsia="zh-CN"/>
              </w:rPr>
            </w:pPr>
            <w:r>
              <w:rPr>
                <w:rFonts w:hint="default" w:ascii="Times New Roman" w:hAnsi="Times New Roman" w:eastAsia="黑体" w:cs="Times New Roman"/>
                <w:b/>
                <w:bCs/>
                <w:color w:val="auto"/>
                <w:kern w:val="0"/>
                <w:sz w:val="24"/>
                <w:szCs w:val="24"/>
                <w:highlight w:val="none"/>
                <w:lang w:val="en-US" w:eastAsia="zh-CN"/>
              </w:rPr>
              <w:t>项目内容</w:t>
            </w:r>
          </w:p>
        </w:tc>
        <w:tc>
          <w:tcPr>
            <w:tcW w:w="2769" w:type="dxa"/>
            <w:gridSpan w:val="2"/>
            <w:noWrap w:val="0"/>
            <w:vAlign w:val="center"/>
          </w:tcPr>
          <w:p w14:paraId="29979195">
            <w:pPr>
              <w:spacing w:line="360" w:lineRule="exact"/>
              <w:ind w:left="-174" w:leftChars="-83" w:right="-107" w:rightChars="-51"/>
              <w:jc w:val="center"/>
              <w:rPr>
                <w:rFonts w:hint="default" w:ascii="Times New Roman" w:hAnsi="Times New Roman" w:eastAsia="黑体" w:cs="Times New Roman"/>
                <w:b/>
                <w:bCs/>
                <w:color w:val="auto"/>
                <w:kern w:val="0"/>
                <w:sz w:val="24"/>
                <w:szCs w:val="24"/>
                <w:highlight w:val="none"/>
                <w:lang w:val="en-US" w:eastAsia="zh-CN"/>
              </w:rPr>
            </w:pPr>
            <w:r>
              <w:rPr>
                <w:rFonts w:hint="default" w:ascii="Times New Roman" w:hAnsi="Times New Roman" w:eastAsia="黑体" w:cs="Times New Roman"/>
                <w:b/>
                <w:bCs/>
                <w:color w:val="auto"/>
                <w:kern w:val="0"/>
                <w:sz w:val="24"/>
                <w:szCs w:val="24"/>
                <w:highlight w:val="none"/>
                <w:lang w:val="en-US" w:eastAsia="zh-CN"/>
              </w:rPr>
              <w:t>工作日数</w:t>
            </w:r>
          </w:p>
        </w:tc>
      </w:tr>
      <w:tr w14:paraId="38AE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5770" w:type="dxa"/>
            <w:gridSpan w:val="3"/>
            <w:noWrap w:val="0"/>
            <w:vAlign w:val="center"/>
          </w:tcPr>
          <w:p w14:paraId="1B18857A">
            <w:pPr>
              <w:spacing w:line="360" w:lineRule="exact"/>
              <w:jc w:val="center"/>
              <w:rPr>
                <w:rFonts w:hint="default" w:ascii="Times New Roman" w:hAnsi="Times New Roman" w:eastAsia="方正黑体_GBK"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总法定工作日</w:t>
            </w:r>
          </w:p>
        </w:tc>
        <w:tc>
          <w:tcPr>
            <w:tcW w:w="2769" w:type="dxa"/>
            <w:gridSpan w:val="2"/>
            <w:noWrap w:val="0"/>
            <w:vAlign w:val="center"/>
          </w:tcPr>
          <w:p w14:paraId="52AD420E">
            <w:pPr>
              <w:spacing w:line="360" w:lineRule="exact"/>
              <w:ind w:right="-38" w:rightChars="-18"/>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15</w:t>
            </w:r>
            <w:r>
              <w:rPr>
                <w:rFonts w:hint="eastAsia" w:ascii="Times New Roman" w:hAnsi="Times New Roman" w:eastAsia="方正仿宋_GBK" w:cs="Times New Roman"/>
                <w:color w:val="auto"/>
                <w:kern w:val="0"/>
                <w:sz w:val="21"/>
                <w:szCs w:val="21"/>
                <w:highlight w:val="none"/>
                <w:lang w:val="en-US" w:eastAsia="zh-CN"/>
              </w:rPr>
              <w:t>252</w:t>
            </w:r>
          </w:p>
        </w:tc>
      </w:tr>
      <w:tr w14:paraId="749F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1" w:type="dxa"/>
            <w:vMerge w:val="restart"/>
            <w:noWrap w:val="0"/>
            <w:vAlign w:val="center"/>
          </w:tcPr>
          <w:p w14:paraId="252B8F61">
            <w:pPr>
              <w:spacing w:line="360" w:lineRule="exact"/>
              <w:jc w:val="center"/>
              <w:rPr>
                <w:rFonts w:hint="default" w:ascii="Times New Roman" w:hAnsi="Times New Roman" w:eastAsia="方正黑体_GBK"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监督检查工作日</w:t>
            </w:r>
          </w:p>
        </w:tc>
        <w:tc>
          <w:tcPr>
            <w:tcW w:w="4899" w:type="dxa"/>
            <w:gridSpan w:val="2"/>
            <w:noWrap w:val="0"/>
            <w:vAlign w:val="center"/>
          </w:tcPr>
          <w:p w14:paraId="3DAC0E8A">
            <w:pPr>
              <w:spacing w:line="360" w:lineRule="exact"/>
              <w:jc w:val="left"/>
              <w:rPr>
                <w:rFonts w:hint="default" w:ascii="Times New Roman" w:hAnsi="Times New Roman" w:eastAsia="黑体"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合计</w:t>
            </w:r>
          </w:p>
        </w:tc>
        <w:tc>
          <w:tcPr>
            <w:tcW w:w="2769" w:type="dxa"/>
            <w:gridSpan w:val="2"/>
            <w:noWrap w:val="0"/>
            <w:vAlign w:val="center"/>
          </w:tcPr>
          <w:p w14:paraId="6EEEEA26">
            <w:pPr>
              <w:spacing w:line="360" w:lineRule="exact"/>
              <w:ind w:right="-38" w:rightChars="-18"/>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1860</w:t>
            </w:r>
          </w:p>
        </w:tc>
      </w:tr>
      <w:tr w14:paraId="05CA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117EAA8D">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2B2CC840">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1.重点检查工作日</w:t>
            </w:r>
          </w:p>
        </w:tc>
        <w:tc>
          <w:tcPr>
            <w:tcW w:w="2769" w:type="dxa"/>
            <w:gridSpan w:val="2"/>
            <w:vMerge w:val="restart"/>
            <w:noWrap w:val="0"/>
            <w:vAlign w:val="center"/>
          </w:tcPr>
          <w:p w14:paraId="63C07925">
            <w:pPr>
              <w:spacing w:line="360" w:lineRule="exact"/>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1860</w:t>
            </w:r>
          </w:p>
        </w:tc>
      </w:tr>
      <w:tr w14:paraId="56BD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694A7EA2">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50B88600">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2.一般检查工作日</w:t>
            </w:r>
          </w:p>
        </w:tc>
        <w:tc>
          <w:tcPr>
            <w:tcW w:w="2769" w:type="dxa"/>
            <w:gridSpan w:val="2"/>
            <w:vMerge w:val="continue"/>
            <w:noWrap w:val="0"/>
            <w:vAlign w:val="center"/>
          </w:tcPr>
          <w:p w14:paraId="1BFDC173">
            <w:pPr>
              <w:spacing w:line="360" w:lineRule="exact"/>
              <w:jc w:val="center"/>
              <w:rPr>
                <w:rFonts w:hint="default" w:ascii="Times New Roman" w:hAnsi="Times New Roman" w:eastAsia="方正仿宋_GBK" w:cs="Times New Roman"/>
                <w:color w:val="auto"/>
                <w:kern w:val="0"/>
                <w:sz w:val="21"/>
                <w:szCs w:val="21"/>
                <w:highlight w:val="none"/>
                <w:lang w:val="en-US" w:eastAsia="zh-CN"/>
              </w:rPr>
            </w:pPr>
          </w:p>
        </w:tc>
      </w:tr>
      <w:tr w14:paraId="41E3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restart"/>
            <w:noWrap w:val="0"/>
            <w:vAlign w:val="center"/>
          </w:tcPr>
          <w:p w14:paraId="39C1DFE4">
            <w:pPr>
              <w:spacing w:line="360" w:lineRule="exact"/>
              <w:jc w:val="center"/>
              <w:rPr>
                <w:rFonts w:hint="default" w:ascii="Times New Roman" w:hAnsi="Times New Roman" w:eastAsia="方正黑体_GBK"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其他执法工作日</w:t>
            </w:r>
          </w:p>
        </w:tc>
        <w:tc>
          <w:tcPr>
            <w:tcW w:w="4895" w:type="dxa"/>
            <w:noWrap w:val="0"/>
            <w:vAlign w:val="center"/>
          </w:tcPr>
          <w:p w14:paraId="3AED7D35">
            <w:pPr>
              <w:spacing w:line="360" w:lineRule="exact"/>
              <w:ind w:left="0" w:leftChars="0" w:firstLine="0" w:firstLineChars="0"/>
              <w:jc w:val="left"/>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合计</w:t>
            </w:r>
          </w:p>
        </w:tc>
        <w:tc>
          <w:tcPr>
            <w:tcW w:w="2769" w:type="dxa"/>
            <w:gridSpan w:val="2"/>
            <w:noWrap w:val="0"/>
            <w:vAlign w:val="center"/>
          </w:tcPr>
          <w:p w14:paraId="3F596DC9">
            <w:pPr>
              <w:spacing w:line="360" w:lineRule="exact"/>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7936</w:t>
            </w:r>
          </w:p>
        </w:tc>
      </w:tr>
      <w:tr w14:paraId="367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66C474D4">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5CE8FA82">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1.开展安全生产综合监管</w:t>
            </w:r>
          </w:p>
        </w:tc>
        <w:tc>
          <w:tcPr>
            <w:tcW w:w="2769" w:type="dxa"/>
            <w:gridSpan w:val="2"/>
            <w:vMerge w:val="restart"/>
            <w:noWrap w:val="0"/>
            <w:vAlign w:val="center"/>
          </w:tcPr>
          <w:p w14:paraId="3BBC9DFD">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7936</w:t>
            </w:r>
          </w:p>
        </w:tc>
      </w:tr>
      <w:tr w14:paraId="0314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2E584ECA">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43A6926A">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2.实施行政许可</w:t>
            </w:r>
          </w:p>
        </w:tc>
        <w:tc>
          <w:tcPr>
            <w:tcW w:w="2769" w:type="dxa"/>
            <w:gridSpan w:val="2"/>
            <w:vMerge w:val="continue"/>
            <w:noWrap w:val="0"/>
            <w:vAlign w:val="center"/>
          </w:tcPr>
          <w:p w14:paraId="78012598">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57D3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1C390FE2">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16CA3BA7">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3.组织或参与生产安全事故调查和处理</w:t>
            </w:r>
          </w:p>
        </w:tc>
        <w:tc>
          <w:tcPr>
            <w:tcW w:w="2769" w:type="dxa"/>
            <w:gridSpan w:val="2"/>
            <w:vMerge w:val="continue"/>
            <w:noWrap w:val="0"/>
            <w:vAlign w:val="center"/>
          </w:tcPr>
          <w:p w14:paraId="0D9E37AB">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5A96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40FEF8A3">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16A3CB61">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4.调查核实安全生产投诉举报</w:t>
            </w:r>
          </w:p>
        </w:tc>
        <w:tc>
          <w:tcPr>
            <w:tcW w:w="2769" w:type="dxa"/>
            <w:gridSpan w:val="2"/>
            <w:vMerge w:val="continue"/>
            <w:noWrap w:val="0"/>
            <w:vAlign w:val="center"/>
          </w:tcPr>
          <w:p w14:paraId="6BFE7AB9">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2B4D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continue"/>
            <w:noWrap w:val="0"/>
            <w:vAlign w:val="center"/>
          </w:tcPr>
          <w:p w14:paraId="7F110319">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5EF66F63">
            <w:pPr>
              <w:spacing w:line="36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5.参加有关部门联合执法</w:t>
            </w:r>
          </w:p>
        </w:tc>
        <w:tc>
          <w:tcPr>
            <w:tcW w:w="2769" w:type="dxa"/>
            <w:gridSpan w:val="2"/>
            <w:vMerge w:val="continue"/>
            <w:noWrap w:val="0"/>
            <w:vAlign w:val="center"/>
          </w:tcPr>
          <w:p w14:paraId="10DB3CD6">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2AD3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7F55DF9C">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3D5053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6.办理有关法律、法规、规章规定的登记、备案</w:t>
            </w:r>
          </w:p>
        </w:tc>
        <w:tc>
          <w:tcPr>
            <w:tcW w:w="2769" w:type="dxa"/>
            <w:gridSpan w:val="2"/>
            <w:vMerge w:val="continue"/>
            <w:noWrap w:val="0"/>
            <w:vAlign w:val="center"/>
          </w:tcPr>
          <w:p w14:paraId="157EFA85">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32D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148D6020">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6CE597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7.参加中介服务机构的监督检查</w:t>
            </w:r>
          </w:p>
        </w:tc>
        <w:tc>
          <w:tcPr>
            <w:tcW w:w="2769" w:type="dxa"/>
            <w:gridSpan w:val="2"/>
            <w:vMerge w:val="continue"/>
            <w:noWrap w:val="0"/>
            <w:vAlign w:val="center"/>
          </w:tcPr>
          <w:p w14:paraId="48E12FB4">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6D47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173489F5">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385C02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8.开展或参加安全生产宣传教育培训</w:t>
            </w:r>
          </w:p>
        </w:tc>
        <w:tc>
          <w:tcPr>
            <w:tcW w:w="2769" w:type="dxa"/>
            <w:gridSpan w:val="2"/>
            <w:vMerge w:val="continue"/>
            <w:noWrap w:val="0"/>
            <w:vAlign w:val="center"/>
          </w:tcPr>
          <w:p w14:paraId="15623582">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2D0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385B9ECB">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3641D4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9.办理行政复议、行政应诉</w:t>
            </w:r>
          </w:p>
        </w:tc>
        <w:tc>
          <w:tcPr>
            <w:tcW w:w="2769" w:type="dxa"/>
            <w:gridSpan w:val="2"/>
            <w:vMerge w:val="continue"/>
            <w:noWrap w:val="0"/>
            <w:vAlign w:val="center"/>
          </w:tcPr>
          <w:p w14:paraId="1CA49ADB">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161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75" w:type="dxa"/>
            <w:gridSpan w:val="2"/>
            <w:vMerge w:val="continue"/>
            <w:noWrap w:val="0"/>
            <w:vAlign w:val="center"/>
          </w:tcPr>
          <w:p w14:paraId="1D50D466">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5B3A1E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10.完成本级人民政府或者上级安全监管部门安排的执法工作任务</w:t>
            </w:r>
          </w:p>
        </w:tc>
        <w:tc>
          <w:tcPr>
            <w:tcW w:w="2769" w:type="dxa"/>
            <w:gridSpan w:val="2"/>
            <w:vMerge w:val="continue"/>
            <w:noWrap w:val="0"/>
            <w:vAlign w:val="center"/>
          </w:tcPr>
          <w:p w14:paraId="39A66903">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4352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2B7514BA">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49594B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11.监督检查地方政府非煤矿山安全监管工作</w:t>
            </w:r>
          </w:p>
        </w:tc>
        <w:tc>
          <w:tcPr>
            <w:tcW w:w="2769" w:type="dxa"/>
            <w:gridSpan w:val="2"/>
            <w:vMerge w:val="continue"/>
            <w:noWrap w:val="0"/>
            <w:vAlign w:val="center"/>
          </w:tcPr>
          <w:p w14:paraId="646435C9">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6946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5B5954DE">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7B0E07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12.配合国家矿山安监局开展监察、异地监察</w:t>
            </w:r>
          </w:p>
        </w:tc>
        <w:tc>
          <w:tcPr>
            <w:tcW w:w="2769" w:type="dxa"/>
            <w:gridSpan w:val="2"/>
            <w:vMerge w:val="continue"/>
            <w:noWrap w:val="0"/>
            <w:vAlign w:val="center"/>
          </w:tcPr>
          <w:p w14:paraId="72AA996B">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131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75" w:type="dxa"/>
            <w:gridSpan w:val="2"/>
            <w:vMerge w:val="continue"/>
            <w:noWrap w:val="0"/>
            <w:vAlign w:val="center"/>
          </w:tcPr>
          <w:p w14:paraId="2DA0C0BC">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0B13CD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13.其他需要安排的执法工作</w:t>
            </w:r>
          </w:p>
        </w:tc>
        <w:tc>
          <w:tcPr>
            <w:tcW w:w="2769" w:type="dxa"/>
            <w:gridSpan w:val="2"/>
            <w:vMerge w:val="continue"/>
            <w:noWrap w:val="0"/>
            <w:vAlign w:val="center"/>
          </w:tcPr>
          <w:p w14:paraId="13BE2C3D">
            <w:pPr>
              <w:keepNext w:val="0"/>
              <w:keepLines w:val="0"/>
              <w:widowControl/>
              <w:suppressLineNumbers w:val="0"/>
              <w:jc w:val="center"/>
              <w:textAlignment w:val="center"/>
              <w:rPr>
                <w:rFonts w:hint="default" w:ascii="Times New Roman" w:hAnsi="Times New Roman" w:eastAsia="方正仿宋_GBK" w:cs="Times New Roman"/>
                <w:color w:val="auto"/>
                <w:kern w:val="0"/>
                <w:sz w:val="21"/>
                <w:szCs w:val="21"/>
                <w:highlight w:val="none"/>
                <w:lang w:val="en-US" w:eastAsia="zh-CN"/>
              </w:rPr>
            </w:pPr>
          </w:p>
        </w:tc>
      </w:tr>
      <w:tr w14:paraId="13AF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75" w:type="dxa"/>
            <w:gridSpan w:val="2"/>
            <w:vMerge w:val="restart"/>
            <w:noWrap w:val="0"/>
            <w:vAlign w:val="center"/>
          </w:tcPr>
          <w:p w14:paraId="5B92BD42">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非执</w:t>
            </w:r>
          </w:p>
          <w:p w14:paraId="7D50AE35">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法工</w:t>
            </w:r>
          </w:p>
          <w:p w14:paraId="33B8B92A">
            <w:pPr>
              <w:spacing w:line="360" w:lineRule="exact"/>
              <w:jc w:val="center"/>
              <w:rPr>
                <w:rFonts w:hint="default" w:ascii="Times New Roman" w:hAnsi="Times New Roman" w:eastAsia="方正黑体_GBK"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作日</w:t>
            </w:r>
          </w:p>
        </w:tc>
        <w:tc>
          <w:tcPr>
            <w:tcW w:w="4895" w:type="dxa"/>
            <w:noWrap w:val="0"/>
            <w:vAlign w:val="center"/>
          </w:tcPr>
          <w:p w14:paraId="7B2647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合计</w:t>
            </w:r>
          </w:p>
        </w:tc>
        <w:tc>
          <w:tcPr>
            <w:tcW w:w="2769" w:type="dxa"/>
            <w:gridSpan w:val="2"/>
            <w:noWrap w:val="0"/>
            <w:vAlign w:val="center"/>
          </w:tcPr>
          <w:p w14:paraId="3EFF2F03">
            <w:pPr>
              <w:spacing w:line="360" w:lineRule="exact"/>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5</w:t>
            </w:r>
            <w:r>
              <w:rPr>
                <w:rFonts w:hint="eastAsia" w:ascii="Times New Roman" w:hAnsi="Times New Roman" w:eastAsia="方正仿宋_GBK" w:cs="Times New Roman"/>
                <w:color w:val="auto"/>
                <w:kern w:val="0"/>
                <w:sz w:val="21"/>
                <w:szCs w:val="21"/>
                <w:highlight w:val="none"/>
                <w:lang w:val="en-US" w:eastAsia="zh-CN"/>
              </w:rPr>
              <w:t>456</w:t>
            </w:r>
          </w:p>
        </w:tc>
      </w:tr>
      <w:tr w14:paraId="28F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75" w:type="dxa"/>
            <w:gridSpan w:val="2"/>
            <w:vMerge w:val="continue"/>
            <w:noWrap w:val="0"/>
            <w:vAlign w:val="top"/>
          </w:tcPr>
          <w:p w14:paraId="3E587630">
            <w:pPr>
              <w:spacing w:line="360" w:lineRule="exact"/>
              <w:jc w:val="center"/>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3159D1D7">
            <w:pPr>
              <w:spacing w:line="28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1.机关值班</w:t>
            </w:r>
          </w:p>
        </w:tc>
        <w:tc>
          <w:tcPr>
            <w:tcW w:w="2769" w:type="dxa"/>
            <w:gridSpan w:val="2"/>
            <w:vMerge w:val="restart"/>
            <w:noWrap w:val="0"/>
            <w:vAlign w:val="center"/>
          </w:tcPr>
          <w:p w14:paraId="7DEAAFF9">
            <w:pPr>
              <w:spacing w:line="28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5</w:t>
            </w:r>
            <w:r>
              <w:rPr>
                <w:rFonts w:hint="eastAsia" w:ascii="Times New Roman" w:hAnsi="Times New Roman" w:eastAsia="方正仿宋_GBK" w:cs="Times New Roman"/>
                <w:color w:val="auto"/>
                <w:kern w:val="0"/>
                <w:sz w:val="21"/>
                <w:szCs w:val="21"/>
                <w:highlight w:val="none"/>
                <w:lang w:val="en-US" w:eastAsia="zh-CN"/>
              </w:rPr>
              <w:t>456</w:t>
            </w:r>
          </w:p>
        </w:tc>
      </w:tr>
      <w:tr w14:paraId="14D7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75" w:type="dxa"/>
            <w:gridSpan w:val="2"/>
            <w:vMerge w:val="continue"/>
            <w:noWrap w:val="0"/>
            <w:vAlign w:val="top"/>
          </w:tcPr>
          <w:p w14:paraId="21B0AECF">
            <w:pPr>
              <w:spacing w:line="280" w:lineRule="exact"/>
              <w:jc w:val="both"/>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607737C8">
            <w:pPr>
              <w:spacing w:line="28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2.学习、培训、考核、会议</w:t>
            </w:r>
          </w:p>
        </w:tc>
        <w:tc>
          <w:tcPr>
            <w:tcW w:w="2769" w:type="dxa"/>
            <w:gridSpan w:val="2"/>
            <w:vMerge w:val="continue"/>
            <w:noWrap w:val="0"/>
            <w:vAlign w:val="center"/>
          </w:tcPr>
          <w:p w14:paraId="2FB42E5E">
            <w:pPr>
              <w:spacing w:line="280" w:lineRule="exact"/>
              <w:jc w:val="center"/>
              <w:rPr>
                <w:rFonts w:hint="default" w:ascii="Times New Roman" w:hAnsi="Times New Roman" w:eastAsia="方正仿宋_GBK" w:cs="Times New Roman"/>
                <w:color w:val="auto"/>
                <w:sz w:val="21"/>
                <w:szCs w:val="21"/>
                <w:highlight w:val="none"/>
                <w:lang w:val="en-US" w:eastAsia="zh-CN"/>
              </w:rPr>
            </w:pPr>
          </w:p>
        </w:tc>
      </w:tr>
      <w:tr w14:paraId="74D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875" w:type="dxa"/>
            <w:gridSpan w:val="2"/>
            <w:vMerge w:val="continue"/>
            <w:noWrap w:val="0"/>
            <w:vAlign w:val="top"/>
          </w:tcPr>
          <w:p w14:paraId="3BCA7EA0">
            <w:pPr>
              <w:spacing w:line="280" w:lineRule="exact"/>
              <w:jc w:val="both"/>
              <w:rPr>
                <w:rFonts w:hint="default" w:ascii="Times New Roman" w:hAnsi="Times New Roman" w:eastAsia="方正黑体_GBK" w:cs="Times New Roman"/>
                <w:color w:val="auto"/>
                <w:sz w:val="21"/>
                <w:szCs w:val="21"/>
                <w:highlight w:val="none"/>
                <w:lang w:val="en-US" w:eastAsia="zh-CN"/>
              </w:rPr>
            </w:pPr>
          </w:p>
        </w:tc>
        <w:tc>
          <w:tcPr>
            <w:tcW w:w="4895" w:type="dxa"/>
            <w:noWrap w:val="0"/>
            <w:vAlign w:val="center"/>
          </w:tcPr>
          <w:p w14:paraId="0D3FE597">
            <w:pPr>
              <w:spacing w:line="28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i w:val="0"/>
                <w:color w:val="auto"/>
                <w:kern w:val="0"/>
                <w:sz w:val="21"/>
                <w:szCs w:val="21"/>
                <w:highlight w:val="none"/>
                <w:u w:val="none"/>
                <w:lang w:val="en-US" w:eastAsia="zh-CN" w:bidi="ar"/>
              </w:rPr>
              <w:t>检查指导下级应急管理部门工作、参加党群活动、病假、事假、法定年休假、探亲假、婚（丧）假</w:t>
            </w:r>
            <w:r>
              <w:rPr>
                <w:rFonts w:hint="default" w:ascii="Times New Roman" w:hAnsi="Times New Roman" w:eastAsia="仿宋_GB2312" w:cs="Times New Roman"/>
                <w:color w:val="auto"/>
                <w:sz w:val="21"/>
                <w:szCs w:val="21"/>
                <w:highlight w:val="none"/>
                <w:lang w:val="en-US" w:eastAsia="zh-CN"/>
              </w:rPr>
              <w:t>资料整理归档、统计分析、档案管理等工作和事项</w:t>
            </w:r>
          </w:p>
        </w:tc>
        <w:tc>
          <w:tcPr>
            <w:tcW w:w="2769" w:type="dxa"/>
            <w:gridSpan w:val="2"/>
            <w:vMerge w:val="continue"/>
            <w:noWrap w:val="0"/>
            <w:vAlign w:val="center"/>
          </w:tcPr>
          <w:p w14:paraId="2AFA56CC">
            <w:pPr>
              <w:spacing w:line="280" w:lineRule="exact"/>
              <w:jc w:val="center"/>
              <w:rPr>
                <w:rFonts w:hint="default" w:ascii="Times New Roman" w:hAnsi="Times New Roman" w:eastAsia="方正仿宋_GBK" w:cs="Times New Roman"/>
                <w:color w:val="auto"/>
                <w:sz w:val="21"/>
                <w:szCs w:val="21"/>
                <w:highlight w:val="none"/>
                <w:lang w:val="en-US" w:eastAsia="zh-CN"/>
              </w:rPr>
            </w:pPr>
          </w:p>
        </w:tc>
      </w:tr>
      <w:tr w14:paraId="1265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75" w:type="dxa"/>
            <w:gridSpan w:val="2"/>
            <w:vMerge w:val="restart"/>
            <w:noWrap w:val="0"/>
            <w:vAlign w:val="top"/>
          </w:tcPr>
          <w:p w14:paraId="7C363269">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执法</w:t>
            </w:r>
          </w:p>
          <w:p w14:paraId="4B2DAF9A">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人员</w:t>
            </w:r>
          </w:p>
          <w:p w14:paraId="65BCAD28">
            <w:pPr>
              <w:spacing w:line="360" w:lineRule="exac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比例</w:t>
            </w:r>
          </w:p>
        </w:tc>
        <w:tc>
          <w:tcPr>
            <w:tcW w:w="4895" w:type="dxa"/>
            <w:noWrap w:val="0"/>
            <w:vAlign w:val="center"/>
          </w:tcPr>
          <w:p w14:paraId="2FA8CA4C">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实际参与监管执法人员</w:t>
            </w:r>
            <w:r>
              <w:rPr>
                <w:rFonts w:hint="default" w:ascii="Times New Roman" w:hAnsi="Times New Roman" w:eastAsia="方正黑体_GBK" w:cs="Times New Roman"/>
                <w:b/>
                <w:bCs/>
                <w:i w:val="0"/>
                <w:caps w:val="0"/>
                <w:color w:val="auto"/>
                <w:spacing w:val="0"/>
                <w:sz w:val="21"/>
                <w:szCs w:val="21"/>
                <w:highlight w:val="none"/>
                <w:shd w:val="clear" w:color="auto" w:fill="auto"/>
                <w:lang w:val="en-US" w:eastAsia="zh-CN"/>
              </w:rPr>
              <w:t>占</w:t>
            </w:r>
            <w:r>
              <w:rPr>
                <w:rFonts w:hint="default" w:ascii="Times New Roman" w:hAnsi="Times New Roman" w:eastAsia="方正黑体_GBK" w:cs="Times New Roman"/>
                <w:b/>
                <w:bCs/>
                <w:color w:val="auto"/>
                <w:spacing w:val="0"/>
                <w:sz w:val="21"/>
                <w:szCs w:val="21"/>
                <w:highlight w:val="none"/>
              </w:rPr>
              <w:t>自治区应急管理厅</w:t>
            </w:r>
            <w:r>
              <w:rPr>
                <w:rFonts w:hint="default" w:ascii="Times New Roman" w:hAnsi="Times New Roman" w:eastAsia="方正黑体_GBK" w:cs="Times New Roman"/>
                <w:b/>
                <w:bCs/>
                <w:i w:val="0"/>
                <w:caps w:val="0"/>
                <w:color w:val="auto"/>
                <w:spacing w:val="0"/>
                <w:sz w:val="21"/>
                <w:szCs w:val="21"/>
                <w:highlight w:val="none"/>
                <w:shd w:val="clear" w:color="auto" w:fill="auto"/>
                <w:lang w:val="en-US" w:eastAsia="zh-CN"/>
              </w:rPr>
              <w:t>行政编制总人数的比例</w:t>
            </w:r>
          </w:p>
        </w:tc>
        <w:tc>
          <w:tcPr>
            <w:tcW w:w="1472" w:type="dxa"/>
            <w:noWrap w:val="0"/>
            <w:vAlign w:val="center"/>
          </w:tcPr>
          <w:p w14:paraId="48B551DD">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pacing w:val="0"/>
                <w:sz w:val="21"/>
                <w:szCs w:val="21"/>
                <w:highlight w:val="none"/>
              </w:rPr>
              <w:t>自治区应急管理厅</w:t>
            </w:r>
            <w:r>
              <w:rPr>
                <w:rFonts w:hint="default" w:ascii="Times New Roman" w:hAnsi="Times New Roman" w:eastAsia="方正黑体_GBK" w:cs="Times New Roman"/>
                <w:b/>
                <w:bCs/>
                <w:i w:val="0"/>
                <w:caps w:val="0"/>
                <w:color w:val="auto"/>
                <w:spacing w:val="0"/>
                <w:sz w:val="21"/>
                <w:szCs w:val="21"/>
                <w:highlight w:val="none"/>
                <w:shd w:val="clear" w:color="auto" w:fill="auto"/>
                <w:lang w:val="en-US" w:eastAsia="zh-CN"/>
              </w:rPr>
              <w:t>行政编制总人数</w:t>
            </w:r>
          </w:p>
        </w:tc>
        <w:tc>
          <w:tcPr>
            <w:tcW w:w="1297" w:type="dxa"/>
            <w:noWrap w:val="0"/>
            <w:vAlign w:val="center"/>
          </w:tcPr>
          <w:p w14:paraId="726CCA55">
            <w:pPr>
              <w:spacing w:line="360" w:lineRule="exact"/>
              <w:jc w:val="center"/>
              <w:rPr>
                <w:rFonts w:hint="default" w:ascii="Times New Roman" w:hAnsi="Times New Roman" w:eastAsia="方正黑体_GBK" w:cs="Times New Roman"/>
                <w:b/>
                <w:bCs/>
                <w:color w:val="auto"/>
                <w:sz w:val="21"/>
                <w:szCs w:val="21"/>
                <w:highlight w:val="none"/>
                <w:lang w:val="en-US" w:eastAsia="zh-CN"/>
              </w:rPr>
            </w:pPr>
            <w:r>
              <w:rPr>
                <w:rFonts w:hint="default" w:ascii="Times New Roman" w:hAnsi="Times New Roman" w:eastAsia="方正黑体_GBK" w:cs="Times New Roman"/>
                <w:b/>
                <w:bCs/>
                <w:color w:val="auto"/>
                <w:sz w:val="21"/>
                <w:szCs w:val="21"/>
                <w:highlight w:val="none"/>
                <w:lang w:val="en-US" w:eastAsia="zh-CN"/>
              </w:rPr>
              <w:t>实际参与监管执法人员数</w:t>
            </w:r>
          </w:p>
        </w:tc>
      </w:tr>
      <w:tr w14:paraId="45CE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75" w:type="dxa"/>
            <w:gridSpan w:val="2"/>
            <w:vMerge w:val="continue"/>
            <w:noWrap w:val="0"/>
            <w:vAlign w:val="top"/>
          </w:tcPr>
          <w:p w14:paraId="6967DCC4">
            <w:pPr>
              <w:spacing w:line="280" w:lineRule="exact"/>
              <w:ind w:right="-1413" w:rightChars="-673"/>
              <w:jc w:val="left"/>
              <w:rPr>
                <w:rFonts w:hint="default" w:ascii="Times New Roman" w:hAnsi="Times New Roman" w:eastAsia="方正仿宋_GBK" w:cs="Times New Roman"/>
                <w:color w:val="auto"/>
                <w:kern w:val="0"/>
                <w:sz w:val="21"/>
                <w:szCs w:val="21"/>
                <w:highlight w:val="none"/>
                <w:lang w:val="en-US" w:eastAsia="zh-CN"/>
              </w:rPr>
            </w:pPr>
          </w:p>
        </w:tc>
        <w:tc>
          <w:tcPr>
            <w:tcW w:w="4895" w:type="dxa"/>
            <w:noWrap w:val="0"/>
            <w:vAlign w:val="center"/>
          </w:tcPr>
          <w:p w14:paraId="60298E35">
            <w:pPr>
              <w:spacing w:line="280" w:lineRule="exact"/>
              <w:ind w:firstLine="210" w:firstLineChars="100"/>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62%</w:t>
            </w:r>
          </w:p>
        </w:tc>
        <w:tc>
          <w:tcPr>
            <w:tcW w:w="1472" w:type="dxa"/>
            <w:noWrap w:val="0"/>
            <w:vAlign w:val="center"/>
          </w:tcPr>
          <w:p w14:paraId="5E8FDB73">
            <w:pPr>
              <w:spacing w:line="28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100</w:t>
            </w:r>
          </w:p>
        </w:tc>
        <w:tc>
          <w:tcPr>
            <w:tcW w:w="1297" w:type="dxa"/>
            <w:noWrap w:val="0"/>
            <w:vAlign w:val="center"/>
          </w:tcPr>
          <w:p w14:paraId="0AD1164D">
            <w:pPr>
              <w:spacing w:line="28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62</w:t>
            </w:r>
          </w:p>
        </w:tc>
      </w:tr>
    </w:tbl>
    <w:p w14:paraId="6A3631F3">
      <w:pPr>
        <w:keepNext w:val="0"/>
        <w:keepLines w:val="0"/>
        <w:pageBreakBefore w:val="0"/>
        <w:widowControl w:val="0"/>
        <w:kinsoku/>
        <w:wordWrap/>
        <w:overflowPunct/>
        <w:topLinePunct w:val="0"/>
        <w:autoSpaceDE/>
        <w:autoSpaceDN/>
        <w:bidi w:val="0"/>
        <w:adjustRightInd w:val="0"/>
        <w:snapToGrid w:val="0"/>
        <w:spacing w:line="260" w:lineRule="exact"/>
        <w:ind w:left="0" w:leftChars="0" w:right="-153" w:rightChars="-73" w:firstLine="420" w:firstLineChars="200"/>
        <w:jc w:val="both"/>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测算说明：1.总法定工作日=国家法定工作日×行政执法人员数=监督检查工作日+其他执法工作日+非执法工作日。（备注：2026年全年365天，国家法定节假日29天、双休日88天，另外，广西“三月三”放假2天。总法定工作日=全年天数-国家法定节假日-双休日-广西放假日=365-29-88-2=246天。）；2.其他执法工作日、非执法工作日按照工作计划和参照近三年执法工作日平均数或者实际工作日预测算。</w:t>
      </w:r>
    </w:p>
    <w:p w14:paraId="58D033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7A2A7-1549-4087-A406-C6E7DE9718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FF3451-0047-4E1A-8556-B0DBDE7D14E6}"/>
  </w:font>
  <w:font w:name="仿宋">
    <w:panose1 w:val="02010609060101010101"/>
    <w:charset w:val="86"/>
    <w:family w:val="auto"/>
    <w:pitch w:val="default"/>
    <w:sig w:usb0="800002BF" w:usb1="38CF7CFA" w:usb2="00000016" w:usb3="00000000" w:csb0="00040001" w:csb1="00000000"/>
    <w:embedRegular r:id="rId3" w:fontKey="{2621483A-9CC4-48EE-B4F4-3D9BC5699505}"/>
  </w:font>
  <w:font w:name="方正小标宋简体">
    <w:panose1 w:val="02010600010101010101"/>
    <w:charset w:val="86"/>
    <w:family w:val="auto"/>
    <w:pitch w:val="default"/>
    <w:sig w:usb0="00000001" w:usb1="080E0000" w:usb2="00000000" w:usb3="00000000" w:csb0="00040000" w:csb1="00000000"/>
    <w:embedRegular r:id="rId4" w:fontKey="{EBD68A02-C6DF-4DBA-93DB-914C1AEF3B1E}"/>
  </w:font>
  <w:font w:name="方正黑体_GBK">
    <w:altName w:val="微软雅黑"/>
    <w:panose1 w:val="02000000000000000000"/>
    <w:charset w:val="86"/>
    <w:family w:val="auto"/>
    <w:pitch w:val="default"/>
    <w:sig w:usb0="00000000" w:usb1="00000000" w:usb2="00000000" w:usb3="00000000" w:csb0="00040000" w:csb1="00000000"/>
    <w:embedRegular r:id="rId5" w:fontKey="{E051A5E4-90EE-4069-B5B4-734EF000DF28}"/>
  </w:font>
  <w:font w:name="方正仿宋_GBK">
    <w:altName w:val="微软雅黑"/>
    <w:panose1 w:val="03000509000000000000"/>
    <w:charset w:val="86"/>
    <w:family w:val="script"/>
    <w:pitch w:val="default"/>
    <w:sig w:usb0="00000000" w:usb1="00000000" w:usb2="00000000" w:usb3="00000000" w:csb0="00040000" w:csb1="00000000"/>
    <w:embedRegular r:id="rId6" w:fontKey="{2FD67C42-7B84-45A2-A2B2-68041FB651D2}"/>
  </w:font>
  <w:font w:name="仿宋_GB2312">
    <w:altName w:val="仿宋"/>
    <w:panose1 w:val="02010609030101010101"/>
    <w:charset w:val="86"/>
    <w:family w:val="auto"/>
    <w:pitch w:val="default"/>
    <w:sig w:usb0="00000000" w:usb1="00000000" w:usb2="00000000" w:usb3="00000000" w:csb0="00040000" w:csb1="00000000"/>
    <w:embedRegular r:id="rId7" w:fontKey="{B43F7EB6-AA7C-4B35-877F-4EC1A467FBC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76631"/>
    <w:rsid w:val="5107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 w:cs="Times New Roman"/>
      <w:sz w:val="32"/>
    </w:r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2026-03-26T01:44:00Z</dcterms:created>
  <dc:creator>tuo****@****ggff.shop</dc:creator>
  <cp:lastModifiedBy>tuo****@****ggff.shop</cp:lastModifiedBy>
  <dcterms:modified xsi:type="dcterms:W3CDTF">2026-03-26T01:45:18Z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9A7E15B2649B4B9194E79F7BB334B06E_11</vt:lpwstr>
  </property>
  <property fmtid="{D5CDD505-2E9C-101B-9397-08002B2CF9AE}" pid="4" name="KSOTemplateDocerSaveRecord">
    <vt:lpwstr>eyJoZGlkIjoiMjVmNTU5NzRmM2U2NWM4ZmUwMGQ1ZWFmZjdjMDFjZDUiLCJ1c2VySWQiOiIxNzk3OTcwNzcxIn0=</vt:lpwstr>
  </property>
</Properties>
</file>