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方正小标宋简体" w:hAnsi="方正小标宋简体" w:eastAsia="方正小标宋简体" w:cs="方正小标宋简体"/>
          <w:color w:val="auto"/>
          <w:sz w:val="52"/>
          <w:szCs w:val="52"/>
          <w:highlight w:val="none"/>
        </w:rPr>
      </w:pPr>
      <w:r>
        <w:rPr>
          <w:rFonts w:hint="eastAsia" w:ascii="方正小标宋简体" w:hAnsi="宋体" w:eastAsia="方正小标宋简体"/>
          <w:color w:val="auto"/>
          <w:sz w:val="52"/>
          <w:szCs w:val="52"/>
          <w:highlight w:val="none"/>
        </w:rPr>
        <w:t>云之龙咨询集团有限公司</w:t>
      </w:r>
    </w:p>
    <w:p>
      <w:pPr>
        <w:spacing w:line="360" w:lineRule="auto"/>
        <w:jc w:val="center"/>
        <w:rPr>
          <w:rFonts w:ascii="方正小标宋简体" w:hAnsi="方正小标宋简体" w:eastAsia="方正小标宋简体" w:cs="方正小标宋简体"/>
          <w:b/>
          <w:color w:val="auto"/>
          <w:sz w:val="44"/>
          <w:szCs w:val="44"/>
          <w:highlight w:val="none"/>
        </w:rPr>
      </w:pPr>
    </w:p>
    <w:p>
      <w:pPr>
        <w:snapToGrid w:val="0"/>
        <w:spacing w:before="156" w:beforeLines="50" w:line="360" w:lineRule="auto"/>
        <w:jc w:val="center"/>
        <w:rPr>
          <w:rFonts w:ascii="华文新魏" w:hAnsi="宋体" w:eastAsia="华文新魏"/>
          <w:color w:val="auto"/>
          <w:sz w:val="120"/>
          <w:szCs w:val="120"/>
          <w:highlight w:val="none"/>
        </w:rPr>
      </w:pPr>
      <w:r>
        <w:rPr>
          <w:rFonts w:hint="eastAsia" w:ascii="华文新魏" w:hAnsi="宋体" w:eastAsia="华文新魏"/>
          <w:color w:val="auto"/>
          <w:sz w:val="120"/>
          <w:szCs w:val="120"/>
          <w:highlight w:val="none"/>
        </w:rPr>
        <w:t>竞争性磋商文件</w:t>
      </w:r>
    </w:p>
    <w:p>
      <w:pPr>
        <w:snapToGrid w:val="0"/>
        <w:spacing w:before="156" w:beforeLines="50" w:line="360" w:lineRule="auto"/>
        <w:jc w:val="center"/>
        <w:rPr>
          <w:rFonts w:ascii="仿宋_GB2312" w:hAnsi="宋体" w:eastAsia="仿宋_GB2312"/>
          <w:b/>
          <w:color w:val="auto"/>
          <w:sz w:val="30"/>
          <w:szCs w:val="72"/>
          <w:highlight w:val="none"/>
        </w:rPr>
      </w:pPr>
      <w:r>
        <w:rPr>
          <w:rFonts w:hint="eastAsia" w:ascii="仿宋_GB2312" w:hAnsi="宋体" w:eastAsia="仿宋_GB2312"/>
          <w:b/>
          <w:color w:val="auto"/>
          <w:sz w:val="48"/>
          <w:szCs w:val="48"/>
          <w:highlight w:val="none"/>
        </w:rPr>
        <w:t>（全流程电子化采购）</w:t>
      </w:r>
    </w:p>
    <w:p>
      <w:pPr>
        <w:snapToGrid w:val="0"/>
        <w:spacing w:line="360" w:lineRule="auto"/>
        <w:rPr>
          <w:rFonts w:ascii="仿宋_GB2312" w:hAnsi="宋体" w:eastAsia="仿宋_GB2312"/>
          <w:color w:val="auto"/>
          <w:sz w:val="30"/>
          <w:szCs w:val="72"/>
          <w:highlight w:val="none"/>
        </w:rPr>
      </w:pPr>
    </w:p>
    <w:p>
      <w:pPr>
        <w:pStyle w:val="16"/>
        <w:snapToGrid w:val="0"/>
        <w:spacing w:line="360" w:lineRule="auto"/>
        <w:ind w:firstLine="1193" w:firstLineChars="396"/>
        <w:rPr>
          <w:rFonts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项目</w:t>
      </w:r>
      <w:r>
        <w:rPr>
          <w:rFonts w:hint="eastAsia" w:ascii="仿宋_GB2312" w:hAnsi="宋体" w:eastAsia="仿宋_GB2312" w:cs="Courier New"/>
          <w:b/>
          <w:bCs/>
          <w:color w:val="auto"/>
          <w:w w:val="95"/>
          <w:sz w:val="30"/>
          <w:szCs w:val="30"/>
          <w:highlight w:val="none"/>
        </w:rPr>
        <w:t>名称</w:t>
      </w:r>
      <w:r>
        <w:rPr>
          <w:rFonts w:hint="eastAsia" w:ascii="仿宋_GB2312" w:hAnsi="宋体" w:eastAsia="仿宋_GB2312"/>
          <w:b/>
          <w:bCs/>
          <w:color w:val="auto"/>
          <w:sz w:val="30"/>
          <w:szCs w:val="30"/>
          <w:highlight w:val="none"/>
        </w:rPr>
        <w:t>：广西应急管理综合应用平台安全生产风险监测预警系统升级</w:t>
      </w:r>
    </w:p>
    <w:p>
      <w:pPr>
        <w:pStyle w:val="16"/>
        <w:snapToGrid w:val="0"/>
        <w:spacing w:line="360" w:lineRule="auto"/>
        <w:ind w:firstLine="1133" w:firstLineChars="396"/>
        <w:rPr>
          <w:rFonts w:ascii="仿宋_GB2312" w:hAnsi="宋体" w:eastAsia="仿宋_GB2312"/>
          <w:color w:val="auto"/>
          <w:sz w:val="30"/>
          <w:szCs w:val="72"/>
          <w:highlight w:val="none"/>
        </w:rPr>
      </w:pPr>
      <w:r>
        <w:rPr>
          <w:rFonts w:hint="eastAsia" w:ascii="仿宋_GB2312" w:hAnsi="宋体" w:eastAsia="仿宋_GB2312" w:cs="Courier New"/>
          <w:b/>
          <w:bCs/>
          <w:color w:val="auto"/>
          <w:w w:val="95"/>
          <w:sz w:val="30"/>
          <w:szCs w:val="30"/>
          <w:highlight w:val="none"/>
        </w:rPr>
        <w:t>项目</w:t>
      </w:r>
      <w:r>
        <w:rPr>
          <w:rFonts w:hint="eastAsia" w:ascii="仿宋_GB2312" w:hAnsi="宋体" w:eastAsia="仿宋_GB2312"/>
          <w:b/>
          <w:bCs/>
          <w:color w:val="auto"/>
          <w:sz w:val="30"/>
          <w:szCs w:val="30"/>
          <w:highlight w:val="none"/>
        </w:rPr>
        <w:t>编号</w:t>
      </w:r>
      <w:r>
        <w:rPr>
          <w:rFonts w:hint="eastAsia" w:ascii="仿宋_GB2312" w:hAnsi="宋体" w:eastAsia="仿宋_GB2312" w:cs="Courier New"/>
          <w:b/>
          <w:bCs/>
          <w:color w:val="auto"/>
          <w:w w:val="95"/>
          <w:sz w:val="30"/>
          <w:szCs w:val="30"/>
          <w:highlight w:val="none"/>
        </w:rPr>
        <w:t>：</w:t>
      </w:r>
      <w:r>
        <w:rPr>
          <w:rFonts w:ascii="仿宋_GB2312" w:hAnsi="宋体" w:eastAsia="仿宋_GB2312" w:cs="Courier New"/>
          <w:b/>
          <w:bCs/>
          <w:color w:val="auto"/>
          <w:w w:val="95"/>
          <w:sz w:val="30"/>
          <w:szCs w:val="30"/>
          <w:highlight w:val="none"/>
        </w:rPr>
        <w:t>GXZC2022-C3-001737-YZLZ</w:t>
      </w:r>
    </w:p>
    <w:p>
      <w:pPr>
        <w:pStyle w:val="16"/>
        <w:snapToGrid w:val="0"/>
        <w:spacing w:line="360" w:lineRule="auto"/>
        <w:ind w:firstLine="1125" w:firstLineChars="393"/>
        <w:rPr>
          <w:rFonts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采 购 人： 广西壮族自治区应急管理厅</w:t>
      </w:r>
    </w:p>
    <w:p>
      <w:pPr>
        <w:pStyle w:val="16"/>
        <w:snapToGrid w:val="0"/>
        <w:spacing w:line="360" w:lineRule="auto"/>
        <w:ind w:firstLine="1125" w:firstLineChars="393"/>
        <w:rPr>
          <w:rFonts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采购代理机构：云之龙咨询集团有限公司</w:t>
      </w:r>
    </w:p>
    <w:p>
      <w:pPr>
        <w:pStyle w:val="16"/>
        <w:snapToGrid w:val="0"/>
        <w:spacing w:line="360" w:lineRule="auto"/>
        <w:ind w:firstLine="1125" w:firstLineChars="393"/>
        <w:rPr>
          <w:rFonts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（采购代理机构编号：</w:t>
      </w:r>
      <w:r>
        <w:rPr>
          <w:rFonts w:ascii="仿宋_GB2312" w:hAnsi="宋体" w:eastAsia="仿宋_GB2312"/>
          <w:b/>
          <w:bCs/>
          <w:color w:val="auto"/>
          <w:w w:val="95"/>
          <w:sz w:val="30"/>
          <w:szCs w:val="30"/>
          <w:highlight w:val="none"/>
        </w:rPr>
        <w:t>YZLNN2022-C3-114-GXZC</w:t>
      </w:r>
      <w:r>
        <w:rPr>
          <w:rFonts w:hint="eastAsia" w:ascii="仿宋_GB2312" w:hAnsi="宋体" w:eastAsia="仿宋_GB2312"/>
          <w:b/>
          <w:bCs/>
          <w:color w:val="auto"/>
          <w:w w:val="95"/>
          <w:sz w:val="30"/>
          <w:szCs w:val="30"/>
          <w:highlight w:val="none"/>
        </w:rPr>
        <w:t>）</w:t>
      </w:r>
    </w:p>
    <w:p>
      <w:pPr>
        <w:pStyle w:val="16"/>
        <w:snapToGrid w:val="0"/>
        <w:spacing w:line="360" w:lineRule="auto"/>
        <w:ind w:firstLine="1125" w:firstLineChars="393"/>
        <w:rPr>
          <w:rFonts w:ascii="仿宋_GB2312" w:hAnsi="宋体" w:eastAsia="仿宋_GB2312"/>
          <w:b/>
          <w:bCs/>
          <w:color w:val="auto"/>
          <w:w w:val="95"/>
          <w:sz w:val="30"/>
          <w:szCs w:val="30"/>
          <w:highlight w:val="none"/>
        </w:rPr>
      </w:pPr>
    </w:p>
    <w:p>
      <w:pPr>
        <w:pStyle w:val="16"/>
        <w:snapToGrid w:val="0"/>
        <w:spacing w:line="360" w:lineRule="auto"/>
        <w:ind w:left="420" w:firstLine="2845" w:firstLineChars="994"/>
        <w:rPr>
          <w:rFonts w:ascii="仿宋_GB2312" w:eastAsia="仿宋_GB2312"/>
          <w:color w:val="auto"/>
          <w:szCs w:val="20"/>
          <w:highlight w:val="none"/>
        </w:rPr>
      </w:pPr>
      <w:r>
        <w:rPr>
          <w:rFonts w:ascii="仿宋_GB2312" w:hAnsi="宋体" w:eastAsia="仿宋_GB2312"/>
          <w:b/>
          <w:bCs/>
          <w:color w:val="auto"/>
          <w:w w:val="95"/>
          <w:sz w:val="30"/>
          <w:szCs w:val="30"/>
          <w:highlight w:val="none"/>
        </w:rPr>
        <w:t>2022</w:t>
      </w:r>
      <w:r>
        <w:rPr>
          <w:rFonts w:hint="eastAsia" w:ascii="仿宋_GB2312" w:hAnsi="宋体" w:eastAsia="仿宋_GB2312"/>
          <w:b/>
          <w:bCs/>
          <w:color w:val="auto"/>
          <w:w w:val="95"/>
          <w:sz w:val="30"/>
          <w:szCs w:val="30"/>
          <w:highlight w:val="none"/>
        </w:rPr>
        <w:t>年6月1</w:t>
      </w:r>
      <w:r>
        <w:rPr>
          <w:rFonts w:ascii="仿宋_GB2312" w:hAnsi="宋体" w:eastAsia="仿宋_GB2312"/>
          <w:b/>
          <w:bCs/>
          <w:color w:val="auto"/>
          <w:w w:val="95"/>
          <w:sz w:val="30"/>
          <w:szCs w:val="30"/>
          <w:highlight w:val="none"/>
        </w:rPr>
        <w:t>7</w:t>
      </w:r>
      <w:r>
        <w:rPr>
          <w:rFonts w:hint="eastAsia" w:ascii="仿宋_GB2312" w:hAnsi="宋体" w:eastAsia="仿宋_GB2312"/>
          <w:b/>
          <w:bCs/>
          <w:color w:val="auto"/>
          <w:w w:val="95"/>
          <w:sz w:val="30"/>
          <w:szCs w:val="30"/>
          <w:highlight w:val="none"/>
        </w:rPr>
        <w:t>日</w:t>
      </w:r>
    </w:p>
    <w:p>
      <w:pPr>
        <w:spacing w:line="360" w:lineRule="auto"/>
        <w:jc w:val="center"/>
        <w:rPr>
          <w:rFonts w:ascii="宋体" w:hAnsi="宋体" w:cs="宋体"/>
          <w:b/>
          <w:bCs/>
          <w:color w:val="auto"/>
          <w:kern w:val="0"/>
          <w:sz w:val="32"/>
          <w:szCs w:val="32"/>
          <w:highlight w:val="none"/>
        </w:rPr>
      </w:pPr>
    </w:p>
    <w:p>
      <w:pPr>
        <w:spacing w:line="360" w:lineRule="auto"/>
        <w:jc w:val="center"/>
        <w:rPr>
          <w:rFonts w:ascii="宋体" w:hAnsi="宋体" w:cs="宋体"/>
          <w:b/>
          <w:bCs/>
          <w:color w:val="auto"/>
          <w:kern w:val="0"/>
          <w:sz w:val="32"/>
          <w:szCs w:val="32"/>
          <w:highlight w:val="none"/>
        </w:rPr>
      </w:pPr>
    </w:p>
    <w:p>
      <w:pPr>
        <w:spacing w:line="360" w:lineRule="auto"/>
        <w:jc w:val="center"/>
        <w:rPr>
          <w:rFonts w:ascii="宋体" w:hAnsi="宋体" w:cs="宋体"/>
          <w:b/>
          <w:bCs/>
          <w:color w:val="auto"/>
          <w:kern w:val="0"/>
          <w:sz w:val="32"/>
          <w:szCs w:val="32"/>
          <w:highlight w:val="none"/>
        </w:rPr>
      </w:pPr>
    </w:p>
    <w:p>
      <w:pPr>
        <w:spacing w:line="360" w:lineRule="auto"/>
        <w:jc w:val="center"/>
        <w:rPr>
          <w:rFonts w:ascii="宋体" w:hAnsi="宋体"/>
          <w:b/>
          <w:color w:val="auto"/>
          <w:sz w:val="44"/>
          <w:szCs w:val="44"/>
          <w:highlight w:val="none"/>
        </w:rPr>
      </w:pPr>
      <w:r>
        <w:rPr>
          <w:rFonts w:ascii="黑体" w:hAnsi="黑体" w:eastAsia="黑体" w:cs="宋体"/>
          <w:b/>
          <w:bCs/>
          <w:color w:val="auto"/>
          <w:kern w:val="0"/>
          <w:sz w:val="32"/>
          <w:szCs w:val="32"/>
          <w:highlight w:val="none"/>
        </w:rPr>
        <w:br w:type="page"/>
      </w:r>
    </w:p>
    <w:p>
      <w:pPr>
        <w:spacing w:line="360" w:lineRule="auto"/>
        <w:jc w:val="center"/>
        <w:rPr>
          <w:rFonts w:ascii="宋体" w:hAnsi="宋体"/>
          <w:b/>
          <w:color w:val="auto"/>
          <w:sz w:val="44"/>
          <w:szCs w:val="44"/>
          <w:highlight w:val="none"/>
        </w:rPr>
      </w:pPr>
    </w:p>
    <w:p>
      <w:pPr>
        <w:spacing w:line="360" w:lineRule="auto"/>
        <w:jc w:val="center"/>
        <w:rPr>
          <w:rFonts w:ascii="宋体" w:hAnsi="宋体"/>
          <w:b/>
          <w:color w:val="auto"/>
          <w:sz w:val="44"/>
          <w:szCs w:val="44"/>
          <w:highlight w:val="none"/>
        </w:rPr>
      </w:pPr>
      <w:r>
        <w:rPr>
          <w:rFonts w:hint="eastAsia" w:ascii="宋体" w:hAnsi="宋体"/>
          <w:b/>
          <w:color w:val="auto"/>
          <w:sz w:val="44"/>
          <w:szCs w:val="44"/>
          <w:highlight w:val="none"/>
        </w:rPr>
        <w:t>目  录</w:t>
      </w:r>
    </w:p>
    <w:p>
      <w:pPr>
        <w:spacing w:line="400" w:lineRule="exact"/>
        <w:jc w:val="center"/>
        <w:rPr>
          <w:rFonts w:ascii="宋体" w:hAnsi="宋体"/>
          <w:b/>
          <w:color w:val="auto"/>
          <w:sz w:val="44"/>
          <w:szCs w:val="44"/>
          <w:highlight w:val="none"/>
        </w:rPr>
      </w:pPr>
    </w:p>
    <w:p>
      <w:pPr>
        <w:pStyle w:val="21"/>
        <w:tabs>
          <w:tab w:val="right" w:leader="dot" w:pos="8869"/>
        </w:tabs>
        <w:snapToGrid w:val="0"/>
        <w:spacing w:line="500" w:lineRule="atLeast"/>
        <w:rPr>
          <w:rFonts w:ascii="宋体" w:hAnsi="宋体"/>
          <w:b/>
          <w:color w:val="auto"/>
          <w:sz w:val="24"/>
          <w:highlight w:val="none"/>
        </w:rPr>
      </w:pPr>
      <w:r>
        <w:rPr>
          <w:rFonts w:ascii="宋体" w:hAnsi="宋体"/>
          <w:b/>
          <w:color w:val="auto"/>
          <w:sz w:val="24"/>
          <w:highlight w:val="none"/>
        </w:rPr>
        <w:fldChar w:fldCharType="begin"/>
      </w:r>
      <w:r>
        <w:rPr>
          <w:rFonts w:hint="eastAsia" w:ascii="宋体" w:hAnsi="宋体"/>
          <w:b/>
          <w:color w:val="auto"/>
          <w:sz w:val="24"/>
          <w:highlight w:val="none"/>
        </w:rPr>
        <w:instrText xml:space="preserve">TOC \o "1-3" \h \z \u</w:instrText>
      </w:r>
      <w:r>
        <w:rPr>
          <w:rFonts w:ascii="宋体" w:hAnsi="宋体"/>
          <w:b/>
          <w:color w:val="auto"/>
          <w:sz w:val="24"/>
          <w:highlight w:val="none"/>
        </w:rPr>
        <w:fldChar w:fldCharType="separate"/>
      </w:r>
      <w:r>
        <w:rPr>
          <w:color w:val="auto"/>
          <w:highlight w:val="none"/>
        </w:rPr>
        <w:fldChar w:fldCharType="begin"/>
      </w:r>
      <w:r>
        <w:rPr>
          <w:color w:val="auto"/>
          <w:highlight w:val="none"/>
        </w:rPr>
        <w:instrText xml:space="preserve"> HYPERLINK \l "_Toc74323456" </w:instrText>
      </w:r>
      <w:r>
        <w:rPr>
          <w:color w:val="auto"/>
          <w:highlight w:val="none"/>
        </w:rPr>
        <w:fldChar w:fldCharType="separate"/>
      </w:r>
      <w:r>
        <w:rPr>
          <w:rStyle w:val="29"/>
          <w:rFonts w:hint="eastAsia" w:ascii="宋体" w:hAnsi="宋体"/>
          <w:b/>
          <w:color w:val="auto"/>
          <w:sz w:val="24"/>
          <w:highlight w:val="none"/>
        </w:rPr>
        <w:t>第一章竞争性磋商公告</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_Toc74323456 \h </w:instrText>
      </w:r>
      <w:r>
        <w:rPr>
          <w:rFonts w:ascii="宋体" w:hAnsi="宋体"/>
          <w:b/>
          <w:color w:val="auto"/>
          <w:sz w:val="24"/>
          <w:highlight w:val="none"/>
        </w:rPr>
        <w:fldChar w:fldCharType="separate"/>
      </w:r>
      <w:r>
        <w:rPr>
          <w:rFonts w:ascii="宋体" w:hAnsi="宋体"/>
          <w:b/>
          <w:color w:val="auto"/>
          <w:sz w:val="24"/>
          <w:highlight w:val="none"/>
        </w:rPr>
        <w:t>2</w:t>
      </w:r>
      <w:r>
        <w:rPr>
          <w:rFonts w:ascii="宋体" w:hAnsi="宋体"/>
          <w:b/>
          <w:color w:val="auto"/>
          <w:sz w:val="24"/>
          <w:highlight w:val="none"/>
        </w:rPr>
        <w:fldChar w:fldCharType="end"/>
      </w:r>
      <w:r>
        <w:rPr>
          <w:rFonts w:ascii="宋体" w:hAnsi="宋体"/>
          <w:b/>
          <w:color w:val="auto"/>
          <w:sz w:val="24"/>
          <w:highlight w:val="none"/>
        </w:rPr>
        <w:fldChar w:fldCharType="end"/>
      </w:r>
    </w:p>
    <w:p>
      <w:pPr>
        <w:pStyle w:val="21"/>
        <w:tabs>
          <w:tab w:val="right" w:leader="dot" w:pos="8869"/>
        </w:tabs>
        <w:snapToGrid w:val="0"/>
        <w:spacing w:line="500" w:lineRule="atLeast"/>
        <w:rPr>
          <w:rFonts w:ascii="宋体" w:hAnsi="宋体"/>
          <w:b/>
          <w:color w:val="auto"/>
          <w:sz w:val="24"/>
          <w:highlight w:val="none"/>
        </w:rPr>
      </w:pPr>
      <w:r>
        <w:rPr>
          <w:color w:val="auto"/>
          <w:highlight w:val="none"/>
        </w:rPr>
        <w:fldChar w:fldCharType="begin"/>
      </w:r>
      <w:r>
        <w:rPr>
          <w:color w:val="auto"/>
          <w:highlight w:val="none"/>
        </w:rPr>
        <w:instrText xml:space="preserve"> HYPERLINK \l "_Toc74323457" </w:instrText>
      </w:r>
      <w:r>
        <w:rPr>
          <w:color w:val="auto"/>
          <w:highlight w:val="none"/>
        </w:rPr>
        <w:fldChar w:fldCharType="separate"/>
      </w:r>
      <w:r>
        <w:rPr>
          <w:rStyle w:val="29"/>
          <w:rFonts w:hint="eastAsia" w:ascii="宋体" w:hAnsi="宋体"/>
          <w:b/>
          <w:color w:val="auto"/>
          <w:sz w:val="24"/>
          <w:highlight w:val="none"/>
        </w:rPr>
        <w:t>第二章供应</w:t>
      </w:r>
      <w:bookmarkStart w:id="0" w:name="_Hlt82161237"/>
      <w:r>
        <w:rPr>
          <w:rStyle w:val="29"/>
          <w:rFonts w:hint="eastAsia" w:ascii="宋体" w:hAnsi="宋体"/>
          <w:b/>
          <w:color w:val="auto"/>
          <w:sz w:val="24"/>
          <w:highlight w:val="none"/>
        </w:rPr>
        <w:t>商</w:t>
      </w:r>
      <w:bookmarkEnd w:id="0"/>
      <w:r>
        <w:rPr>
          <w:rStyle w:val="29"/>
          <w:rFonts w:hint="eastAsia" w:ascii="宋体" w:hAnsi="宋体"/>
          <w:b/>
          <w:color w:val="auto"/>
          <w:sz w:val="24"/>
          <w:highlight w:val="none"/>
        </w:rPr>
        <w:t>须知</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_Toc74323457 \h </w:instrText>
      </w:r>
      <w:r>
        <w:rPr>
          <w:rFonts w:ascii="宋体" w:hAnsi="宋体"/>
          <w:b/>
          <w:color w:val="auto"/>
          <w:sz w:val="24"/>
          <w:highlight w:val="none"/>
        </w:rPr>
        <w:fldChar w:fldCharType="separate"/>
      </w:r>
      <w:r>
        <w:rPr>
          <w:rFonts w:ascii="宋体" w:hAnsi="宋体"/>
          <w:b/>
          <w:color w:val="auto"/>
          <w:sz w:val="24"/>
          <w:highlight w:val="none"/>
        </w:rPr>
        <w:t>6</w:t>
      </w:r>
      <w:r>
        <w:rPr>
          <w:rFonts w:ascii="宋体" w:hAnsi="宋体"/>
          <w:b/>
          <w:color w:val="auto"/>
          <w:sz w:val="24"/>
          <w:highlight w:val="none"/>
        </w:rPr>
        <w:fldChar w:fldCharType="end"/>
      </w:r>
      <w:r>
        <w:rPr>
          <w:rFonts w:ascii="宋体" w:hAnsi="宋体"/>
          <w:b/>
          <w:color w:val="auto"/>
          <w:sz w:val="24"/>
          <w:highlight w:val="none"/>
        </w:rPr>
        <w:fldChar w:fldCharType="end"/>
      </w:r>
    </w:p>
    <w:p>
      <w:pPr>
        <w:pStyle w:val="21"/>
        <w:tabs>
          <w:tab w:val="right" w:leader="dot" w:pos="8869"/>
        </w:tabs>
        <w:snapToGrid w:val="0"/>
        <w:spacing w:line="500" w:lineRule="atLeast"/>
        <w:rPr>
          <w:rFonts w:ascii="宋体" w:hAnsi="宋体"/>
          <w:b/>
          <w:color w:val="auto"/>
          <w:sz w:val="24"/>
          <w:highlight w:val="none"/>
        </w:rPr>
      </w:pPr>
      <w:r>
        <w:rPr>
          <w:color w:val="auto"/>
          <w:highlight w:val="none"/>
        </w:rPr>
        <w:fldChar w:fldCharType="begin"/>
      </w:r>
      <w:r>
        <w:rPr>
          <w:color w:val="auto"/>
          <w:highlight w:val="none"/>
        </w:rPr>
        <w:instrText xml:space="preserve"> HYPERLINK \l "_Toc74323458" </w:instrText>
      </w:r>
      <w:r>
        <w:rPr>
          <w:color w:val="auto"/>
          <w:highlight w:val="none"/>
        </w:rPr>
        <w:fldChar w:fldCharType="separate"/>
      </w:r>
      <w:r>
        <w:rPr>
          <w:rStyle w:val="29"/>
          <w:rFonts w:hint="eastAsia" w:ascii="宋体" w:hAnsi="宋体"/>
          <w:b/>
          <w:color w:val="auto"/>
          <w:sz w:val="24"/>
          <w:highlight w:val="none"/>
        </w:rPr>
        <w:t>第三章采购需</w:t>
      </w:r>
      <w:bookmarkStart w:id="1" w:name="_Hlt82166940"/>
      <w:r>
        <w:rPr>
          <w:rStyle w:val="29"/>
          <w:rFonts w:hint="eastAsia" w:ascii="宋体" w:hAnsi="宋体"/>
          <w:b/>
          <w:color w:val="auto"/>
          <w:sz w:val="24"/>
          <w:highlight w:val="none"/>
        </w:rPr>
        <w:t>求</w:t>
      </w:r>
      <w:bookmarkEnd w:id="1"/>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_Toc74323458 \h </w:instrText>
      </w:r>
      <w:r>
        <w:rPr>
          <w:rFonts w:ascii="宋体" w:hAnsi="宋体"/>
          <w:b/>
          <w:color w:val="auto"/>
          <w:sz w:val="24"/>
          <w:highlight w:val="none"/>
        </w:rPr>
        <w:fldChar w:fldCharType="separate"/>
      </w:r>
      <w:r>
        <w:rPr>
          <w:rFonts w:ascii="宋体" w:hAnsi="宋体"/>
          <w:b/>
          <w:color w:val="auto"/>
          <w:sz w:val="24"/>
          <w:highlight w:val="none"/>
        </w:rPr>
        <w:t>26</w:t>
      </w:r>
      <w:r>
        <w:rPr>
          <w:rFonts w:ascii="宋体" w:hAnsi="宋体"/>
          <w:b/>
          <w:color w:val="auto"/>
          <w:sz w:val="24"/>
          <w:highlight w:val="none"/>
        </w:rPr>
        <w:fldChar w:fldCharType="end"/>
      </w:r>
      <w:r>
        <w:rPr>
          <w:rFonts w:ascii="宋体" w:hAnsi="宋体"/>
          <w:b/>
          <w:color w:val="auto"/>
          <w:sz w:val="24"/>
          <w:highlight w:val="none"/>
        </w:rPr>
        <w:fldChar w:fldCharType="end"/>
      </w:r>
    </w:p>
    <w:p>
      <w:pPr>
        <w:pStyle w:val="21"/>
        <w:tabs>
          <w:tab w:val="right" w:leader="dot" w:pos="8869"/>
        </w:tabs>
        <w:snapToGrid w:val="0"/>
        <w:spacing w:line="500" w:lineRule="atLeast"/>
        <w:rPr>
          <w:rFonts w:ascii="宋体" w:hAnsi="宋体"/>
          <w:b/>
          <w:color w:val="auto"/>
          <w:sz w:val="24"/>
          <w:highlight w:val="none"/>
        </w:rPr>
      </w:pPr>
      <w:r>
        <w:rPr>
          <w:color w:val="auto"/>
          <w:highlight w:val="none"/>
        </w:rPr>
        <w:fldChar w:fldCharType="begin"/>
      </w:r>
      <w:r>
        <w:rPr>
          <w:color w:val="auto"/>
          <w:highlight w:val="none"/>
        </w:rPr>
        <w:instrText xml:space="preserve"> HYPERLINK \l "_Toc74323459" </w:instrText>
      </w:r>
      <w:r>
        <w:rPr>
          <w:color w:val="auto"/>
          <w:highlight w:val="none"/>
        </w:rPr>
        <w:fldChar w:fldCharType="separate"/>
      </w:r>
      <w:r>
        <w:rPr>
          <w:rStyle w:val="29"/>
          <w:rFonts w:hint="eastAsia" w:ascii="宋体" w:hAnsi="宋体"/>
          <w:b/>
          <w:color w:val="auto"/>
          <w:sz w:val="24"/>
          <w:highlight w:val="none"/>
        </w:rPr>
        <w:t>第四章评审程序、</w:t>
      </w:r>
      <w:bookmarkStart w:id="2" w:name="_Hlt82166000"/>
      <w:r>
        <w:rPr>
          <w:rStyle w:val="29"/>
          <w:rFonts w:hint="eastAsia" w:ascii="宋体" w:hAnsi="宋体"/>
          <w:b/>
          <w:color w:val="auto"/>
          <w:sz w:val="24"/>
          <w:highlight w:val="none"/>
        </w:rPr>
        <w:t>评</w:t>
      </w:r>
      <w:bookmarkEnd w:id="2"/>
      <w:r>
        <w:rPr>
          <w:rStyle w:val="29"/>
          <w:rFonts w:hint="eastAsia" w:ascii="宋体" w:hAnsi="宋体"/>
          <w:b/>
          <w:color w:val="auto"/>
          <w:sz w:val="24"/>
          <w:highlight w:val="none"/>
        </w:rPr>
        <w:t>审方法和评审标准</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_Toc74323459 \h </w:instrText>
      </w:r>
      <w:r>
        <w:rPr>
          <w:rFonts w:ascii="宋体" w:hAnsi="宋体"/>
          <w:b/>
          <w:color w:val="auto"/>
          <w:sz w:val="24"/>
          <w:highlight w:val="none"/>
        </w:rPr>
        <w:fldChar w:fldCharType="separate"/>
      </w:r>
      <w:r>
        <w:rPr>
          <w:rFonts w:ascii="宋体" w:hAnsi="宋体"/>
          <w:b/>
          <w:color w:val="auto"/>
          <w:sz w:val="24"/>
          <w:highlight w:val="none"/>
        </w:rPr>
        <w:t>43</w:t>
      </w:r>
      <w:r>
        <w:rPr>
          <w:rFonts w:ascii="宋体" w:hAnsi="宋体"/>
          <w:b/>
          <w:color w:val="auto"/>
          <w:sz w:val="24"/>
          <w:highlight w:val="none"/>
        </w:rPr>
        <w:fldChar w:fldCharType="end"/>
      </w:r>
      <w:r>
        <w:rPr>
          <w:rFonts w:ascii="宋体" w:hAnsi="宋体"/>
          <w:b/>
          <w:color w:val="auto"/>
          <w:sz w:val="24"/>
          <w:highlight w:val="none"/>
        </w:rPr>
        <w:fldChar w:fldCharType="end"/>
      </w:r>
    </w:p>
    <w:p>
      <w:pPr>
        <w:pStyle w:val="21"/>
        <w:tabs>
          <w:tab w:val="right" w:leader="dot" w:pos="8869"/>
        </w:tabs>
        <w:snapToGrid w:val="0"/>
        <w:spacing w:line="500" w:lineRule="atLeast"/>
        <w:rPr>
          <w:rFonts w:ascii="宋体" w:hAnsi="宋体"/>
          <w:b/>
          <w:color w:val="auto"/>
          <w:sz w:val="24"/>
          <w:highlight w:val="none"/>
        </w:rPr>
      </w:pPr>
      <w:r>
        <w:rPr>
          <w:color w:val="auto"/>
          <w:highlight w:val="none"/>
        </w:rPr>
        <w:fldChar w:fldCharType="begin"/>
      </w:r>
      <w:r>
        <w:rPr>
          <w:color w:val="auto"/>
          <w:highlight w:val="none"/>
        </w:rPr>
        <w:instrText xml:space="preserve"> HYPERLINK \l "_Toc74323460" </w:instrText>
      </w:r>
      <w:r>
        <w:rPr>
          <w:color w:val="auto"/>
          <w:highlight w:val="none"/>
        </w:rPr>
        <w:fldChar w:fldCharType="separate"/>
      </w:r>
      <w:r>
        <w:rPr>
          <w:rStyle w:val="29"/>
          <w:rFonts w:hint="eastAsia" w:ascii="宋体" w:hAnsi="宋体"/>
          <w:b/>
          <w:color w:val="auto"/>
          <w:sz w:val="24"/>
          <w:highlight w:val="none"/>
        </w:rPr>
        <w:t>第五章响应文件格式</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_Toc74323460 \h </w:instrText>
      </w:r>
      <w:r>
        <w:rPr>
          <w:rFonts w:ascii="宋体" w:hAnsi="宋体"/>
          <w:b/>
          <w:color w:val="auto"/>
          <w:sz w:val="24"/>
          <w:highlight w:val="none"/>
        </w:rPr>
        <w:fldChar w:fldCharType="separate"/>
      </w:r>
      <w:r>
        <w:rPr>
          <w:rFonts w:ascii="宋体" w:hAnsi="宋体"/>
          <w:b/>
          <w:color w:val="auto"/>
          <w:sz w:val="24"/>
          <w:highlight w:val="none"/>
        </w:rPr>
        <w:t>53</w:t>
      </w:r>
      <w:r>
        <w:rPr>
          <w:rFonts w:ascii="宋体" w:hAnsi="宋体"/>
          <w:b/>
          <w:color w:val="auto"/>
          <w:sz w:val="24"/>
          <w:highlight w:val="none"/>
        </w:rPr>
        <w:fldChar w:fldCharType="end"/>
      </w:r>
      <w:r>
        <w:rPr>
          <w:rFonts w:ascii="宋体" w:hAnsi="宋体"/>
          <w:b/>
          <w:color w:val="auto"/>
          <w:sz w:val="24"/>
          <w:highlight w:val="none"/>
        </w:rPr>
        <w:fldChar w:fldCharType="end"/>
      </w:r>
    </w:p>
    <w:p>
      <w:pPr>
        <w:pStyle w:val="21"/>
        <w:tabs>
          <w:tab w:val="right" w:leader="dot" w:pos="8869"/>
        </w:tabs>
        <w:snapToGrid w:val="0"/>
        <w:spacing w:line="500" w:lineRule="atLeast"/>
        <w:rPr>
          <w:rFonts w:ascii="宋体" w:hAnsi="宋体"/>
          <w:color w:val="auto"/>
          <w:sz w:val="24"/>
          <w:highlight w:val="none"/>
        </w:rPr>
      </w:pPr>
      <w:r>
        <w:rPr>
          <w:color w:val="auto"/>
          <w:highlight w:val="none"/>
        </w:rPr>
        <w:fldChar w:fldCharType="begin"/>
      </w:r>
      <w:r>
        <w:rPr>
          <w:color w:val="auto"/>
          <w:highlight w:val="none"/>
        </w:rPr>
        <w:instrText xml:space="preserve"> HYPERLINK \l "_Toc74323461" </w:instrText>
      </w:r>
      <w:r>
        <w:rPr>
          <w:color w:val="auto"/>
          <w:highlight w:val="none"/>
        </w:rPr>
        <w:fldChar w:fldCharType="separate"/>
      </w:r>
      <w:r>
        <w:rPr>
          <w:rStyle w:val="29"/>
          <w:rFonts w:hint="eastAsia" w:ascii="宋体" w:hAnsi="宋体"/>
          <w:b/>
          <w:color w:val="auto"/>
          <w:sz w:val="24"/>
          <w:highlight w:val="none"/>
        </w:rPr>
        <w:t>第六章合同文本</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_Toc74323461 \h </w:instrText>
      </w:r>
      <w:r>
        <w:rPr>
          <w:rFonts w:ascii="宋体" w:hAnsi="宋体"/>
          <w:b/>
          <w:color w:val="auto"/>
          <w:sz w:val="24"/>
          <w:highlight w:val="none"/>
        </w:rPr>
        <w:fldChar w:fldCharType="separate"/>
      </w:r>
      <w:r>
        <w:rPr>
          <w:rFonts w:ascii="宋体" w:hAnsi="宋体"/>
          <w:b/>
          <w:color w:val="auto"/>
          <w:sz w:val="24"/>
          <w:highlight w:val="none"/>
        </w:rPr>
        <w:t>79</w:t>
      </w:r>
      <w:r>
        <w:rPr>
          <w:rFonts w:ascii="宋体" w:hAnsi="宋体"/>
          <w:b/>
          <w:color w:val="auto"/>
          <w:sz w:val="24"/>
          <w:highlight w:val="none"/>
        </w:rPr>
        <w:fldChar w:fldCharType="end"/>
      </w:r>
      <w:r>
        <w:rPr>
          <w:rFonts w:ascii="宋体" w:hAnsi="宋体"/>
          <w:b/>
          <w:color w:val="auto"/>
          <w:sz w:val="24"/>
          <w:highlight w:val="none"/>
        </w:rPr>
        <w:fldChar w:fldCharType="end"/>
      </w:r>
    </w:p>
    <w:p>
      <w:pPr>
        <w:pStyle w:val="22"/>
        <w:tabs>
          <w:tab w:val="right" w:leader="dot" w:pos="8931"/>
          <w:tab w:val="clear" w:pos="8296"/>
        </w:tabs>
        <w:snapToGrid w:val="0"/>
        <w:spacing w:line="500" w:lineRule="atLeast"/>
        <w:ind w:left="0" w:leftChars="0"/>
        <w:rPr>
          <w:rFonts w:ascii="宋体" w:hAnsi="宋体"/>
          <w:b/>
          <w:color w:val="auto"/>
          <w:sz w:val="24"/>
          <w:highlight w:val="none"/>
        </w:rPr>
      </w:pPr>
      <w:r>
        <w:rPr>
          <w:rFonts w:ascii="宋体" w:hAnsi="宋体"/>
          <w:b/>
          <w:color w:val="auto"/>
          <w:sz w:val="24"/>
          <w:highlight w:val="none"/>
        </w:rPr>
        <w:fldChar w:fldCharType="end"/>
      </w:r>
    </w:p>
    <w:p>
      <w:pPr>
        <w:spacing w:line="400" w:lineRule="exact"/>
        <w:jc w:val="left"/>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rPr>
          <w:rFonts w:ascii="宋体" w:hAnsi="宋体"/>
          <w:b/>
          <w:color w:val="auto"/>
          <w:sz w:val="32"/>
          <w:szCs w:val="32"/>
          <w:highlight w:val="none"/>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p>
    <w:p>
      <w:pPr>
        <w:pStyle w:val="3"/>
        <w:jc w:val="center"/>
        <w:rPr>
          <w:color w:val="auto"/>
          <w:highlight w:val="none"/>
        </w:rPr>
      </w:pPr>
      <w:bookmarkStart w:id="3" w:name="_Toc74323456"/>
      <w:r>
        <w:rPr>
          <w:rFonts w:hint="eastAsia"/>
          <w:color w:val="auto"/>
          <w:highlight w:val="none"/>
        </w:rPr>
        <w:t>第一章竞争性磋商公告</w:t>
      </w:r>
      <w:bookmarkEnd w:id="3"/>
    </w:p>
    <w:p>
      <w:pPr>
        <w:spacing w:line="400" w:lineRule="exact"/>
        <w:jc w:val="center"/>
        <w:rPr>
          <w:rFonts w:ascii="宋体" w:hAnsi="宋体"/>
          <w:b/>
          <w:bCs/>
          <w:color w:val="auto"/>
          <w:sz w:val="32"/>
          <w:szCs w:val="32"/>
          <w:highlight w:val="none"/>
        </w:rPr>
      </w:pPr>
      <w:r>
        <w:rPr>
          <w:rFonts w:hint="eastAsia" w:ascii="宋体" w:hAnsi="宋体"/>
          <w:b/>
          <w:bCs/>
          <w:color w:val="auto"/>
          <w:sz w:val="32"/>
          <w:szCs w:val="32"/>
          <w:highlight w:val="none"/>
        </w:rPr>
        <w:t>竞争性磋商公告</w:t>
      </w:r>
    </w:p>
    <w:p>
      <w:pPr>
        <w:spacing w:line="360" w:lineRule="auto"/>
        <w:rPr>
          <w:rFonts w:ascii="宋体" w:hAnsi="宋体"/>
          <w:color w:val="auto"/>
          <w:szCs w:val="21"/>
          <w:highlight w:val="none"/>
        </w:rPr>
      </w:pPr>
    </w:p>
    <w:p>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bookmarkStart w:id="4" w:name="_Hlk37430271"/>
      <w:r>
        <w:rPr>
          <w:rFonts w:hint="eastAsia" w:ascii="宋体" w:hAnsi="宋体"/>
          <w:color w:val="auto"/>
          <w:szCs w:val="21"/>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rPr>
        <w:t xml:space="preserve">   广西应急管理综合应用平台安全生产风险监测预警系统升级 </w:t>
      </w:r>
      <w:r>
        <w:rPr>
          <w:rFonts w:hint="eastAsia" w:ascii="宋体" w:hAnsi="宋体"/>
          <w:color w:val="auto"/>
          <w:szCs w:val="21"/>
          <w:highlight w:val="none"/>
        </w:rPr>
        <w:t xml:space="preserve"> 采购项目的潜在供应商应在“政采云”平台（https://www.zcygov.cn）获取（下载）竞争性磋商文件，并于2</w:t>
      </w:r>
      <w:r>
        <w:rPr>
          <w:rFonts w:ascii="宋体" w:hAnsi="宋体"/>
          <w:color w:val="auto"/>
          <w:szCs w:val="21"/>
          <w:highlight w:val="none"/>
        </w:rPr>
        <w:t>022</w:t>
      </w:r>
      <w:r>
        <w:rPr>
          <w:rFonts w:hint="eastAsia" w:ascii="宋体" w:hAnsi="宋体"/>
          <w:bCs/>
          <w:color w:val="auto"/>
          <w:szCs w:val="21"/>
          <w:highlight w:val="none"/>
          <w:u w:val="single"/>
        </w:rPr>
        <w:t>年</w:t>
      </w:r>
      <w:r>
        <w:rPr>
          <w:rFonts w:ascii="宋体" w:hAnsi="宋体"/>
          <w:bCs/>
          <w:color w:val="auto"/>
          <w:szCs w:val="21"/>
          <w:highlight w:val="none"/>
          <w:u w:val="single"/>
        </w:rPr>
        <w:t>6</w:t>
      </w:r>
      <w:r>
        <w:rPr>
          <w:rFonts w:hint="eastAsia" w:ascii="宋体" w:hAnsi="宋体"/>
          <w:bCs/>
          <w:color w:val="auto"/>
          <w:szCs w:val="21"/>
          <w:highlight w:val="none"/>
          <w:u w:val="single"/>
        </w:rPr>
        <w:t xml:space="preserve">月 </w:t>
      </w:r>
      <w:r>
        <w:rPr>
          <w:rFonts w:ascii="宋体" w:hAnsi="宋体"/>
          <w:bCs/>
          <w:color w:val="auto"/>
          <w:szCs w:val="21"/>
          <w:highlight w:val="none"/>
          <w:u w:val="single"/>
        </w:rPr>
        <w:t>28</w:t>
      </w:r>
      <w:r>
        <w:rPr>
          <w:rFonts w:hint="eastAsia" w:ascii="宋体" w:hAnsi="宋体"/>
          <w:bCs/>
          <w:color w:val="auto"/>
          <w:szCs w:val="21"/>
          <w:highlight w:val="none"/>
          <w:u w:val="single"/>
        </w:rPr>
        <w:t xml:space="preserve"> 日 </w:t>
      </w:r>
      <w:r>
        <w:rPr>
          <w:rFonts w:ascii="宋体" w:hAnsi="宋体"/>
          <w:bCs/>
          <w:color w:val="auto"/>
          <w:szCs w:val="21"/>
          <w:highlight w:val="none"/>
          <w:u w:val="single"/>
        </w:rPr>
        <w:t>9</w:t>
      </w:r>
      <w:r>
        <w:rPr>
          <w:rFonts w:hint="eastAsia" w:ascii="宋体" w:hAnsi="宋体"/>
          <w:bCs/>
          <w:color w:val="auto"/>
          <w:szCs w:val="21"/>
          <w:highlight w:val="none"/>
          <w:u w:val="single"/>
        </w:rPr>
        <w:t xml:space="preserve"> 时 </w:t>
      </w:r>
      <w:r>
        <w:rPr>
          <w:rFonts w:ascii="宋体" w:hAnsi="宋体"/>
          <w:bCs/>
          <w:color w:val="auto"/>
          <w:szCs w:val="21"/>
          <w:highlight w:val="none"/>
          <w:u w:val="single"/>
        </w:rPr>
        <w:t>30</w:t>
      </w:r>
      <w:r>
        <w:rPr>
          <w:rFonts w:hint="eastAsia" w:ascii="宋体" w:hAnsi="宋体"/>
          <w:bCs/>
          <w:color w:val="auto"/>
          <w:szCs w:val="21"/>
          <w:highlight w:val="none"/>
          <w:u w:val="single"/>
        </w:rPr>
        <w:t xml:space="preserve"> 分（</w:t>
      </w:r>
      <w:r>
        <w:rPr>
          <w:rFonts w:hint="eastAsia" w:ascii="宋体" w:hAnsi="宋体"/>
          <w:bCs/>
          <w:color w:val="auto"/>
          <w:szCs w:val="21"/>
          <w:highlight w:val="none"/>
        </w:rPr>
        <w:t>北京时间）前提交（上传）</w:t>
      </w:r>
      <w:r>
        <w:rPr>
          <w:rFonts w:hint="eastAsia" w:ascii="宋体" w:hAnsi="宋体"/>
          <w:color w:val="auto"/>
          <w:szCs w:val="21"/>
          <w:highlight w:val="none"/>
        </w:rPr>
        <w:t>响应</w:t>
      </w:r>
      <w:r>
        <w:rPr>
          <w:rFonts w:hint="eastAsia" w:ascii="宋体" w:hAnsi="宋体"/>
          <w:bCs/>
          <w:color w:val="auto"/>
          <w:szCs w:val="21"/>
          <w:highlight w:val="none"/>
        </w:rPr>
        <w:t>文件</w:t>
      </w:r>
      <w:r>
        <w:rPr>
          <w:rFonts w:hint="eastAsia" w:ascii="宋体" w:hAnsi="宋体"/>
          <w:color w:val="auto"/>
          <w:szCs w:val="21"/>
          <w:highlight w:val="none"/>
        </w:rPr>
        <w:t>。</w:t>
      </w:r>
    </w:p>
    <w:p>
      <w:pPr>
        <w:ind w:firstLine="354" w:firstLineChars="147"/>
        <w:rPr>
          <w:rFonts w:ascii="黑体" w:hAnsi="黑体" w:eastAsia="黑体"/>
          <w:b/>
          <w:color w:val="auto"/>
          <w:sz w:val="24"/>
          <w:highlight w:val="none"/>
        </w:rPr>
      </w:pPr>
      <w:bookmarkStart w:id="5" w:name="_Toc35393798"/>
      <w:bookmarkStart w:id="6" w:name="_Toc28359089"/>
      <w:bookmarkStart w:id="7" w:name="_Toc44229878"/>
      <w:bookmarkStart w:id="8" w:name="_Toc35393629"/>
      <w:bookmarkStart w:id="9" w:name="_Toc28359012"/>
      <w:bookmarkStart w:id="10" w:name="_Toc71365905"/>
      <w:r>
        <w:rPr>
          <w:rFonts w:hint="eastAsia" w:ascii="黑体" w:hAnsi="黑体" w:eastAsia="黑体"/>
          <w:b/>
          <w:color w:val="auto"/>
          <w:sz w:val="24"/>
          <w:highlight w:val="none"/>
        </w:rPr>
        <w:t>一、项目基本情况</w:t>
      </w:r>
      <w:bookmarkEnd w:id="5"/>
      <w:bookmarkEnd w:id="6"/>
      <w:bookmarkEnd w:id="7"/>
      <w:bookmarkEnd w:id="8"/>
      <w:bookmarkEnd w:id="9"/>
      <w:bookmarkEnd w:id="10"/>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项目编号：</w:t>
      </w:r>
      <w:r>
        <w:rPr>
          <w:rFonts w:ascii="宋体" w:hAnsi="宋体"/>
          <w:color w:val="auto"/>
          <w:szCs w:val="21"/>
          <w:highlight w:val="none"/>
        </w:rPr>
        <w:t>GXZC2022-C3-001737-YZLZ</w:t>
      </w:r>
      <w:r>
        <w:rPr>
          <w:rFonts w:hint="eastAsia" w:ascii="宋体" w:hAnsi="宋体"/>
          <w:color w:val="auto"/>
          <w:szCs w:val="21"/>
          <w:highlight w:val="none"/>
        </w:rPr>
        <w:t>（政府采购计划编号：广西政采[2022]10727号）</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项目名称：广西应急管理综合应用平台安全生产风险监测预警系统升级</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采购方式：竞争性磋商</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预算金额：</w:t>
      </w:r>
      <w:r>
        <w:rPr>
          <w:rFonts w:ascii="宋体" w:hAnsi="宋体"/>
          <w:color w:val="auto"/>
          <w:szCs w:val="21"/>
          <w:highlight w:val="none"/>
        </w:rPr>
        <w:t>190</w:t>
      </w:r>
      <w:r>
        <w:rPr>
          <w:rFonts w:hint="eastAsia" w:ascii="宋体" w:hAnsi="宋体"/>
          <w:color w:val="auto"/>
          <w:szCs w:val="21"/>
          <w:highlight w:val="none"/>
        </w:rPr>
        <w:t>万元</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最高限价：</w:t>
      </w:r>
      <w:r>
        <w:rPr>
          <w:rFonts w:ascii="宋体" w:hAnsi="宋体"/>
          <w:color w:val="auto"/>
          <w:szCs w:val="21"/>
          <w:highlight w:val="none"/>
        </w:rPr>
        <w:t>190</w:t>
      </w:r>
      <w:r>
        <w:rPr>
          <w:rFonts w:hint="eastAsia" w:ascii="宋体" w:hAnsi="宋体"/>
          <w:color w:val="auto"/>
          <w:szCs w:val="21"/>
          <w:highlight w:val="none"/>
        </w:rPr>
        <w:t>万元</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采购需求：</w:t>
      </w:r>
    </w:p>
    <w:tbl>
      <w:tblPr>
        <w:tblStyle w:val="25"/>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77"/>
        <w:gridCol w:w="1425"/>
        <w:gridCol w:w="850"/>
        <w:gridCol w:w="510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5"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rFonts w:ascii="宋体" w:hAnsi="宋体"/>
                <w:color w:val="auto"/>
                <w:szCs w:val="21"/>
                <w:highlight w:val="none"/>
              </w:rPr>
            </w:pPr>
            <w:r>
              <w:rPr>
                <w:rFonts w:ascii="宋体" w:hAnsi="宋体"/>
                <w:color w:val="auto"/>
                <w:szCs w:val="21"/>
                <w:highlight w:val="none"/>
                <w:u w:val="single"/>
              </w:rPr>
              <w:t>/</w:t>
            </w:r>
            <w:r>
              <w:rPr>
                <w:rFonts w:hint="eastAsia" w:ascii="宋体" w:hAnsi="宋体"/>
                <w:color w:val="auto"/>
                <w:szCs w:val="21"/>
                <w:highlight w:val="none"/>
              </w:rPr>
              <w:t>分标；预算金额：</w:t>
            </w:r>
            <w:r>
              <w:rPr>
                <w:rFonts w:ascii="宋体" w:hAnsi="宋体"/>
                <w:color w:val="auto"/>
                <w:szCs w:val="21"/>
                <w:highlight w:val="none"/>
              </w:rPr>
              <w:t>190</w:t>
            </w:r>
            <w:r>
              <w:rPr>
                <w:rFonts w:hint="eastAsia" w:ascii="宋体" w:hAnsi="宋体"/>
                <w:color w:val="auto"/>
                <w:szCs w:val="21"/>
                <w:highlight w:val="none"/>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7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标的的名称</w:t>
            </w: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数量及</w:t>
            </w:r>
          </w:p>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单位</w:t>
            </w:r>
          </w:p>
        </w:tc>
        <w:tc>
          <w:tcPr>
            <w:tcW w:w="510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简要技术需求或者服务要求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7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01</w:t>
            </w:r>
          </w:p>
        </w:tc>
        <w:tc>
          <w:tcPr>
            <w:tcW w:w="14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广西应急管理综合应用平台安全生产风险监测预警系统升级</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1项</w:t>
            </w:r>
          </w:p>
        </w:tc>
        <w:tc>
          <w:tcPr>
            <w:tcW w:w="510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ascii="宋体" w:hAnsi="宋体"/>
                <w:color w:val="auto"/>
                <w:szCs w:val="21"/>
                <w:highlight w:val="none"/>
              </w:rPr>
            </w:pPr>
            <w:r>
              <w:rPr>
                <w:rFonts w:hint="eastAsia" w:ascii="宋体" w:hAnsi="宋体"/>
                <w:color w:val="auto"/>
                <w:szCs w:val="21"/>
                <w:highlight w:val="none"/>
              </w:rPr>
              <w:t>一、建设目标</w:t>
            </w:r>
          </w:p>
          <w:p>
            <w:pPr>
              <w:widowControl/>
              <w:spacing w:line="380" w:lineRule="exact"/>
              <w:jc w:val="left"/>
              <w:rPr>
                <w:rFonts w:ascii="宋体" w:hAnsi="宋体"/>
                <w:color w:val="auto"/>
                <w:szCs w:val="21"/>
                <w:highlight w:val="none"/>
              </w:rPr>
            </w:pPr>
            <w:r>
              <w:rPr>
                <w:rFonts w:hint="eastAsia" w:ascii="宋体" w:hAnsi="宋体"/>
                <w:color w:val="auto"/>
                <w:szCs w:val="21"/>
                <w:highlight w:val="none"/>
              </w:rPr>
              <w:t>　　在应急管理部信息化建设规划框架的指导下，紧抓应急管理事业改革发展的重大战略机遇，适应科技信息化发展大势，加快现代信息技术与应急管理业务深度融合，促进体制机制创新、业务流程再造和工作模式创新，逐步实现应急管理模式从被动反应向主动保障转变，从事后处理向事前预防转变，从静态孤立监管向动态连续防控转变，围绕危险化学品高危行业领域，以感知数据为支撑，构建风险监测指标体系和监测预警模型，利用大数据、人工智能等技术手段，实现对高危行业企业安全生产风险的实时监测、智能分析、精准预警、风险研判及趋势分析，为重点监管、精准执法、科学施策提供支撑，有效遏制事故发生。</w:t>
            </w:r>
          </w:p>
          <w:p>
            <w:pPr>
              <w:snapToGrid w:val="0"/>
              <w:spacing w:line="360" w:lineRule="auto"/>
              <w:rPr>
                <w:rFonts w:ascii="宋体" w:hAnsi="宋体"/>
                <w:color w:val="auto"/>
                <w:szCs w:val="21"/>
                <w:highlight w:val="none"/>
              </w:rPr>
            </w:pPr>
            <w:r>
              <w:rPr>
                <w:rFonts w:ascii="宋体" w:hAnsi="宋体"/>
                <w:color w:val="auto"/>
                <w:szCs w:val="21"/>
                <w:highlight w:val="none"/>
              </w:rPr>
              <w:t>……</w:t>
            </w:r>
          </w:p>
        </w:tc>
      </w:tr>
    </w:tbl>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合同履行期限：本项目总体建设期为3个月（自合同签订之日起计）。</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本项目（是</w:t>
      </w:r>
      <w:r>
        <w:rPr>
          <w:rFonts w:ascii="宋体" w:hAnsi="宋体"/>
          <w:color w:val="auto"/>
          <w:szCs w:val="21"/>
          <w:highlight w:val="none"/>
        </w:rPr>
        <w:t>/</w:t>
      </w:r>
      <w:r>
        <w:rPr>
          <w:rFonts w:hint="eastAsia" w:ascii="宋体" w:hAnsi="宋体"/>
          <w:color w:val="auto"/>
          <w:szCs w:val="21"/>
          <w:highlight w:val="none"/>
        </w:rPr>
        <w:t>√</w:t>
      </w:r>
      <w:r>
        <w:rPr>
          <w:rFonts w:ascii="宋体" w:hAnsi="宋体"/>
          <w:color w:val="auto"/>
          <w:szCs w:val="21"/>
          <w:highlight w:val="none"/>
        </w:rPr>
        <w:t>否</w:t>
      </w:r>
      <w:r>
        <w:rPr>
          <w:rFonts w:hint="eastAsia" w:ascii="宋体" w:hAnsi="宋体"/>
          <w:color w:val="auto"/>
          <w:szCs w:val="21"/>
          <w:highlight w:val="none"/>
        </w:rPr>
        <w:t>）接受联合体</w:t>
      </w:r>
    </w:p>
    <w:p>
      <w:pPr>
        <w:ind w:firstLine="354" w:firstLineChars="147"/>
        <w:rPr>
          <w:rFonts w:ascii="黑体" w:hAnsi="黑体" w:eastAsia="黑体"/>
          <w:b/>
          <w:color w:val="auto"/>
          <w:sz w:val="24"/>
          <w:highlight w:val="none"/>
        </w:rPr>
      </w:pPr>
      <w:bookmarkStart w:id="11" w:name="_Toc35393630"/>
      <w:bookmarkStart w:id="12" w:name="_Toc44229879"/>
      <w:bookmarkStart w:id="13" w:name="_Toc28359090"/>
      <w:bookmarkStart w:id="14" w:name="_Toc71365906"/>
      <w:bookmarkStart w:id="15" w:name="_Toc35393799"/>
      <w:bookmarkStart w:id="16" w:name="_Toc28359013"/>
      <w:r>
        <w:rPr>
          <w:rFonts w:hint="eastAsia" w:ascii="黑体" w:hAnsi="黑体" w:eastAsia="黑体"/>
          <w:b/>
          <w:color w:val="auto"/>
          <w:sz w:val="24"/>
          <w:highlight w:val="none"/>
        </w:rPr>
        <w:t>二、申请人的资格条件：</w:t>
      </w:r>
      <w:bookmarkEnd w:id="11"/>
      <w:bookmarkEnd w:id="12"/>
      <w:bookmarkEnd w:id="13"/>
      <w:bookmarkEnd w:id="14"/>
      <w:bookmarkEnd w:id="15"/>
      <w:bookmarkEnd w:id="16"/>
    </w:p>
    <w:p>
      <w:pPr>
        <w:spacing w:line="360" w:lineRule="auto"/>
        <w:ind w:firstLine="420" w:firstLineChars="200"/>
        <w:rPr>
          <w:rFonts w:ascii="宋体" w:hAnsi="宋体"/>
          <w:color w:val="auto"/>
          <w:szCs w:val="21"/>
          <w:highlight w:val="none"/>
        </w:rPr>
      </w:pPr>
      <w:bookmarkStart w:id="17" w:name="_Toc28359091"/>
      <w:bookmarkStart w:id="18" w:name="_Toc35393800"/>
      <w:bookmarkStart w:id="19" w:name="_Toc28359014"/>
      <w:bookmarkStart w:id="20" w:name="_Toc35393631"/>
      <w:bookmarkStart w:id="21" w:name="_Toc44229880"/>
      <w:r>
        <w:rPr>
          <w:rFonts w:hint="eastAsia" w:ascii="宋体" w:hAnsi="宋体"/>
          <w:color w:val="auto"/>
          <w:szCs w:val="21"/>
          <w:highlight w:val="none"/>
        </w:rPr>
        <w:t>1.满足《中华人民共和国政府采购法》第二十二条规定；</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.落实政府采购政策需满足的资格要求：无</w:t>
      </w:r>
    </w:p>
    <w:p>
      <w:pPr>
        <w:spacing w:line="320" w:lineRule="exact"/>
        <w:ind w:firstLine="420" w:firstLineChars="200"/>
        <w:rPr>
          <w:rFonts w:ascii="宋体" w:hAnsi="宋体"/>
          <w:color w:val="auto"/>
          <w:highlight w:val="none"/>
        </w:rPr>
      </w:pPr>
      <w:r>
        <w:rPr>
          <w:rFonts w:hint="eastAsia" w:ascii="宋体" w:hAnsi="宋体"/>
          <w:color w:val="auto"/>
          <w:szCs w:val="21"/>
          <w:highlight w:val="none"/>
        </w:rPr>
        <w:t>3.本项目的特定资格要求：</w:t>
      </w:r>
      <w:bookmarkStart w:id="22" w:name="_Toc71365907"/>
      <w:r>
        <w:rPr>
          <w:rFonts w:hint="eastAsia" w:ascii="宋体" w:hAnsi="宋体"/>
          <w:color w:val="auto"/>
          <w:szCs w:val="21"/>
          <w:highlight w:val="none"/>
        </w:rPr>
        <w:t>无</w:t>
      </w:r>
    </w:p>
    <w:p>
      <w:pPr>
        <w:spacing w:line="360" w:lineRule="auto"/>
        <w:ind w:firstLine="482" w:firstLineChars="200"/>
        <w:rPr>
          <w:rFonts w:ascii="黑体" w:hAnsi="黑体" w:eastAsia="黑体"/>
          <w:b/>
          <w:color w:val="auto"/>
          <w:sz w:val="24"/>
          <w:highlight w:val="none"/>
        </w:rPr>
      </w:pPr>
      <w:r>
        <w:rPr>
          <w:rFonts w:hint="eastAsia" w:ascii="黑体" w:hAnsi="黑体" w:eastAsia="黑体"/>
          <w:b/>
          <w:color w:val="auto"/>
          <w:sz w:val="24"/>
          <w:highlight w:val="none"/>
        </w:rPr>
        <w:t>三、获取竞争性磋商文件</w:t>
      </w:r>
      <w:bookmarkEnd w:id="17"/>
      <w:bookmarkEnd w:id="18"/>
      <w:bookmarkEnd w:id="19"/>
      <w:bookmarkEnd w:id="20"/>
      <w:bookmarkEnd w:id="21"/>
      <w:bookmarkEnd w:id="22"/>
    </w:p>
    <w:p>
      <w:pPr>
        <w:spacing w:line="360" w:lineRule="auto"/>
        <w:ind w:firstLine="420" w:firstLineChars="200"/>
        <w:rPr>
          <w:rFonts w:ascii="宋体" w:hAnsi="宋体" w:cs="宋体"/>
          <w:bCs/>
          <w:color w:val="auto"/>
          <w:kern w:val="0"/>
          <w:szCs w:val="21"/>
          <w:highlight w:val="none"/>
        </w:rPr>
      </w:pPr>
      <w:bookmarkStart w:id="23" w:name="_Toc44229881"/>
      <w:bookmarkStart w:id="24" w:name="_Toc35393801"/>
      <w:bookmarkStart w:id="25" w:name="_Toc28359092"/>
      <w:bookmarkStart w:id="26" w:name="_Toc28359015"/>
      <w:bookmarkStart w:id="27" w:name="_Toc35393632"/>
      <w:r>
        <w:rPr>
          <w:rFonts w:hint="eastAsia" w:ascii="宋体" w:hAnsi="宋体" w:cs="宋体"/>
          <w:bCs/>
          <w:color w:val="auto"/>
          <w:kern w:val="0"/>
          <w:szCs w:val="21"/>
          <w:highlight w:val="none"/>
        </w:rPr>
        <w:t>时间：</w:t>
      </w:r>
      <w:r>
        <w:rPr>
          <w:rFonts w:hint="eastAsia" w:ascii="宋体" w:hAnsi="宋体"/>
          <w:bCs/>
          <w:color w:val="auto"/>
          <w:szCs w:val="21"/>
          <w:highlight w:val="none"/>
          <w:u w:val="single"/>
        </w:rPr>
        <w:t xml:space="preserve"> </w:t>
      </w:r>
      <w:r>
        <w:rPr>
          <w:rFonts w:ascii="宋体" w:hAnsi="宋体"/>
          <w:bCs/>
          <w:color w:val="auto"/>
          <w:szCs w:val="21"/>
          <w:highlight w:val="none"/>
          <w:u w:val="single"/>
        </w:rPr>
        <w:t>2022</w:t>
      </w:r>
      <w:r>
        <w:rPr>
          <w:rFonts w:hint="eastAsia" w:ascii="宋体" w:hAnsi="宋体"/>
          <w:bCs/>
          <w:color w:val="auto"/>
          <w:szCs w:val="21"/>
          <w:highlight w:val="none"/>
          <w:u w:val="single"/>
        </w:rPr>
        <w:t>年</w:t>
      </w:r>
      <w:r>
        <w:rPr>
          <w:rFonts w:ascii="宋体" w:hAnsi="宋体"/>
          <w:bCs/>
          <w:color w:val="auto"/>
          <w:szCs w:val="21"/>
          <w:highlight w:val="none"/>
          <w:u w:val="single"/>
        </w:rPr>
        <w:t>6</w:t>
      </w:r>
      <w:r>
        <w:rPr>
          <w:rFonts w:hint="eastAsia" w:ascii="宋体" w:hAnsi="宋体"/>
          <w:bCs/>
          <w:color w:val="auto"/>
          <w:szCs w:val="21"/>
          <w:highlight w:val="none"/>
          <w:u w:val="single"/>
        </w:rPr>
        <w:t>月</w:t>
      </w:r>
      <w:r>
        <w:rPr>
          <w:rFonts w:ascii="宋体" w:hAnsi="宋体"/>
          <w:bCs/>
          <w:color w:val="auto"/>
          <w:szCs w:val="21"/>
          <w:highlight w:val="none"/>
          <w:u w:val="single"/>
        </w:rPr>
        <w:t>17</w:t>
      </w:r>
      <w:r>
        <w:rPr>
          <w:rFonts w:hint="eastAsia" w:ascii="宋体" w:hAnsi="宋体"/>
          <w:bCs/>
          <w:color w:val="auto"/>
          <w:szCs w:val="21"/>
          <w:highlight w:val="none"/>
          <w:u w:val="single"/>
        </w:rPr>
        <w:t>日</w:t>
      </w:r>
      <w:r>
        <w:rPr>
          <w:rFonts w:hint="eastAsia" w:ascii="宋体" w:hAnsi="宋体" w:cs="宋体"/>
          <w:bCs/>
          <w:color w:val="auto"/>
          <w:kern w:val="0"/>
          <w:szCs w:val="21"/>
          <w:highlight w:val="none"/>
        </w:rPr>
        <w:t>至</w:t>
      </w:r>
      <w:r>
        <w:rPr>
          <w:rFonts w:hint="eastAsia" w:ascii="宋体" w:hAnsi="宋体"/>
          <w:bCs/>
          <w:color w:val="auto"/>
          <w:szCs w:val="21"/>
          <w:highlight w:val="none"/>
          <w:u w:val="single"/>
        </w:rPr>
        <w:t xml:space="preserve"> </w:t>
      </w:r>
      <w:r>
        <w:rPr>
          <w:rFonts w:ascii="宋体" w:hAnsi="宋体"/>
          <w:bCs/>
          <w:color w:val="auto"/>
          <w:szCs w:val="21"/>
          <w:highlight w:val="none"/>
          <w:u w:val="single"/>
        </w:rPr>
        <w:t>2022</w:t>
      </w:r>
      <w:r>
        <w:rPr>
          <w:rFonts w:hint="eastAsia" w:ascii="宋体" w:hAnsi="宋体"/>
          <w:bCs/>
          <w:color w:val="auto"/>
          <w:szCs w:val="21"/>
          <w:highlight w:val="none"/>
          <w:u w:val="single"/>
        </w:rPr>
        <w:t xml:space="preserve"> 年 </w:t>
      </w:r>
      <w:r>
        <w:rPr>
          <w:rFonts w:ascii="宋体" w:hAnsi="宋体"/>
          <w:bCs/>
          <w:color w:val="auto"/>
          <w:szCs w:val="21"/>
          <w:highlight w:val="none"/>
          <w:u w:val="single"/>
        </w:rPr>
        <w:t>6</w:t>
      </w:r>
      <w:r>
        <w:rPr>
          <w:rFonts w:hint="eastAsia" w:ascii="宋体" w:hAnsi="宋体"/>
          <w:bCs/>
          <w:color w:val="auto"/>
          <w:szCs w:val="21"/>
          <w:highlight w:val="none"/>
          <w:u w:val="single"/>
        </w:rPr>
        <w:t xml:space="preserve"> 月</w:t>
      </w:r>
      <w:r>
        <w:rPr>
          <w:rFonts w:ascii="宋体" w:hAnsi="宋体"/>
          <w:bCs/>
          <w:color w:val="auto"/>
          <w:szCs w:val="21"/>
          <w:highlight w:val="none"/>
          <w:u w:val="single"/>
        </w:rPr>
        <w:t>24</w:t>
      </w:r>
      <w:r>
        <w:rPr>
          <w:rFonts w:hint="eastAsia" w:ascii="宋体" w:hAnsi="宋体"/>
          <w:bCs/>
          <w:color w:val="auto"/>
          <w:szCs w:val="21"/>
          <w:highlight w:val="none"/>
          <w:u w:val="single"/>
        </w:rPr>
        <w:t>日</w:t>
      </w:r>
      <w:r>
        <w:rPr>
          <w:rFonts w:hint="eastAsia" w:ascii="宋体" w:hAnsi="宋体" w:cs="宋体"/>
          <w:bCs/>
          <w:color w:val="auto"/>
          <w:kern w:val="0"/>
          <w:szCs w:val="21"/>
          <w:highlight w:val="none"/>
        </w:rPr>
        <w:t>，每天上午</w:t>
      </w:r>
      <w:r>
        <w:rPr>
          <w:rFonts w:hint="eastAsia" w:ascii="宋体" w:hAnsi="宋体" w:cs="宋体"/>
          <w:bCs/>
          <w:color w:val="auto"/>
          <w:kern w:val="0"/>
          <w:szCs w:val="21"/>
          <w:highlight w:val="none"/>
          <w:u w:val="single"/>
        </w:rPr>
        <w:t>8：</w:t>
      </w:r>
      <w:r>
        <w:rPr>
          <w:rFonts w:ascii="宋体" w:hAnsi="宋体" w:cs="宋体"/>
          <w:bCs/>
          <w:color w:val="auto"/>
          <w:kern w:val="0"/>
          <w:szCs w:val="21"/>
          <w:highlight w:val="none"/>
          <w:u w:val="single"/>
        </w:rPr>
        <w:t>00</w:t>
      </w:r>
      <w:r>
        <w:rPr>
          <w:rFonts w:hint="eastAsia" w:ascii="宋体" w:hAnsi="宋体" w:cs="宋体"/>
          <w:bCs/>
          <w:color w:val="auto"/>
          <w:kern w:val="0"/>
          <w:szCs w:val="21"/>
          <w:highlight w:val="none"/>
        </w:rPr>
        <w:t>至1</w:t>
      </w:r>
      <w:r>
        <w:rPr>
          <w:rFonts w:ascii="宋体" w:hAnsi="宋体" w:cs="宋体"/>
          <w:bCs/>
          <w:color w:val="auto"/>
          <w:kern w:val="0"/>
          <w:szCs w:val="21"/>
          <w:highlight w:val="none"/>
        </w:rPr>
        <w:t>2</w:t>
      </w:r>
      <w:r>
        <w:rPr>
          <w:rFonts w:hint="eastAsia" w:ascii="宋体" w:hAnsi="宋体" w:cs="宋体"/>
          <w:bCs/>
          <w:color w:val="auto"/>
          <w:kern w:val="0"/>
          <w:szCs w:val="21"/>
          <w:highlight w:val="none"/>
        </w:rPr>
        <w:t>:0</w:t>
      </w:r>
      <w:r>
        <w:rPr>
          <w:rFonts w:ascii="宋体" w:hAnsi="宋体" w:cs="宋体"/>
          <w:bCs/>
          <w:color w:val="auto"/>
          <w:kern w:val="0"/>
          <w:szCs w:val="21"/>
          <w:highlight w:val="none"/>
        </w:rPr>
        <w:t>0</w:t>
      </w:r>
      <w:r>
        <w:rPr>
          <w:rFonts w:hint="eastAsia" w:ascii="宋体" w:hAnsi="宋体" w:cs="宋体"/>
          <w:bCs/>
          <w:color w:val="auto"/>
          <w:kern w:val="0"/>
          <w:szCs w:val="21"/>
          <w:highlight w:val="none"/>
          <w:u w:val="single"/>
        </w:rPr>
        <w:t>　</w:t>
      </w:r>
      <w:r>
        <w:rPr>
          <w:rFonts w:hint="eastAsia" w:ascii="宋体" w:hAnsi="宋体" w:cs="宋体"/>
          <w:bCs/>
          <w:color w:val="auto"/>
          <w:kern w:val="0"/>
          <w:szCs w:val="21"/>
          <w:highlight w:val="none"/>
        </w:rPr>
        <w:t>，下午3:0</w:t>
      </w:r>
      <w:r>
        <w:rPr>
          <w:rFonts w:ascii="宋体" w:hAnsi="宋体" w:cs="宋体"/>
          <w:bCs/>
          <w:color w:val="auto"/>
          <w:kern w:val="0"/>
          <w:szCs w:val="21"/>
          <w:highlight w:val="none"/>
        </w:rPr>
        <w:t>0</w:t>
      </w:r>
      <w:r>
        <w:rPr>
          <w:rFonts w:hint="eastAsia" w:ascii="宋体" w:hAnsi="宋体" w:cs="宋体"/>
          <w:bCs/>
          <w:color w:val="auto"/>
          <w:kern w:val="0"/>
          <w:szCs w:val="21"/>
          <w:highlight w:val="none"/>
          <w:u w:val="single"/>
        </w:rPr>
        <w:t>　</w:t>
      </w:r>
      <w:r>
        <w:rPr>
          <w:rFonts w:hint="eastAsia" w:ascii="宋体" w:hAnsi="宋体" w:cs="宋体"/>
          <w:bCs/>
          <w:color w:val="auto"/>
          <w:kern w:val="0"/>
          <w:szCs w:val="21"/>
          <w:highlight w:val="none"/>
        </w:rPr>
        <w:t>至6:0</w:t>
      </w:r>
      <w:r>
        <w:rPr>
          <w:rFonts w:ascii="宋体" w:hAnsi="宋体" w:cs="宋体"/>
          <w:bCs/>
          <w:color w:val="auto"/>
          <w:kern w:val="0"/>
          <w:szCs w:val="21"/>
          <w:highlight w:val="none"/>
        </w:rPr>
        <w:t>0</w:t>
      </w:r>
      <w:r>
        <w:rPr>
          <w:rFonts w:hint="eastAsia" w:ascii="宋体" w:hAnsi="宋体" w:cs="宋体"/>
          <w:bCs/>
          <w:color w:val="auto"/>
          <w:kern w:val="0"/>
          <w:szCs w:val="21"/>
          <w:highlight w:val="none"/>
          <w:u w:val="single"/>
        </w:rPr>
        <w:t>　</w:t>
      </w:r>
      <w:r>
        <w:rPr>
          <w:rFonts w:hint="eastAsia" w:ascii="宋体" w:hAnsi="宋体" w:cs="宋体"/>
          <w:bCs/>
          <w:color w:val="auto"/>
          <w:kern w:val="0"/>
          <w:szCs w:val="21"/>
          <w:highlight w:val="none"/>
        </w:rPr>
        <w:t>（北京时间，</w:t>
      </w:r>
      <w:r>
        <w:rPr>
          <w:rFonts w:ascii="宋体" w:hAnsi="宋体" w:cs="宋体"/>
          <w:bCs/>
          <w:color w:val="auto"/>
          <w:kern w:val="0"/>
          <w:szCs w:val="21"/>
          <w:highlight w:val="none"/>
        </w:rPr>
        <w:t>法定节假日</w:t>
      </w:r>
      <w:r>
        <w:rPr>
          <w:rFonts w:hint="eastAsia" w:ascii="宋体" w:hAnsi="宋体" w:cs="宋体"/>
          <w:bCs/>
          <w:color w:val="auto"/>
          <w:kern w:val="0"/>
          <w:szCs w:val="21"/>
          <w:highlight w:val="none"/>
        </w:rPr>
        <w:t>除外）</w:t>
      </w:r>
    </w:p>
    <w:p>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地点：“政采云”平台（https://www.zcygov.cn）</w:t>
      </w:r>
    </w:p>
    <w:p>
      <w:pPr>
        <w:spacing w:line="360" w:lineRule="exact"/>
        <w:ind w:firstLine="420" w:firstLineChars="200"/>
        <w:rPr>
          <w:rFonts w:ascii="Arial" w:hAnsi="Arial" w:cs="Arial"/>
          <w:color w:val="auto"/>
          <w:kern w:val="0"/>
          <w:szCs w:val="21"/>
          <w:highlight w:val="none"/>
        </w:rPr>
      </w:pPr>
      <w:bookmarkStart w:id="28" w:name="_Toc71365908"/>
      <w:r>
        <w:rPr>
          <w:rFonts w:hint="eastAsia" w:ascii="宋体" w:hAnsi="宋体"/>
          <w:color w:val="auto"/>
          <w:szCs w:val="21"/>
          <w:highlight w:val="none"/>
        </w:rPr>
        <w:t>获取方式:网上下载。本项目不发放纸质采购文件，</w:t>
      </w:r>
      <w:r>
        <w:rPr>
          <w:rFonts w:hint="eastAsia" w:ascii="宋体" w:hAnsi="宋体" w:cs="宋体"/>
          <w:bCs/>
          <w:color w:val="auto"/>
          <w:kern w:val="0"/>
          <w:szCs w:val="21"/>
          <w:highlight w:val="none"/>
        </w:rPr>
        <w:t>潜在</w:t>
      </w:r>
      <w:r>
        <w:rPr>
          <w:rFonts w:hint="eastAsia" w:ascii="宋体" w:hAnsi="宋体"/>
          <w:color w:val="auto"/>
          <w:szCs w:val="21"/>
          <w:highlight w:val="none"/>
        </w:rPr>
        <w:t>供应商可自行在</w:t>
      </w:r>
      <w:r>
        <w:rPr>
          <w:color w:val="auto"/>
          <w:highlight w:val="none"/>
        </w:rPr>
        <w:fldChar w:fldCharType="begin"/>
      </w:r>
      <w:r>
        <w:rPr>
          <w:color w:val="auto"/>
          <w:highlight w:val="none"/>
        </w:rPr>
        <w:instrText xml:space="preserve"> HYPERLINK </w:instrText>
      </w:r>
      <w:r>
        <w:rPr>
          <w:color w:val="auto"/>
          <w:highlight w:val="none"/>
        </w:rPr>
        <w:fldChar w:fldCharType="separate"/>
      </w:r>
      <w:r>
        <w:rPr>
          <w:color w:val="auto"/>
          <w:highlight w:val="none"/>
        </w:rPr>
        <w:fldChar w:fldCharType="end"/>
      </w:r>
      <w:r>
        <w:rPr>
          <w:rFonts w:hint="eastAsia" w:ascii="宋体" w:hAnsi="宋体"/>
          <w:color w:val="auto"/>
          <w:szCs w:val="21"/>
          <w:highlight w:val="none"/>
        </w:rPr>
        <w:t>“政采云”平台（http：//www.zcygov.cn）下载采购文件（操作路径：登录“政采云”平台-项目采购-获取采购文件-找到本项目-点击“申请获取采购文件”，</w:t>
      </w:r>
      <w:r>
        <w:rPr>
          <w:rFonts w:hint="eastAsia" w:ascii="Arial" w:hAnsi="Arial" w:cs="Arial"/>
          <w:color w:val="auto"/>
          <w:kern w:val="0"/>
          <w:szCs w:val="21"/>
          <w:highlight w:val="none"/>
        </w:rPr>
        <w:t>支付购买采购文件费用至下述代理机构银行账户后，在“附件”处上传支付凭证，并按系统操作获取磋商文件（或在“政采云电子投标客户端</w:t>
      </w:r>
      <w:r>
        <w:rPr>
          <w:rFonts w:ascii="Arial" w:hAnsi="Arial" w:cs="Arial"/>
          <w:color w:val="auto"/>
          <w:kern w:val="0"/>
          <w:szCs w:val="21"/>
          <w:highlight w:val="none"/>
        </w:rPr>
        <w:t>-</w:t>
      </w:r>
      <w:r>
        <w:rPr>
          <w:rFonts w:hint="eastAsia" w:ascii="Arial" w:hAnsi="Arial" w:cs="Arial"/>
          <w:color w:val="auto"/>
          <w:kern w:val="0"/>
          <w:szCs w:val="21"/>
          <w:highlight w:val="none"/>
        </w:rPr>
        <w:t>获取采购文件”跳转到政采云系统获取）。电子响应文件制作需要基于“政采云”平台获取的采购文件编制，通过其他方式获取采购文件的，将有可能导致供应商无法在政采云平台编制及上传响应文件。</w:t>
      </w:r>
    </w:p>
    <w:p>
      <w:pPr>
        <w:spacing w:line="360" w:lineRule="exact"/>
        <w:ind w:firstLine="420" w:firstLineChars="200"/>
        <w:rPr>
          <w:rFonts w:ascii="Arial" w:hAnsi="Arial" w:cs="Arial"/>
          <w:color w:val="auto"/>
          <w:kern w:val="0"/>
          <w:szCs w:val="21"/>
          <w:highlight w:val="none"/>
        </w:rPr>
      </w:pPr>
      <w:r>
        <w:rPr>
          <w:rFonts w:hint="eastAsia" w:ascii="Arial" w:hAnsi="Arial" w:cs="Arial"/>
          <w:color w:val="auto"/>
          <w:kern w:val="0"/>
          <w:szCs w:val="21"/>
          <w:highlight w:val="none"/>
        </w:rPr>
        <w:t>代理机构银行账户信息如下：</w:t>
      </w:r>
    </w:p>
    <w:p>
      <w:pPr>
        <w:spacing w:line="360" w:lineRule="exact"/>
        <w:ind w:firstLine="420" w:firstLineChars="200"/>
        <w:rPr>
          <w:rFonts w:ascii="Arial" w:hAnsi="Arial" w:cs="Arial"/>
          <w:color w:val="auto"/>
          <w:kern w:val="0"/>
          <w:szCs w:val="21"/>
          <w:highlight w:val="none"/>
        </w:rPr>
      </w:pPr>
      <w:r>
        <w:rPr>
          <w:rFonts w:hint="eastAsia" w:ascii="Arial" w:hAnsi="Arial" w:cs="Arial"/>
          <w:color w:val="auto"/>
          <w:kern w:val="0"/>
          <w:szCs w:val="21"/>
          <w:highlight w:val="none"/>
        </w:rPr>
        <w:t>开户银行：中国银行南宁市民主支行（网银支付可选中国银行股份有限公司南宁分行）</w:t>
      </w:r>
    </w:p>
    <w:p>
      <w:pPr>
        <w:spacing w:line="360" w:lineRule="exact"/>
        <w:ind w:firstLine="420" w:firstLineChars="200"/>
        <w:rPr>
          <w:rFonts w:ascii="Arial" w:hAnsi="Arial" w:cs="Arial"/>
          <w:color w:val="auto"/>
          <w:kern w:val="0"/>
          <w:szCs w:val="21"/>
          <w:highlight w:val="none"/>
        </w:rPr>
      </w:pPr>
      <w:r>
        <w:rPr>
          <w:rFonts w:hint="eastAsia" w:ascii="Arial" w:hAnsi="Arial" w:cs="Arial"/>
          <w:color w:val="auto"/>
          <w:kern w:val="0"/>
          <w:szCs w:val="21"/>
          <w:highlight w:val="none"/>
        </w:rPr>
        <w:t>开户名称：云之龙咨询集团有限公司</w:t>
      </w:r>
    </w:p>
    <w:p>
      <w:pPr>
        <w:spacing w:line="360" w:lineRule="exact"/>
        <w:ind w:firstLine="420" w:firstLineChars="200"/>
        <w:rPr>
          <w:rFonts w:ascii="宋体" w:hAnsi="宋体"/>
          <w:b/>
          <w:bCs/>
          <w:color w:val="auto"/>
          <w:sz w:val="24"/>
          <w:highlight w:val="none"/>
        </w:rPr>
      </w:pPr>
      <w:r>
        <w:rPr>
          <w:rFonts w:hint="eastAsia" w:ascii="宋体" w:hAnsi="宋体" w:cs="Arial"/>
          <w:color w:val="auto"/>
          <w:kern w:val="0"/>
          <w:szCs w:val="21"/>
          <w:highlight w:val="none"/>
        </w:rPr>
        <w:t>银行账号：623661021638</w:t>
      </w:r>
    </w:p>
    <w:p>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采购文件售价：300元。</w:t>
      </w:r>
    </w:p>
    <w:p>
      <w:pPr>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四、响应文件提交</w:t>
      </w:r>
      <w:bookmarkEnd w:id="23"/>
      <w:bookmarkEnd w:id="24"/>
      <w:bookmarkEnd w:id="25"/>
      <w:bookmarkEnd w:id="26"/>
      <w:bookmarkEnd w:id="27"/>
      <w:bookmarkEnd w:id="28"/>
    </w:p>
    <w:p>
      <w:pPr>
        <w:spacing w:line="360" w:lineRule="auto"/>
        <w:ind w:firstLine="420" w:firstLineChars="200"/>
        <w:rPr>
          <w:rFonts w:ascii="宋体" w:hAnsi="宋体"/>
          <w:bCs/>
          <w:color w:val="auto"/>
          <w:szCs w:val="21"/>
          <w:highlight w:val="none"/>
        </w:rPr>
      </w:pPr>
      <w:bookmarkStart w:id="29" w:name="_Toc35393633"/>
      <w:bookmarkStart w:id="30" w:name="_Toc28359016"/>
      <w:bookmarkStart w:id="31" w:name="_Toc44229882"/>
      <w:bookmarkStart w:id="32" w:name="_Toc28359093"/>
      <w:bookmarkStart w:id="33" w:name="_Toc35393802"/>
      <w:r>
        <w:rPr>
          <w:rFonts w:hint="eastAsia" w:ascii="宋体" w:hAnsi="宋体"/>
          <w:color w:val="auto"/>
          <w:szCs w:val="21"/>
          <w:highlight w:val="none"/>
        </w:rPr>
        <w:t>截止时间：</w:t>
      </w:r>
      <w:r>
        <w:rPr>
          <w:rFonts w:hint="eastAsia" w:ascii="宋体" w:hAnsi="宋体"/>
          <w:bCs/>
          <w:color w:val="auto"/>
          <w:szCs w:val="21"/>
          <w:highlight w:val="none"/>
          <w:u w:val="single"/>
        </w:rPr>
        <w:t xml:space="preserve"> </w:t>
      </w:r>
      <w:r>
        <w:rPr>
          <w:rFonts w:ascii="宋体" w:hAnsi="宋体"/>
          <w:bCs/>
          <w:color w:val="auto"/>
          <w:szCs w:val="21"/>
          <w:highlight w:val="none"/>
          <w:u w:val="single"/>
        </w:rPr>
        <w:t>2022</w:t>
      </w:r>
      <w:r>
        <w:rPr>
          <w:rFonts w:hint="eastAsia" w:ascii="宋体" w:hAnsi="宋体"/>
          <w:bCs/>
          <w:color w:val="auto"/>
          <w:szCs w:val="21"/>
          <w:highlight w:val="none"/>
          <w:u w:val="single"/>
        </w:rPr>
        <w:t xml:space="preserve"> 年</w:t>
      </w:r>
      <w:r>
        <w:rPr>
          <w:rFonts w:ascii="宋体" w:hAnsi="宋体"/>
          <w:bCs/>
          <w:color w:val="auto"/>
          <w:szCs w:val="21"/>
          <w:highlight w:val="none"/>
          <w:u w:val="single"/>
        </w:rPr>
        <w:t>6</w:t>
      </w:r>
      <w:r>
        <w:rPr>
          <w:rFonts w:hint="eastAsia" w:ascii="宋体" w:hAnsi="宋体"/>
          <w:bCs/>
          <w:color w:val="auto"/>
          <w:szCs w:val="21"/>
          <w:highlight w:val="none"/>
          <w:u w:val="single"/>
        </w:rPr>
        <w:t xml:space="preserve">月 </w:t>
      </w:r>
      <w:r>
        <w:rPr>
          <w:rFonts w:ascii="宋体" w:hAnsi="宋体"/>
          <w:bCs/>
          <w:color w:val="auto"/>
          <w:szCs w:val="21"/>
          <w:highlight w:val="none"/>
          <w:u w:val="single"/>
        </w:rPr>
        <w:t>28</w:t>
      </w:r>
      <w:r>
        <w:rPr>
          <w:rFonts w:hint="eastAsia" w:ascii="宋体" w:hAnsi="宋体"/>
          <w:bCs/>
          <w:color w:val="auto"/>
          <w:szCs w:val="21"/>
          <w:highlight w:val="none"/>
          <w:u w:val="single"/>
        </w:rPr>
        <w:t xml:space="preserve">日 </w:t>
      </w:r>
      <w:r>
        <w:rPr>
          <w:rFonts w:ascii="宋体" w:hAnsi="宋体"/>
          <w:bCs/>
          <w:color w:val="auto"/>
          <w:szCs w:val="21"/>
          <w:highlight w:val="none"/>
          <w:u w:val="single"/>
        </w:rPr>
        <w:t>9</w:t>
      </w:r>
      <w:r>
        <w:rPr>
          <w:rFonts w:hint="eastAsia" w:ascii="宋体" w:hAnsi="宋体"/>
          <w:bCs/>
          <w:color w:val="auto"/>
          <w:szCs w:val="21"/>
          <w:highlight w:val="none"/>
          <w:u w:val="single"/>
        </w:rPr>
        <w:t xml:space="preserve"> 时</w:t>
      </w:r>
      <w:r>
        <w:rPr>
          <w:rFonts w:ascii="宋体" w:hAnsi="宋体"/>
          <w:bCs/>
          <w:color w:val="auto"/>
          <w:szCs w:val="21"/>
          <w:highlight w:val="none"/>
          <w:u w:val="single"/>
        </w:rPr>
        <w:t>30</w:t>
      </w:r>
      <w:r>
        <w:rPr>
          <w:rFonts w:hint="eastAsia" w:ascii="宋体" w:hAnsi="宋体"/>
          <w:bCs/>
          <w:color w:val="auto"/>
          <w:szCs w:val="21"/>
          <w:highlight w:val="none"/>
          <w:u w:val="single"/>
        </w:rPr>
        <w:t>分</w:t>
      </w:r>
      <w:r>
        <w:rPr>
          <w:rFonts w:hint="eastAsia" w:ascii="宋体" w:hAnsi="宋体"/>
          <w:bCs/>
          <w:color w:val="auto"/>
          <w:szCs w:val="21"/>
          <w:highlight w:val="none"/>
        </w:rPr>
        <w:t>（北京时间）</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地点：“政采云”平台</w:t>
      </w:r>
      <w:r>
        <w:rPr>
          <w:rFonts w:hint="eastAsia" w:ascii="宋体" w:hAnsi="宋体" w:cs="宋体"/>
          <w:bCs/>
          <w:color w:val="auto"/>
          <w:kern w:val="0"/>
          <w:szCs w:val="21"/>
          <w:highlight w:val="none"/>
        </w:rPr>
        <w:t>（https://www.zcygov.cn）</w:t>
      </w:r>
    </w:p>
    <w:p>
      <w:pPr>
        <w:ind w:firstLine="354" w:firstLineChars="147"/>
        <w:rPr>
          <w:rFonts w:ascii="黑体" w:hAnsi="黑体" w:eastAsia="黑体"/>
          <w:b/>
          <w:color w:val="auto"/>
          <w:sz w:val="24"/>
          <w:highlight w:val="none"/>
        </w:rPr>
      </w:pPr>
      <w:bookmarkStart w:id="34" w:name="_Toc71365909"/>
      <w:r>
        <w:rPr>
          <w:rFonts w:hint="eastAsia" w:ascii="黑体" w:hAnsi="黑体" w:eastAsia="黑体"/>
          <w:b/>
          <w:color w:val="auto"/>
          <w:sz w:val="24"/>
          <w:highlight w:val="none"/>
        </w:rPr>
        <w:t>五、开启</w:t>
      </w:r>
      <w:bookmarkEnd w:id="29"/>
      <w:bookmarkEnd w:id="30"/>
      <w:bookmarkEnd w:id="31"/>
      <w:bookmarkEnd w:id="32"/>
      <w:bookmarkEnd w:id="33"/>
      <w:bookmarkEnd w:id="34"/>
    </w:p>
    <w:p>
      <w:pPr>
        <w:spacing w:line="360" w:lineRule="auto"/>
        <w:ind w:firstLine="420" w:firstLineChars="200"/>
        <w:rPr>
          <w:rFonts w:ascii="宋体" w:hAnsi="宋体"/>
          <w:bCs/>
          <w:color w:val="auto"/>
          <w:szCs w:val="21"/>
          <w:highlight w:val="none"/>
          <w:u w:val="singl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时间：</w:t>
      </w:r>
      <w:r>
        <w:rPr>
          <w:rFonts w:ascii="宋体" w:hAnsi="宋体"/>
          <w:bCs/>
          <w:color w:val="auto"/>
          <w:szCs w:val="21"/>
          <w:highlight w:val="none"/>
          <w:u w:val="single"/>
        </w:rPr>
        <w:t>2022</w:t>
      </w:r>
      <w:r>
        <w:rPr>
          <w:rFonts w:hint="eastAsia" w:ascii="宋体" w:hAnsi="宋体"/>
          <w:bCs/>
          <w:color w:val="auto"/>
          <w:szCs w:val="21"/>
          <w:highlight w:val="none"/>
          <w:u w:val="single"/>
        </w:rPr>
        <w:t xml:space="preserve"> 年</w:t>
      </w:r>
      <w:r>
        <w:rPr>
          <w:rFonts w:ascii="宋体" w:hAnsi="宋体"/>
          <w:bCs/>
          <w:color w:val="auto"/>
          <w:szCs w:val="21"/>
          <w:highlight w:val="none"/>
          <w:u w:val="single"/>
        </w:rPr>
        <w:t>6</w:t>
      </w:r>
      <w:r>
        <w:rPr>
          <w:rFonts w:hint="eastAsia" w:ascii="宋体" w:hAnsi="宋体"/>
          <w:bCs/>
          <w:color w:val="auto"/>
          <w:szCs w:val="21"/>
          <w:highlight w:val="none"/>
          <w:u w:val="single"/>
        </w:rPr>
        <w:t xml:space="preserve">月 </w:t>
      </w:r>
      <w:r>
        <w:rPr>
          <w:rFonts w:ascii="宋体" w:hAnsi="宋体"/>
          <w:bCs/>
          <w:color w:val="auto"/>
          <w:szCs w:val="21"/>
          <w:highlight w:val="none"/>
          <w:u w:val="single"/>
        </w:rPr>
        <w:t>28</w:t>
      </w:r>
      <w:r>
        <w:rPr>
          <w:rFonts w:hint="eastAsia" w:ascii="宋体" w:hAnsi="宋体"/>
          <w:bCs/>
          <w:color w:val="auto"/>
          <w:szCs w:val="21"/>
          <w:highlight w:val="none"/>
          <w:u w:val="single"/>
        </w:rPr>
        <w:t xml:space="preserve">日 </w:t>
      </w:r>
      <w:r>
        <w:rPr>
          <w:rFonts w:ascii="宋体" w:hAnsi="宋体"/>
          <w:bCs/>
          <w:color w:val="auto"/>
          <w:szCs w:val="21"/>
          <w:highlight w:val="none"/>
          <w:u w:val="single"/>
        </w:rPr>
        <w:t>9</w:t>
      </w:r>
      <w:r>
        <w:rPr>
          <w:rFonts w:hint="eastAsia" w:ascii="宋体" w:hAnsi="宋体"/>
          <w:bCs/>
          <w:color w:val="auto"/>
          <w:szCs w:val="21"/>
          <w:highlight w:val="none"/>
          <w:u w:val="single"/>
        </w:rPr>
        <w:t xml:space="preserve"> 时</w:t>
      </w:r>
      <w:r>
        <w:rPr>
          <w:rFonts w:ascii="宋体" w:hAnsi="宋体"/>
          <w:bCs/>
          <w:color w:val="auto"/>
          <w:szCs w:val="21"/>
          <w:highlight w:val="none"/>
          <w:u w:val="single"/>
        </w:rPr>
        <w:t>30</w:t>
      </w:r>
      <w:r>
        <w:rPr>
          <w:rFonts w:hint="eastAsia" w:ascii="宋体" w:hAnsi="宋体"/>
          <w:bCs/>
          <w:color w:val="auto"/>
          <w:szCs w:val="21"/>
          <w:highlight w:val="none"/>
          <w:u w:val="single"/>
        </w:rPr>
        <w:t>分</w:t>
      </w:r>
      <w:bookmarkStart w:id="254" w:name="_GoBack"/>
      <w:bookmarkEnd w:id="254"/>
      <w:r>
        <w:rPr>
          <w:rFonts w:hint="eastAsia" w:ascii="宋体" w:hAnsi="宋体"/>
          <w:bCs/>
          <w:color w:val="auto"/>
          <w:szCs w:val="21"/>
          <w:highlight w:val="none"/>
        </w:rPr>
        <w:t>（北京时间）</w:t>
      </w:r>
    </w:p>
    <w:p>
      <w:pPr>
        <w:spacing w:line="360" w:lineRule="auto"/>
        <w:ind w:firstLine="420" w:firstLineChars="200"/>
        <w:rPr>
          <w:rFonts w:ascii="宋体" w:hAnsi="宋体"/>
          <w:bCs/>
          <w:color w:val="auto"/>
          <w:szCs w:val="21"/>
          <w:highlight w:val="none"/>
          <w:u w:val="singl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地点：“政采云”平台</w:t>
      </w:r>
      <w:r>
        <w:rPr>
          <w:rFonts w:hint="eastAsia" w:ascii="宋体" w:hAnsi="宋体" w:cs="宋体"/>
          <w:bCs/>
          <w:color w:val="auto"/>
          <w:kern w:val="0"/>
          <w:szCs w:val="21"/>
          <w:highlight w:val="none"/>
        </w:rPr>
        <w:t>（https://www.zcygov.cn）</w:t>
      </w:r>
    </w:p>
    <w:p>
      <w:pPr>
        <w:ind w:firstLine="354" w:firstLineChars="147"/>
        <w:rPr>
          <w:rFonts w:ascii="黑体" w:hAnsi="黑体" w:eastAsia="黑体"/>
          <w:b/>
          <w:color w:val="auto"/>
          <w:sz w:val="24"/>
          <w:highlight w:val="none"/>
        </w:rPr>
      </w:pPr>
      <w:bookmarkStart w:id="35" w:name="_Toc28359017"/>
      <w:bookmarkStart w:id="36" w:name="_Toc28359094"/>
      <w:bookmarkStart w:id="37" w:name="_Toc71365910"/>
      <w:bookmarkStart w:id="38" w:name="_Toc35393634"/>
      <w:bookmarkStart w:id="39" w:name="_Toc44229883"/>
      <w:bookmarkStart w:id="40" w:name="_Toc35393803"/>
      <w:r>
        <w:rPr>
          <w:rFonts w:hint="eastAsia" w:ascii="黑体" w:hAnsi="黑体" w:eastAsia="黑体"/>
          <w:b/>
          <w:color w:val="auto"/>
          <w:sz w:val="24"/>
          <w:highlight w:val="none"/>
        </w:rPr>
        <w:t>六、公告期限</w:t>
      </w:r>
      <w:bookmarkEnd w:id="35"/>
      <w:bookmarkEnd w:id="36"/>
      <w:bookmarkEnd w:id="37"/>
      <w:bookmarkEnd w:id="38"/>
      <w:bookmarkEnd w:id="39"/>
      <w:bookmarkEnd w:id="40"/>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自本公告发布之日起3个工作日。</w:t>
      </w:r>
    </w:p>
    <w:p>
      <w:pPr>
        <w:ind w:firstLine="354" w:firstLineChars="147"/>
        <w:rPr>
          <w:rFonts w:ascii="黑体" w:hAnsi="黑体" w:eastAsia="黑体"/>
          <w:b/>
          <w:color w:val="auto"/>
          <w:sz w:val="24"/>
          <w:highlight w:val="none"/>
        </w:rPr>
      </w:pPr>
      <w:bookmarkStart w:id="41" w:name="_Toc35393635"/>
      <w:bookmarkStart w:id="42" w:name="_Toc44229884"/>
      <w:bookmarkStart w:id="43" w:name="_Toc71365911"/>
      <w:bookmarkStart w:id="44" w:name="_Toc35393804"/>
      <w:r>
        <w:rPr>
          <w:rFonts w:hint="eastAsia" w:ascii="黑体" w:hAnsi="黑体" w:eastAsia="黑体"/>
          <w:b/>
          <w:color w:val="auto"/>
          <w:sz w:val="24"/>
          <w:highlight w:val="none"/>
        </w:rPr>
        <w:t>七、其他补充事宜</w:t>
      </w:r>
      <w:bookmarkEnd w:id="41"/>
      <w:bookmarkEnd w:id="42"/>
      <w:bookmarkEnd w:id="43"/>
      <w:bookmarkEnd w:id="44"/>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w:t>
      </w:r>
      <w:r>
        <w:rPr>
          <w:rFonts w:hint="eastAsia" w:ascii="宋体" w:hAnsi="宋体" w:cs="宋体"/>
          <w:color w:val="auto"/>
          <w:kern w:val="0"/>
          <w:szCs w:val="21"/>
          <w:highlight w:val="none"/>
        </w:rPr>
        <w:t>网上查询地址</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www.ccgp.gov.cn（中国政府采购网）、zfcg.gxzf.gov.cn（广西壮族自治区政府采购网）</w:t>
      </w:r>
    </w:p>
    <w:p>
      <w:pPr>
        <w:spacing w:line="360" w:lineRule="auto"/>
        <w:ind w:firstLine="424" w:firstLineChars="202"/>
        <w:rPr>
          <w:rFonts w:ascii="宋体" w:hAnsi="宋体" w:cs="宋体"/>
          <w:color w:val="auto"/>
          <w:kern w:val="0"/>
          <w:szCs w:val="21"/>
          <w:highlight w:val="none"/>
        </w:rPr>
      </w:pPr>
      <w:bookmarkStart w:id="45" w:name="_Hlk37429674"/>
      <w:bookmarkStart w:id="46" w:name="_Toc35393636"/>
      <w:bookmarkStart w:id="47" w:name="_Toc35393805"/>
      <w:bookmarkStart w:id="48" w:name="_Toc28359018"/>
      <w:bookmarkStart w:id="49" w:name="_Toc28359095"/>
      <w:bookmarkStart w:id="50" w:name="_Toc44229885"/>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s="宋体"/>
          <w:color w:val="auto"/>
          <w:kern w:val="0"/>
          <w:szCs w:val="21"/>
          <w:highlight w:val="none"/>
        </w:rPr>
        <w:t>本项目需要落实的政府采购政策</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bookmarkEnd w:id="45"/>
    <w:p>
      <w:pPr>
        <w:widowControl/>
        <w:spacing w:line="360" w:lineRule="auto"/>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3.供应商</w:t>
      </w:r>
      <w:r>
        <w:rPr>
          <w:rFonts w:hint="eastAsia" w:ascii="宋体" w:hAnsi="宋体"/>
          <w:color w:val="auto"/>
          <w:szCs w:val="21"/>
          <w:highlight w:val="none"/>
        </w:rPr>
        <w:t>竞标注意事项</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本项目为全流程电子化采购项目，通过“政采云”平台（https：//www.zcygov.cn）实行在线电子竞标，供应商应先安装“政采云电子交易客户端”（请自行前往“政采云”平台进行下载），并按照本项目竞争性磋商文件和“政采云”平台的要求编制、加密后在提交响应文件截止时间前通过网络上传至 “政采云”平台（加密的电子响应文件是指</w:t>
      </w:r>
      <w:r>
        <w:rPr>
          <w:rFonts w:hint="eastAsia"/>
          <w:color w:val="auto"/>
          <w:highlight w:val="none"/>
        </w:rPr>
        <w:t>后缀名为“jm</w:t>
      </w:r>
      <w:r>
        <w:rPr>
          <w:color w:val="auto"/>
          <w:highlight w:val="none"/>
        </w:rPr>
        <w:t>bs</w:t>
      </w:r>
      <w:r>
        <w:rPr>
          <w:rFonts w:hint="eastAsia"/>
          <w:color w:val="auto"/>
          <w:highlight w:val="none"/>
        </w:rPr>
        <w:t>”的文件</w:t>
      </w:r>
      <w:r>
        <w:rPr>
          <w:rFonts w:hint="eastAsia" w:ascii="宋体" w:hAnsi="宋体"/>
          <w:color w:val="auto"/>
          <w:szCs w:val="21"/>
          <w:highlight w:val="none"/>
        </w:rPr>
        <w:t>），</w:t>
      </w:r>
      <w:r>
        <w:rPr>
          <w:rFonts w:hint="eastAsia" w:ascii="宋体" w:hAnsi="宋体"/>
          <w:b/>
          <w:color w:val="auto"/>
          <w:szCs w:val="21"/>
          <w:highlight w:val="none"/>
        </w:rPr>
        <w:t>供应商在“政采云”平台提交电子响应文件时，请填写参加远程采购活动经办人联系方式。</w:t>
      </w:r>
      <w:r>
        <w:rPr>
          <w:rFonts w:hint="eastAsia" w:ascii="宋体" w:hAnsi="宋体"/>
          <w:color w:val="auto"/>
          <w:szCs w:val="21"/>
          <w:highlight w:val="none"/>
        </w:rPr>
        <w:t>供应商登录“政采云”平台，依次进入“服务中心-项目采购-操作流程-电子招投标-</w:t>
      </w:r>
      <w:r>
        <w:rPr>
          <w:rFonts w:hint="eastAsia"/>
          <w:color w:val="auto"/>
          <w:highlight w:val="none"/>
        </w:rPr>
        <w:t>政府采购项目电子交易管理操作指南</w:t>
      </w:r>
      <w:r>
        <w:rPr>
          <w:color w:val="auto"/>
          <w:highlight w:val="none"/>
        </w:rPr>
        <w:t>-</w:t>
      </w:r>
      <w:r>
        <w:rPr>
          <w:rFonts w:hint="eastAsia"/>
          <w:color w:val="auto"/>
          <w:highlight w:val="none"/>
        </w:rPr>
        <w:t>供应商</w:t>
      </w:r>
      <w:r>
        <w:rPr>
          <w:rFonts w:hint="eastAsia" w:ascii="宋体" w:hAnsi="宋体"/>
          <w:color w:val="auto"/>
          <w:szCs w:val="21"/>
          <w:highlight w:val="none"/>
        </w:rPr>
        <w:t>”查看电子竞标具体操作流程。</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陆</w:t>
      </w:r>
      <w:r>
        <w:rPr>
          <w:rFonts w:hint="eastAsia" w:ascii="宋体" w:hAnsi="宋体" w:cs="宋体"/>
          <w:color w:val="auto"/>
          <w:kern w:val="0"/>
          <w:szCs w:val="21"/>
          <w:highlight w:val="none"/>
        </w:rPr>
        <w:t>“政采云”平台，</w:t>
      </w:r>
      <w:r>
        <w:rPr>
          <w:rFonts w:hint="eastAsia" w:ascii="宋体" w:hAnsi="宋体"/>
          <w:color w:val="auto"/>
          <w:szCs w:val="21"/>
          <w:highlight w:val="none"/>
        </w:rPr>
        <w:t>依次进入“服务中心-入驻与配置”中查看CA数字证书办理操作流程。</w:t>
      </w:r>
      <w:r>
        <w:rPr>
          <w:rFonts w:hint="eastAsia" w:ascii="宋体" w:hAnsi="宋体" w:cs="宋体"/>
          <w:bCs/>
          <w:color w:val="auto"/>
          <w:kern w:val="0"/>
          <w:szCs w:val="21"/>
          <w:highlight w:val="none"/>
        </w:rPr>
        <w:t>如在操作过程中遇到问题或者需要技术支持，请致电政采云客服热线：400-881-7190</w:t>
      </w:r>
      <w:r>
        <w:rPr>
          <w:rFonts w:hint="eastAsia" w:ascii="宋体" w:hAnsi="宋体"/>
          <w:color w:val="auto"/>
          <w:szCs w:val="21"/>
          <w:highlight w:val="none"/>
        </w:rPr>
        <w:t>）。</w:t>
      </w:r>
    </w:p>
    <w:p>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（3）CA证书在线解密：首次响应文件开启时，需携带制作响应文件时用来加密的有效数字证书（CA认证）登录“政采云”平台电子开标大厅现场按规定时间对加密的响应文件进行解密，否则后果自负。</w:t>
      </w:r>
    </w:p>
    <w:p>
      <w:pPr>
        <w:widowControl/>
        <w:spacing w:line="360" w:lineRule="auto"/>
        <w:ind w:firstLine="420" w:firstLineChars="200"/>
        <w:jc w:val="left"/>
        <w:rPr>
          <w:rFonts w:ascii="宋体" w:hAnsi="宋体"/>
          <w:bCs/>
          <w:color w:val="auto"/>
          <w:szCs w:val="21"/>
          <w:highlight w:val="none"/>
        </w:rPr>
      </w:pPr>
      <w:r>
        <w:rPr>
          <w:rFonts w:hint="eastAsia" w:ascii="宋体" w:hAnsi="宋体"/>
          <w:color w:val="auto"/>
          <w:szCs w:val="21"/>
          <w:highlight w:val="none"/>
        </w:rPr>
        <w:t>注：1）为确保网上操作合法、有效和安全，请供应商确保在电子竞标过程中能够对相关数据电文进行加密和使用电子签章，妥善保管CA数字证书并使用有效的CA数字证书参与整个采购活动。2）</w:t>
      </w:r>
      <w:r>
        <w:rPr>
          <w:rFonts w:hint="eastAsia" w:ascii="宋体" w:hAnsi="宋体"/>
          <w:bCs/>
          <w:color w:val="auto"/>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政采云”平台将予以拒收。</w:t>
      </w:r>
    </w:p>
    <w:p>
      <w:pPr>
        <w:spacing w:line="360" w:lineRule="auto"/>
        <w:ind w:firstLine="420" w:firstLineChars="200"/>
        <w:rPr>
          <w:rFonts w:ascii="宋体" w:hAnsi="宋体"/>
          <w:color w:val="auto"/>
          <w:szCs w:val="21"/>
          <w:highlight w:val="none"/>
          <w:u w:val="single"/>
        </w:rPr>
      </w:pPr>
      <w:r>
        <w:rPr>
          <w:rFonts w:hint="eastAsia" w:ascii="宋体" w:hAnsi="宋体" w:cs="宋体"/>
          <w:color w:val="auto"/>
          <w:kern w:val="0"/>
          <w:szCs w:val="21"/>
          <w:highlight w:val="none"/>
        </w:rPr>
        <w:t>（4）供应商需要在具备有摄像头及语音功能且互联网网络状况良好的电脑登录“政采云”平台远程开标大厅参与本次磋商，否则后果自负。</w:t>
      </w:r>
    </w:p>
    <w:p>
      <w:pPr>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八、凡对本次采购提出询问，请按</w:t>
      </w:r>
      <w:r>
        <w:rPr>
          <w:rFonts w:ascii="黑体" w:hAnsi="黑体" w:eastAsia="黑体"/>
          <w:b/>
          <w:color w:val="auto"/>
          <w:sz w:val="24"/>
          <w:highlight w:val="none"/>
        </w:rPr>
        <w:t>以下方式</w:t>
      </w:r>
      <w:r>
        <w:rPr>
          <w:rFonts w:hint="eastAsia" w:ascii="黑体" w:hAnsi="黑体" w:eastAsia="黑体"/>
          <w:b/>
          <w:color w:val="auto"/>
          <w:sz w:val="24"/>
          <w:highlight w:val="none"/>
        </w:rPr>
        <w:t>联系。</w:t>
      </w:r>
      <w:bookmarkEnd w:id="46"/>
      <w:bookmarkEnd w:id="47"/>
      <w:bookmarkEnd w:id="48"/>
      <w:bookmarkEnd w:id="49"/>
      <w:bookmarkEnd w:id="50"/>
    </w:p>
    <w:p>
      <w:pPr>
        <w:spacing w:line="360" w:lineRule="auto"/>
        <w:ind w:firstLine="420" w:firstLineChars="200"/>
        <w:rPr>
          <w:rFonts w:ascii="宋体" w:hAnsi="宋体" w:cs="宋体"/>
          <w:color w:val="auto"/>
          <w:kern w:val="0"/>
          <w:szCs w:val="21"/>
          <w:highlight w:val="none"/>
        </w:rPr>
      </w:pPr>
      <w:bookmarkStart w:id="51" w:name="_Toc35393806"/>
      <w:bookmarkStart w:id="52" w:name="_Toc28359019"/>
      <w:bookmarkStart w:id="53" w:name="_Toc35393637"/>
      <w:bookmarkStart w:id="54" w:name="_Toc28359096"/>
      <w:r>
        <w:rPr>
          <w:rFonts w:hint="eastAsia" w:ascii="宋体" w:hAnsi="宋体" w:cs="宋体"/>
          <w:color w:val="auto"/>
          <w:kern w:val="0"/>
          <w:szCs w:val="21"/>
          <w:highlight w:val="none"/>
        </w:rPr>
        <w:t>1.采购人信息</w:t>
      </w:r>
      <w:bookmarkEnd w:id="51"/>
      <w:bookmarkEnd w:id="52"/>
      <w:bookmarkEnd w:id="53"/>
      <w:bookmarkEnd w:id="54"/>
    </w:p>
    <w:bookmarkEnd w:id="4"/>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名    称：</w:t>
      </w:r>
      <w:r>
        <w:rPr>
          <w:rFonts w:hint="eastAsia" w:ascii="宋体" w:hAnsi="宋体"/>
          <w:color w:val="auto"/>
          <w:szCs w:val="21"/>
          <w:highlight w:val="none"/>
          <w:u w:val="single"/>
        </w:rPr>
        <w:t>广西壮族自治区应急管理厅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地址：　广西壮族自治区南宁市良庆区蕾坛路2号 /5300</w:t>
      </w:r>
      <w:r>
        <w:rPr>
          <w:rFonts w:ascii="宋体" w:hAnsi="宋体"/>
          <w:color w:val="auto"/>
          <w:szCs w:val="21"/>
          <w:highlight w:val="none"/>
        </w:rPr>
        <w:t>00</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联系方式：彭雨琦；0771-3372515</w:t>
      </w:r>
    </w:p>
    <w:p>
      <w:pPr>
        <w:spacing w:line="400" w:lineRule="exact"/>
        <w:ind w:firstLine="420" w:firstLineChars="200"/>
        <w:rPr>
          <w:rFonts w:ascii="宋体" w:hAnsi="宋体" w:cs="仿宋"/>
          <w:color w:val="auto"/>
          <w:kern w:val="0"/>
          <w:szCs w:val="21"/>
          <w:highlight w:val="none"/>
        </w:rPr>
      </w:pPr>
      <w:r>
        <w:rPr>
          <w:rFonts w:hint="eastAsia" w:ascii="宋体" w:hAnsi="宋体" w:cs="仿宋"/>
          <w:color w:val="auto"/>
          <w:kern w:val="0"/>
          <w:szCs w:val="21"/>
          <w:highlight w:val="none"/>
        </w:rPr>
        <w:t xml:space="preserve"> 2.采购代理机构信息</w:t>
      </w:r>
    </w:p>
    <w:p>
      <w:pPr>
        <w:spacing w:line="400" w:lineRule="exact"/>
        <w:ind w:firstLine="420" w:firstLineChars="200"/>
        <w:rPr>
          <w:rFonts w:ascii="宋体" w:hAnsi="宋体" w:cs="仿宋"/>
          <w:color w:val="auto"/>
          <w:szCs w:val="21"/>
          <w:highlight w:val="none"/>
        </w:rPr>
      </w:pPr>
      <w:bookmarkStart w:id="55" w:name="_Toc28359021"/>
      <w:bookmarkStart w:id="56" w:name="_Toc28359098"/>
      <w:bookmarkStart w:id="57" w:name="_Toc35393808"/>
      <w:bookmarkStart w:id="58" w:name="_Toc35393639"/>
      <w:r>
        <w:rPr>
          <w:rFonts w:hint="eastAsia" w:ascii="宋体" w:hAnsi="宋体" w:cs="仿宋"/>
          <w:color w:val="auto"/>
          <w:szCs w:val="21"/>
          <w:highlight w:val="none"/>
        </w:rPr>
        <w:t>名称：</w:t>
      </w:r>
      <w:r>
        <w:rPr>
          <w:rFonts w:hint="eastAsia" w:ascii="宋体" w:hAnsi="宋体" w:cs="仿宋"/>
          <w:color w:val="auto"/>
          <w:szCs w:val="21"/>
          <w:highlight w:val="none"/>
          <w:u w:val="single"/>
        </w:rPr>
        <w:t>云之龙咨询集团有限公司　　</w:t>
      </w:r>
    </w:p>
    <w:p>
      <w:pPr>
        <w:spacing w:line="400" w:lineRule="exact"/>
        <w:ind w:firstLine="420" w:firstLineChars="200"/>
        <w:rPr>
          <w:rFonts w:ascii="宋体" w:hAnsi="宋体" w:cs="仿宋"/>
          <w:color w:val="auto"/>
          <w:szCs w:val="21"/>
          <w:highlight w:val="none"/>
        </w:rPr>
      </w:pPr>
      <w:r>
        <w:rPr>
          <w:rFonts w:hint="eastAsia" w:ascii="宋体" w:hAnsi="宋体" w:cs="仿宋"/>
          <w:color w:val="auto"/>
          <w:szCs w:val="21"/>
          <w:highlight w:val="none"/>
        </w:rPr>
        <w:t>地　　址：</w:t>
      </w:r>
      <w:r>
        <w:rPr>
          <w:rFonts w:hint="eastAsia" w:ascii="宋体" w:hAnsi="宋体" w:cs="仿宋"/>
          <w:color w:val="auto"/>
          <w:szCs w:val="21"/>
          <w:highlight w:val="none"/>
          <w:u w:val="single"/>
        </w:rPr>
        <w:t>广西南宁市良庆区云英路15号3号楼云之龙咨询集团大厦6楼/530</w:t>
      </w:r>
      <w:r>
        <w:rPr>
          <w:rFonts w:ascii="宋体" w:hAnsi="宋体" w:cs="仿宋"/>
          <w:color w:val="auto"/>
          <w:szCs w:val="21"/>
          <w:highlight w:val="none"/>
          <w:u w:val="single"/>
        </w:rPr>
        <w:t>201</w:t>
      </w:r>
      <w:r>
        <w:rPr>
          <w:rFonts w:hint="eastAsia" w:ascii="宋体" w:hAnsi="宋体" w:cs="仿宋"/>
          <w:color w:val="auto"/>
          <w:szCs w:val="21"/>
          <w:highlight w:val="none"/>
          <w:u w:val="single"/>
        </w:rPr>
        <w:t>　　</w:t>
      </w:r>
    </w:p>
    <w:p>
      <w:pPr>
        <w:spacing w:line="400" w:lineRule="exact"/>
        <w:ind w:firstLine="420" w:firstLineChars="200"/>
        <w:rPr>
          <w:rFonts w:ascii="宋体" w:hAnsi="宋体" w:cs="仿宋"/>
          <w:color w:val="auto"/>
          <w:szCs w:val="21"/>
          <w:highlight w:val="none"/>
        </w:rPr>
      </w:pPr>
      <w:r>
        <w:rPr>
          <w:rFonts w:hint="eastAsia" w:ascii="宋体" w:hAnsi="宋体" w:cs="仿宋"/>
          <w:color w:val="auto"/>
          <w:szCs w:val="21"/>
          <w:highlight w:val="none"/>
        </w:rPr>
        <w:t>联系电话：0771-2618118、2611889、2611898</w:t>
      </w:r>
    </w:p>
    <w:p>
      <w:pPr>
        <w:spacing w:line="400" w:lineRule="exact"/>
        <w:ind w:firstLine="420" w:firstLineChars="200"/>
        <w:rPr>
          <w:rFonts w:ascii="宋体" w:hAnsi="宋体" w:cs="仿宋"/>
          <w:color w:val="auto"/>
          <w:kern w:val="0"/>
          <w:szCs w:val="21"/>
          <w:highlight w:val="none"/>
        </w:rPr>
      </w:pPr>
      <w:r>
        <w:rPr>
          <w:rFonts w:hint="eastAsia" w:ascii="宋体" w:hAnsi="宋体" w:cs="仿宋"/>
          <w:color w:val="auto"/>
          <w:kern w:val="0"/>
          <w:szCs w:val="21"/>
          <w:highlight w:val="none"/>
        </w:rPr>
        <w:t>3.项目联系方式</w:t>
      </w:r>
      <w:bookmarkEnd w:id="55"/>
      <w:bookmarkEnd w:id="56"/>
      <w:bookmarkEnd w:id="57"/>
      <w:bookmarkEnd w:id="58"/>
    </w:p>
    <w:p>
      <w:pPr>
        <w:spacing w:line="400" w:lineRule="exact"/>
        <w:ind w:firstLine="420" w:firstLineChars="200"/>
        <w:rPr>
          <w:rFonts w:ascii="宋体" w:hAnsi="宋体" w:cs="仿宋"/>
          <w:color w:val="auto"/>
          <w:kern w:val="0"/>
          <w:szCs w:val="21"/>
          <w:highlight w:val="none"/>
        </w:rPr>
      </w:pPr>
      <w:r>
        <w:rPr>
          <w:rFonts w:hint="eastAsia" w:ascii="宋体" w:hAnsi="宋体" w:cs="仿宋"/>
          <w:color w:val="auto"/>
          <w:kern w:val="0"/>
          <w:szCs w:val="21"/>
          <w:highlight w:val="none"/>
        </w:rPr>
        <w:t>项目联系人：</w:t>
      </w:r>
      <w:r>
        <w:rPr>
          <w:rFonts w:hint="eastAsia" w:ascii="宋体" w:hAnsi="宋体" w:cs="宋体"/>
          <w:color w:val="auto"/>
          <w:kern w:val="0"/>
          <w:szCs w:val="21"/>
          <w:highlight w:val="none"/>
        </w:rPr>
        <w:t>唐冰、杨丽敏</w:t>
      </w:r>
    </w:p>
    <w:p>
      <w:pPr>
        <w:spacing w:line="400" w:lineRule="exact"/>
        <w:ind w:firstLine="420" w:firstLineChars="200"/>
        <w:rPr>
          <w:rFonts w:ascii="宋体" w:hAnsi="宋体" w:cs="仿宋"/>
          <w:color w:val="auto"/>
          <w:kern w:val="0"/>
          <w:szCs w:val="21"/>
          <w:highlight w:val="none"/>
        </w:rPr>
      </w:pPr>
      <w:r>
        <w:rPr>
          <w:rFonts w:hint="eastAsia" w:ascii="宋体" w:hAnsi="宋体" w:cs="仿宋"/>
          <w:color w:val="auto"/>
          <w:kern w:val="0"/>
          <w:szCs w:val="21"/>
          <w:highlight w:val="none"/>
        </w:rPr>
        <w:t>电　　话：</w:t>
      </w:r>
      <w:r>
        <w:rPr>
          <w:rFonts w:hint="eastAsia" w:ascii="宋体" w:hAnsi="宋体" w:cs="仿宋"/>
          <w:color w:val="auto"/>
          <w:kern w:val="0"/>
          <w:szCs w:val="21"/>
          <w:highlight w:val="none"/>
          <w:u w:val="single"/>
        </w:rPr>
        <w:t>0771-2618118、2611889、2611898　　</w:t>
      </w:r>
    </w:p>
    <w:p>
      <w:pPr>
        <w:spacing w:line="400" w:lineRule="exact"/>
        <w:jc w:val="center"/>
        <w:rPr>
          <w:color w:val="auto"/>
          <w:highlight w:val="none"/>
        </w:rPr>
      </w:pPr>
      <w:bookmarkStart w:id="59" w:name="_Toc74323457"/>
    </w:p>
    <w:p>
      <w:pPr>
        <w:pStyle w:val="2"/>
        <w:ind w:firstLine="480"/>
        <w:rPr>
          <w:color w:val="auto"/>
          <w:highlight w:val="none"/>
        </w:rPr>
      </w:pPr>
    </w:p>
    <w:p>
      <w:pPr>
        <w:rPr>
          <w:color w:val="auto"/>
          <w:highlight w:val="none"/>
        </w:rPr>
      </w:pPr>
    </w:p>
    <w:p>
      <w:pPr>
        <w:pStyle w:val="2"/>
        <w:ind w:firstLine="480"/>
        <w:rPr>
          <w:color w:val="auto"/>
          <w:highlight w:val="none"/>
        </w:rPr>
      </w:pPr>
    </w:p>
    <w:p>
      <w:pPr>
        <w:rPr>
          <w:color w:val="auto"/>
          <w:highlight w:val="none"/>
        </w:rPr>
      </w:pPr>
    </w:p>
    <w:p>
      <w:pPr>
        <w:pStyle w:val="2"/>
        <w:ind w:firstLine="480"/>
        <w:rPr>
          <w:color w:val="auto"/>
          <w:highlight w:val="none"/>
        </w:rPr>
      </w:pPr>
    </w:p>
    <w:p>
      <w:pPr>
        <w:rPr>
          <w:color w:val="auto"/>
          <w:highlight w:val="none"/>
        </w:rPr>
      </w:pPr>
    </w:p>
    <w:p>
      <w:pPr>
        <w:pStyle w:val="2"/>
        <w:ind w:firstLine="480"/>
        <w:rPr>
          <w:color w:val="auto"/>
          <w:highlight w:val="none"/>
        </w:rPr>
      </w:pPr>
    </w:p>
    <w:p>
      <w:pPr>
        <w:rPr>
          <w:color w:val="auto"/>
          <w:highlight w:val="none"/>
        </w:rPr>
      </w:pPr>
    </w:p>
    <w:p>
      <w:pPr>
        <w:pStyle w:val="2"/>
        <w:ind w:firstLine="480"/>
        <w:rPr>
          <w:color w:val="auto"/>
          <w:highlight w:val="none"/>
        </w:rPr>
      </w:pPr>
    </w:p>
    <w:p>
      <w:pPr>
        <w:rPr>
          <w:color w:val="auto"/>
          <w:highlight w:val="none"/>
        </w:rPr>
      </w:pPr>
    </w:p>
    <w:p>
      <w:pPr>
        <w:pStyle w:val="2"/>
        <w:ind w:firstLine="480"/>
        <w:rPr>
          <w:color w:val="auto"/>
          <w:highlight w:val="none"/>
        </w:rPr>
      </w:pPr>
    </w:p>
    <w:p>
      <w:pPr>
        <w:rPr>
          <w:color w:val="auto"/>
          <w:highlight w:val="none"/>
        </w:rPr>
      </w:pPr>
    </w:p>
    <w:p>
      <w:pPr>
        <w:pStyle w:val="2"/>
        <w:ind w:firstLine="480"/>
        <w:rPr>
          <w:color w:val="auto"/>
          <w:highlight w:val="none"/>
        </w:rPr>
      </w:pPr>
    </w:p>
    <w:p>
      <w:pPr>
        <w:rPr>
          <w:color w:val="auto"/>
          <w:highlight w:val="none"/>
        </w:rPr>
      </w:pPr>
    </w:p>
    <w:p>
      <w:pPr>
        <w:pStyle w:val="2"/>
        <w:ind w:firstLine="480"/>
        <w:rPr>
          <w:color w:val="auto"/>
          <w:highlight w:val="none"/>
        </w:rPr>
      </w:pPr>
    </w:p>
    <w:p>
      <w:pPr>
        <w:rPr>
          <w:color w:val="auto"/>
          <w:highlight w:val="none"/>
        </w:rPr>
      </w:pPr>
    </w:p>
    <w:p>
      <w:pPr>
        <w:pStyle w:val="2"/>
        <w:ind w:firstLine="480"/>
        <w:rPr>
          <w:color w:val="auto"/>
          <w:highlight w:val="none"/>
        </w:rPr>
      </w:pPr>
    </w:p>
    <w:p>
      <w:pPr>
        <w:rPr>
          <w:color w:val="auto"/>
          <w:highlight w:val="none"/>
        </w:rPr>
      </w:pPr>
    </w:p>
    <w:p>
      <w:pPr>
        <w:pStyle w:val="2"/>
        <w:ind w:firstLine="480"/>
        <w:rPr>
          <w:color w:val="auto"/>
          <w:highlight w:val="none"/>
        </w:rPr>
      </w:pPr>
    </w:p>
    <w:p>
      <w:pPr>
        <w:pStyle w:val="3"/>
        <w:jc w:val="center"/>
        <w:rPr>
          <w:color w:val="auto"/>
          <w:highlight w:val="none"/>
        </w:rPr>
      </w:pPr>
      <w:r>
        <w:rPr>
          <w:rFonts w:hint="eastAsia"/>
          <w:color w:val="auto"/>
          <w:highlight w:val="none"/>
        </w:rPr>
        <w:t>第二章供应商须知</w:t>
      </w:r>
      <w:bookmarkEnd w:id="59"/>
    </w:p>
    <w:p>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供应商须知前附表</w:t>
      </w:r>
    </w:p>
    <w:p>
      <w:pPr>
        <w:spacing w:line="400" w:lineRule="exact"/>
        <w:jc w:val="center"/>
        <w:rPr>
          <w:rFonts w:ascii="宋体" w:hAnsi="宋体"/>
          <w:b/>
          <w:color w:val="auto"/>
          <w:sz w:val="32"/>
          <w:szCs w:val="32"/>
          <w:highlight w:val="none"/>
        </w:rPr>
      </w:pPr>
    </w:p>
    <w:tbl>
      <w:tblPr>
        <w:tblStyle w:val="25"/>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7912" w:type="dxa"/>
          </w:tcPr>
          <w:p>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7912" w:type="dxa"/>
            <w:vAlign w:val="center"/>
          </w:tcPr>
          <w:p>
            <w:pPr>
              <w:spacing w:line="360" w:lineRule="auto"/>
              <w:rPr>
                <w:rFonts w:ascii="宋体" w:hAnsi="宋体"/>
                <w:color w:val="auto"/>
                <w:szCs w:val="21"/>
                <w:highlight w:val="none"/>
              </w:rPr>
            </w:pPr>
            <w:r>
              <w:rPr>
                <w:rFonts w:hint="eastAsia" w:ascii="宋体" w:hAnsi="宋体" w:cs="宋体"/>
                <w:bCs/>
                <w:color w:val="auto"/>
                <w:szCs w:val="21"/>
                <w:highlight w:val="none"/>
              </w:rPr>
              <w:t>1.供应商的资格条件</w:t>
            </w:r>
            <w:r>
              <w:rPr>
                <w:rFonts w:hint="eastAsia" w:ascii="宋体" w:hAnsi="宋体" w:cs="宋体"/>
                <w:color w:val="auto"/>
                <w:szCs w:val="21"/>
                <w:highlight w:val="none"/>
              </w:rPr>
              <w:t>：详见竞争性磋商公告</w:t>
            </w:r>
          </w:p>
          <w:p>
            <w:pPr>
              <w:spacing w:line="360" w:lineRule="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供应商</w:t>
            </w:r>
            <w:r>
              <w:rPr>
                <w:rFonts w:hint="eastAsia" w:ascii="宋体" w:hAnsi="宋体" w:cs="宋体"/>
                <w:color w:val="auto"/>
                <w:szCs w:val="21"/>
                <w:highlight w:val="none"/>
              </w:rPr>
              <w:t>出现下列情形之一的，不得参加政府采购活动：</w:t>
            </w:r>
          </w:p>
          <w:p>
            <w:pPr>
              <w:spacing w:line="360" w:lineRule="auto"/>
              <w:rPr>
                <w:rFonts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spacing w:line="360" w:lineRule="auto"/>
              <w:rPr>
                <w:rFonts w:ascii="宋体" w:hAnsi="宋体" w:cs="宋体"/>
                <w:color w:val="auto"/>
                <w:szCs w:val="21"/>
                <w:highlight w:val="none"/>
              </w:rPr>
            </w:pPr>
            <w:r>
              <w:rPr>
                <w:rFonts w:hint="eastAsia" w:ascii="宋体" w:hAnsi="宋体" w:cs="宋体"/>
                <w:color w:val="auto"/>
                <w:szCs w:val="21"/>
                <w:highlight w:val="none"/>
              </w:rPr>
              <w:t>2.2对在“信用中国”网站（www.creditchina.gov.cn）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5.1</w:t>
            </w:r>
          </w:p>
        </w:tc>
        <w:tc>
          <w:tcPr>
            <w:tcW w:w="7912" w:type="dxa"/>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是否接受联合体竞标: 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.2</w:t>
            </w:r>
          </w:p>
        </w:tc>
        <w:tc>
          <w:tcPr>
            <w:tcW w:w="7912" w:type="dxa"/>
            <w:vAlign w:val="center"/>
          </w:tcPr>
          <w:p>
            <w:pPr>
              <w:spacing w:line="360" w:lineRule="auto"/>
              <w:rPr>
                <w:rFonts w:ascii="宋体" w:hAnsi="宋体" w:cs="宋体"/>
                <w:color w:val="auto"/>
                <w:szCs w:val="21"/>
                <w:highlight w:val="none"/>
              </w:rPr>
            </w:pPr>
            <w:r>
              <w:rPr>
                <w:rFonts w:hint="eastAsia" w:ascii="宋体" w:hAnsi="宋体"/>
                <w:color w:val="auto"/>
                <w:szCs w:val="21"/>
                <w:highlight w:val="none"/>
              </w:rPr>
              <w:t>如接受联合体竞标，联合体竞标要求如下：</w:t>
            </w:r>
          </w:p>
          <w:p>
            <w:pPr>
              <w:spacing w:line="360" w:lineRule="auto"/>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w:t>
            </w:r>
            <w:r>
              <w:rPr>
                <w:rFonts w:hint="eastAsia" w:ascii="宋体" w:hAnsi="宋体" w:cs="宋体"/>
                <w:color w:val="auto"/>
                <w:szCs w:val="21"/>
                <w:highlight w:val="none"/>
              </w:rPr>
              <w:t>两个以上供应商可以组成一个竞标联合体，以一个供应商的身份共同参加竞标。联合体竞标的，须提供《联合体竞标协议书》（格式后附）。</w:t>
            </w:r>
          </w:p>
          <w:p>
            <w:pPr>
              <w:spacing w:line="360" w:lineRule="auto"/>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磋商文件规定的特定条件。</w:t>
            </w:r>
          </w:p>
          <w:p>
            <w:pPr>
              <w:spacing w:line="360" w:lineRule="auto"/>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w:t>
            </w:r>
            <w:r>
              <w:rPr>
                <w:rFonts w:hint="eastAsia" w:ascii="宋体" w:hAnsi="宋体" w:cs="宋体"/>
                <w:color w:val="auto"/>
                <w:szCs w:val="21"/>
                <w:highlight w:val="none"/>
              </w:rPr>
              <w:t>联合体各方之间必须签订联合竞标协议，协议书必须明确主体方（或者牵头方）并明确约定联合体各方承担的工作和相应的责任（</w:t>
            </w:r>
            <w:r>
              <w:rPr>
                <w:rFonts w:hint="eastAsia" w:ascii="宋体" w:hAnsi="宋体" w:cs="宋体"/>
                <w:b/>
                <w:color w:val="auto"/>
                <w:szCs w:val="21"/>
                <w:highlight w:val="none"/>
              </w:rPr>
              <w:t>各方承担责任与义务的分工必须符合采购需求，否则，联合体竞标无效</w:t>
            </w:r>
            <w:r>
              <w:rPr>
                <w:rFonts w:hint="eastAsia" w:ascii="宋体" w:hAnsi="宋体" w:cs="宋体"/>
                <w:color w:val="auto"/>
                <w:szCs w:val="21"/>
                <w:highlight w:val="none"/>
              </w:rPr>
              <w:t>），并将联合竞标协议放入响应文件。联合体各方必须共同与采购人签订采购合同，就采购合同约定的事项对采购人承担连带责任。</w:t>
            </w:r>
          </w:p>
          <w:p>
            <w:pPr>
              <w:spacing w:line="360" w:lineRule="auto"/>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w:t>
            </w:r>
            <w:r>
              <w:rPr>
                <w:rFonts w:hint="eastAsia" w:ascii="宋体" w:hAnsi="宋体" w:cs="宋体"/>
                <w:color w:val="auto"/>
                <w:szCs w:val="21"/>
                <w:highlight w:val="none"/>
              </w:rPr>
              <w:t>以联合体形式参加政府采购活动的，联合体各方不得再单独参加或者与其他供应商另外组成联合体参加同一合同项下的政府采购活动。</w:t>
            </w:r>
          </w:p>
          <w:p>
            <w:pPr>
              <w:spacing w:line="360" w:lineRule="auto"/>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w:t>
            </w:r>
            <w:r>
              <w:rPr>
                <w:rFonts w:hint="eastAsia" w:ascii="宋体" w:hAnsi="宋体" w:cs="宋体"/>
                <w:color w:val="auto"/>
                <w:szCs w:val="21"/>
                <w:highlight w:val="none"/>
              </w:rPr>
              <w:t>联合体中有同类资质的供应商按照联合体分工承担相同工作的，应当按照资质等级较低的供应商确定资质等级。</w:t>
            </w:r>
          </w:p>
          <w:p>
            <w:pPr>
              <w:spacing w:line="360" w:lineRule="auto"/>
              <w:rPr>
                <w:rFonts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w:t>
            </w:r>
            <w:r>
              <w:rPr>
                <w:rFonts w:hint="eastAsia" w:ascii="宋体" w:hAnsi="宋体" w:cs="宋体"/>
                <w:color w:val="auto"/>
                <w:szCs w:val="21"/>
                <w:highlight w:val="none"/>
              </w:rPr>
              <w:t>联合体竞标业绩、履约能力按照联合体各方中较高的一方认定并计算（磋商文件另有规定的除外）。</w:t>
            </w:r>
          </w:p>
          <w:p>
            <w:pPr>
              <w:spacing w:line="360" w:lineRule="auto"/>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w:t>
            </w:r>
            <w:r>
              <w:rPr>
                <w:rFonts w:hint="eastAsia" w:ascii="宋体" w:hAnsi="宋体" w:cs="宋体"/>
                <w:color w:val="auto"/>
                <w:szCs w:val="21"/>
                <w:highlight w:val="none"/>
              </w:rPr>
              <w:t>供应商为联合体的，可以由联合体中的一方或者多方共同交纳磋商保证金，其交纳的保证金对联合体各方均具有约束力。</w:t>
            </w:r>
          </w:p>
          <w:p>
            <w:pPr>
              <w:spacing w:line="360" w:lineRule="auto"/>
              <w:rPr>
                <w:rFonts w:ascii="宋体" w:hAnsi="宋体" w:cs="宋体"/>
                <w:color w:val="auto"/>
                <w:szCs w:val="21"/>
                <w:highlight w:val="none"/>
              </w:rPr>
            </w:pPr>
            <w:r>
              <w:rPr>
                <w:rFonts w:hint="eastAsia" w:ascii="宋体" w:hAnsi="宋体" w:cs="宋体"/>
                <w:color w:val="auto"/>
                <w:szCs w:val="21"/>
                <w:highlight w:val="none"/>
              </w:rPr>
              <w:t>8</w:t>
            </w:r>
            <w:r>
              <w:rPr>
                <w:rFonts w:ascii="宋体" w:hAnsi="宋体" w:cs="宋体"/>
                <w:color w:val="auto"/>
                <w:szCs w:val="21"/>
                <w:highlight w:val="none"/>
              </w:rPr>
              <w:t>.</w:t>
            </w:r>
            <w:r>
              <w:rPr>
                <w:rFonts w:hint="eastAsia" w:ascii="宋体" w:hAnsi="宋体" w:cs="宋体"/>
                <w:color w:val="auto"/>
                <w:szCs w:val="21"/>
                <w:highlight w:val="none"/>
              </w:rPr>
              <w:t>联合体各方均应按照磋商文件的规定提交资格证明文件。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6.2</w:t>
            </w:r>
          </w:p>
        </w:tc>
        <w:tc>
          <w:tcPr>
            <w:tcW w:w="7912" w:type="dxa"/>
            <w:vAlign w:val="center"/>
          </w:tcPr>
          <w:p>
            <w:pPr>
              <w:pStyle w:val="11"/>
              <w:spacing w:line="360" w:lineRule="auto"/>
              <w:rPr>
                <w:rFonts w:ascii="宋体" w:hAnsi="宋体"/>
                <w:color w:val="auto"/>
                <w:szCs w:val="21"/>
                <w:highlight w:val="none"/>
              </w:rPr>
            </w:pPr>
            <w:r>
              <w:rPr>
                <w:rFonts w:hint="eastAsia" w:ascii="宋体" w:hAnsi="宋体"/>
                <w:color w:val="auto"/>
                <w:szCs w:val="21"/>
                <w:highlight w:val="none"/>
              </w:rPr>
              <w:t>√不允许分包</w:t>
            </w:r>
          </w:p>
          <w:p>
            <w:pPr>
              <w:pStyle w:val="11"/>
              <w:spacing w:line="360" w:lineRule="auto"/>
              <w:rPr>
                <w:rFonts w:ascii="宋体" w:hAnsi="宋体"/>
                <w:color w:val="auto"/>
                <w:szCs w:val="21"/>
                <w:highlight w:val="none"/>
              </w:rPr>
            </w:pPr>
            <w:r>
              <w:rPr>
                <w:rFonts w:hint="eastAsia" w:ascii="宋体" w:hAnsi="宋体"/>
                <w:color w:val="auto"/>
                <w:szCs w:val="21"/>
                <w:highlight w:val="none"/>
              </w:rPr>
              <w:t>□允许分包</w:t>
            </w:r>
          </w:p>
          <w:p>
            <w:pPr>
              <w:pStyle w:val="11"/>
              <w:spacing w:line="360" w:lineRule="auto"/>
              <w:rPr>
                <w:rFonts w:ascii="宋体" w:hAnsi="宋体"/>
                <w:color w:val="auto"/>
                <w:szCs w:val="21"/>
                <w:highlight w:val="none"/>
                <w:u w:val="single"/>
              </w:rPr>
            </w:pPr>
            <w:r>
              <w:rPr>
                <w:rFonts w:hint="eastAsia" w:ascii="宋体" w:hAnsi="宋体"/>
                <w:color w:val="auto"/>
                <w:szCs w:val="21"/>
                <w:highlight w:val="none"/>
              </w:rPr>
              <w:t>分包内容：</w:t>
            </w:r>
            <w:r>
              <w:rPr>
                <w:rFonts w:hint="eastAsia" w:ascii="宋体" w:hAnsi="宋体"/>
                <w:color w:val="auto"/>
                <w:szCs w:val="21"/>
                <w:highlight w:val="none"/>
                <w:u w:val="single"/>
              </w:rPr>
              <w:t xml:space="preserve">                                     。</w:t>
            </w:r>
          </w:p>
          <w:p>
            <w:pPr>
              <w:pStyle w:val="11"/>
              <w:spacing w:line="360" w:lineRule="auto"/>
              <w:rPr>
                <w:rFonts w:ascii="宋体" w:hAnsi="宋体" w:cs="宋体"/>
                <w:color w:val="auto"/>
                <w:szCs w:val="21"/>
                <w:highlight w:val="none"/>
              </w:rPr>
            </w:pPr>
            <w:r>
              <w:rPr>
                <w:rFonts w:hint="eastAsia" w:ascii="宋体" w:hAnsi="宋体"/>
                <w:color w:val="auto"/>
                <w:szCs w:val="21"/>
                <w:highlight w:val="none"/>
              </w:rPr>
              <w:t>分包金额或者比例：</w:t>
            </w:r>
            <w:r>
              <w:rPr>
                <w:rFonts w:hint="eastAsia" w:ascii="宋体" w:hAnsi="宋体"/>
                <w:color w:val="auto"/>
                <w:szCs w:val="21"/>
                <w:highlight w:val="none"/>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p>
        </w:tc>
        <w:tc>
          <w:tcPr>
            <w:tcW w:w="7912" w:type="dxa"/>
            <w:vAlign w:val="center"/>
          </w:tcPr>
          <w:p>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资格证明文件</w:t>
            </w:r>
          </w:p>
          <w:p>
            <w:pPr>
              <w:pStyle w:val="11"/>
              <w:spacing w:line="360" w:lineRule="auto"/>
              <w:rPr>
                <w:rFonts w:ascii="宋体" w:hAnsi="宋体"/>
                <w:color w:val="auto"/>
                <w:szCs w:val="21"/>
                <w:highlight w:val="none"/>
              </w:rPr>
            </w:pPr>
            <w:r>
              <w:rPr>
                <w:rFonts w:hint="eastAsia" w:ascii="宋体" w:hAnsi="宋体" w:cs="宋体"/>
                <w:color w:val="auto"/>
                <w:szCs w:val="21"/>
                <w:highlight w:val="none"/>
              </w:rPr>
              <w:t>1.供应商为法人或者其他组织的提供其营业执照等证明文件（如营业执照或者事业单位法人证书或者执业许可证或者登记证书等），供应商为自然人的提供其身份证复印件；（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2. 供应商依法缴纳税收的相关材料（</w:t>
            </w:r>
            <w:r>
              <w:rPr>
                <w:rFonts w:ascii="宋体" w:hAnsi="宋体" w:cs="宋体"/>
                <w:color w:val="auto"/>
                <w:szCs w:val="21"/>
                <w:highlight w:val="none"/>
                <w:u w:val="single"/>
              </w:rPr>
              <w:t>2021</w:t>
            </w:r>
            <w:r>
              <w:rPr>
                <w:rFonts w:hint="eastAsia" w:ascii="宋体" w:hAnsi="宋体" w:cs="宋体"/>
                <w:color w:val="auto"/>
                <w:szCs w:val="21"/>
                <w:highlight w:val="none"/>
              </w:rPr>
              <w:t>年</w:t>
            </w:r>
            <w:r>
              <w:rPr>
                <w:rFonts w:ascii="宋体" w:hAnsi="宋体" w:cs="宋体"/>
                <w:color w:val="auto"/>
                <w:szCs w:val="21"/>
                <w:highlight w:val="none"/>
                <w:u w:val="single"/>
              </w:rPr>
              <w:t>7</w:t>
            </w:r>
            <w:r>
              <w:rPr>
                <w:rFonts w:hint="eastAsia" w:ascii="宋体" w:hAnsi="宋体" w:cs="宋体"/>
                <w:color w:val="auto"/>
                <w:szCs w:val="21"/>
                <w:highlight w:val="none"/>
              </w:rPr>
              <w:t>月至</w:t>
            </w:r>
            <w:r>
              <w:rPr>
                <w:rFonts w:ascii="宋体" w:hAnsi="宋体" w:cs="宋体"/>
                <w:color w:val="auto"/>
                <w:szCs w:val="21"/>
                <w:highlight w:val="none"/>
                <w:u w:val="single"/>
              </w:rPr>
              <w:t>2022</w:t>
            </w:r>
            <w:r>
              <w:rPr>
                <w:rFonts w:hint="eastAsia" w:ascii="宋体" w:hAnsi="宋体" w:cs="宋体"/>
                <w:color w:val="auto"/>
                <w:szCs w:val="21"/>
                <w:highlight w:val="none"/>
              </w:rPr>
              <w:t>年</w:t>
            </w:r>
            <w:r>
              <w:rPr>
                <w:rFonts w:ascii="宋体" w:hAnsi="宋体" w:cs="宋体"/>
                <w:color w:val="auto"/>
                <w:szCs w:val="21"/>
                <w:highlight w:val="none"/>
                <w:u w:val="single"/>
              </w:rPr>
              <w:t>5</w:t>
            </w:r>
            <w:r>
              <w:rPr>
                <w:rFonts w:hint="eastAsia" w:ascii="宋体" w:hAnsi="宋体" w:cs="宋体"/>
                <w:color w:val="auto"/>
                <w:szCs w:val="21"/>
                <w:highlight w:val="none"/>
              </w:rPr>
              <w:t>月内连续</w:t>
            </w:r>
            <w:r>
              <w:rPr>
                <w:rFonts w:ascii="宋体" w:hAnsi="宋体" w:cs="宋体"/>
                <w:color w:val="auto"/>
                <w:szCs w:val="21"/>
                <w:highlight w:val="none"/>
                <w:u w:val="single"/>
              </w:rPr>
              <w:t>3</w:t>
            </w:r>
            <w:r>
              <w:rPr>
                <w:rFonts w:hint="eastAsia" w:ascii="宋体" w:hAnsi="宋体" w:cs="宋体"/>
                <w:color w:val="auto"/>
                <w:szCs w:val="21"/>
                <w:highlight w:val="none"/>
              </w:rPr>
              <w:t>个月的依法缴纳税收的凭据复印件；</w:t>
            </w:r>
            <w:r>
              <w:rPr>
                <w:rFonts w:hint="eastAsia"/>
                <w:color w:val="auto"/>
                <w:highlight w:val="none"/>
              </w:rPr>
              <w:t>依法免税的，必须提供相应文件证明其依法免税。</w:t>
            </w:r>
            <w:r>
              <w:rPr>
                <w:rFonts w:hint="eastAsia" w:ascii="宋体" w:hAnsi="宋体" w:cs="宋体"/>
                <w:color w:val="auto"/>
                <w:szCs w:val="21"/>
                <w:highlight w:val="none"/>
              </w:rPr>
              <w:t>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到响应文件提交截止时间止不足要求月数的，只需提供从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的依法缴纳税收</w:t>
            </w:r>
            <w:r>
              <w:rPr>
                <w:rFonts w:hint="eastAsia"/>
                <w:color w:val="auto"/>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3. 供应商依法缴纳社会保障资金的相关材料[</w:t>
            </w:r>
            <w:r>
              <w:rPr>
                <w:rFonts w:ascii="宋体" w:hAnsi="宋体" w:cs="宋体"/>
                <w:color w:val="auto"/>
                <w:szCs w:val="21"/>
                <w:highlight w:val="none"/>
                <w:u w:val="single"/>
              </w:rPr>
              <w:t>2021</w:t>
            </w:r>
            <w:r>
              <w:rPr>
                <w:rFonts w:hint="eastAsia" w:ascii="宋体" w:hAnsi="宋体" w:cs="宋体"/>
                <w:color w:val="auto"/>
                <w:szCs w:val="21"/>
                <w:highlight w:val="none"/>
              </w:rPr>
              <w:t>年</w:t>
            </w:r>
            <w:r>
              <w:rPr>
                <w:rFonts w:ascii="宋体" w:hAnsi="宋体" w:cs="宋体"/>
                <w:color w:val="auto"/>
                <w:szCs w:val="21"/>
                <w:highlight w:val="none"/>
                <w:u w:val="single"/>
              </w:rPr>
              <w:t>7</w:t>
            </w:r>
            <w:r>
              <w:rPr>
                <w:rFonts w:hint="eastAsia" w:ascii="宋体" w:hAnsi="宋体" w:cs="宋体"/>
                <w:color w:val="auto"/>
                <w:szCs w:val="21"/>
                <w:highlight w:val="none"/>
              </w:rPr>
              <w:t>月至</w:t>
            </w:r>
            <w:r>
              <w:rPr>
                <w:rFonts w:ascii="宋体" w:hAnsi="宋体" w:cs="宋体"/>
                <w:color w:val="auto"/>
                <w:szCs w:val="21"/>
                <w:highlight w:val="none"/>
                <w:u w:val="single"/>
              </w:rPr>
              <w:t>2022</w:t>
            </w:r>
            <w:r>
              <w:rPr>
                <w:rFonts w:hint="eastAsia" w:ascii="宋体" w:hAnsi="宋体" w:cs="宋体"/>
                <w:color w:val="auto"/>
                <w:szCs w:val="21"/>
                <w:highlight w:val="none"/>
              </w:rPr>
              <w:t>年</w:t>
            </w:r>
            <w:r>
              <w:rPr>
                <w:rFonts w:ascii="宋体" w:hAnsi="宋体" w:cs="宋体"/>
                <w:color w:val="auto"/>
                <w:szCs w:val="21"/>
                <w:highlight w:val="none"/>
                <w:u w:val="single"/>
              </w:rPr>
              <w:t>5</w:t>
            </w:r>
            <w:r>
              <w:rPr>
                <w:rFonts w:hint="eastAsia" w:ascii="宋体" w:hAnsi="宋体" w:cs="宋体"/>
                <w:color w:val="auto"/>
                <w:szCs w:val="21"/>
                <w:highlight w:val="none"/>
              </w:rPr>
              <w:t>月连续</w:t>
            </w:r>
            <w:r>
              <w:rPr>
                <w:rFonts w:ascii="宋体" w:hAnsi="宋体" w:cs="宋体"/>
                <w:color w:val="auto"/>
                <w:szCs w:val="21"/>
                <w:highlight w:val="none"/>
                <w:u w:val="single"/>
              </w:rPr>
              <w:t>3</w:t>
            </w:r>
            <w:r>
              <w:rPr>
                <w:rFonts w:hint="eastAsia" w:ascii="宋体" w:hAnsi="宋体" w:cs="宋体"/>
                <w:color w:val="auto"/>
                <w:szCs w:val="21"/>
                <w:highlight w:val="none"/>
              </w:rPr>
              <w:t>个月的依法缴纳社会保障资金的缴费凭证（专用收据或者社会保险缴纳清单）复印件；</w:t>
            </w:r>
            <w:r>
              <w:rPr>
                <w:rFonts w:hint="eastAsia"/>
                <w:color w:val="auto"/>
                <w:highlight w:val="none"/>
              </w:rPr>
              <w:t>依法不需要缴纳社会保障资金的，必须提供相应文件证明不需要缴纳社会保障资金。</w:t>
            </w:r>
            <w:r>
              <w:rPr>
                <w:rFonts w:hint="eastAsia" w:ascii="宋体" w:hAnsi="宋体" w:cs="宋体"/>
                <w:color w:val="auto"/>
                <w:szCs w:val="21"/>
                <w:highlight w:val="none"/>
              </w:rPr>
              <w:t>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到响应文件提交截止时间止不足要求月数的只需提供从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的依法缴纳社会保障资金的</w:t>
            </w:r>
            <w:r>
              <w:rPr>
                <w:rFonts w:hint="eastAsia"/>
                <w:color w:val="auto"/>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pacing w:line="360" w:lineRule="auto"/>
              <w:contextualSpacing/>
              <w:jc w:val="left"/>
              <w:rPr>
                <w:rFonts w:ascii="宋体" w:hAnsi="宋体" w:cs="宋体"/>
                <w:b/>
                <w:color w:val="auto"/>
                <w:szCs w:val="21"/>
                <w:highlight w:val="none"/>
              </w:rPr>
            </w:pPr>
            <w:r>
              <w:rPr>
                <w:rFonts w:hint="eastAsia" w:ascii="宋体" w:hAnsi="宋体" w:cs="宋体"/>
                <w:color w:val="auto"/>
                <w:szCs w:val="21"/>
                <w:highlight w:val="none"/>
              </w:rPr>
              <w:t>4. 供应商</w:t>
            </w:r>
            <w:r>
              <w:rPr>
                <w:rFonts w:hint="eastAsia"/>
                <w:color w:val="auto"/>
                <w:szCs w:val="21"/>
                <w:highlight w:val="none"/>
              </w:rPr>
              <w:t>财务状况报告（</w:t>
            </w:r>
            <w:r>
              <w:rPr>
                <w:color w:val="auto"/>
                <w:szCs w:val="21"/>
                <w:highlight w:val="none"/>
                <w:u w:val="single"/>
              </w:rPr>
              <w:t xml:space="preserve"> 2020</w:t>
            </w:r>
            <w:r>
              <w:rPr>
                <w:rFonts w:hint="eastAsia"/>
                <w:color w:val="auto"/>
                <w:szCs w:val="21"/>
                <w:highlight w:val="none"/>
                <w:u w:val="single"/>
              </w:rPr>
              <w:t>或2</w:t>
            </w:r>
            <w:r>
              <w:rPr>
                <w:color w:val="auto"/>
                <w:szCs w:val="21"/>
                <w:highlight w:val="none"/>
                <w:u w:val="single"/>
              </w:rPr>
              <w:t>021</w:t>
            </w:r>
            <w:r>
              <w:rPr>
                <w:rFonts w:hint="eastAsia"/>
                <w:color w:val="auto"/>
                <w:szCs w:val="21"/>
                <w:highlight w:val="none"/>
              </w:rPr>
              <w:t>年度财务报表复印件，或者银行出具的资信证明，或者中国人民银行征信中心出具的信用报告（企业竞标的提供企业信用报告，自然人竞标的提供个人信用报告）；供应商属于</w:t>
            </w:r>
            <w:r>
              <w:rPr>
                <w:rFonts w:hint="eastAsia"/>
                <w:color w:val="auto"/>
                <w:highlight w:val="none"/>
              </w:rPr>
              <w:t>成立时间</w:t>
            </w:r>
            <w:r>
              <w:rPr>
                <w:rFonts w:hint="eastAsia"/>
                <w:color w:val="auto"/>
                <w:kern w:val="0"/>
                <w:highlight w:val="none"/>
              </w:rPr>
              <w:t>在规定年度之后</w:t>
            </w:r>
            <w:r>
              <w:rPr>
                <w:rFonts w:hint="eastAsia"/>
                <w:color w:val="auto"/>
                <w:highlight w:val="none"/>
              </w:rPr>
              <w:t>的</w:t>
            </w:r>
            <w:r>
              <w:rPr>
                <w:rFonts w:hint="eastAsia"/>
                <w:color w:val="auto"/>
                <w:szCs w:val="21"/>
                <w:highlight w:val="none"/>
              </w:rPr>
              <w:t>法人或其他组织</w:t>
            </w:r>
            <w:r>
              <w:rPr>
                <w:rFonts w:hint="eastAsia"/>
                <w:color w:val="auto"/>
                <w:highlight w:val="none"/>
              </w:rPr>
              <w:t>，需提供成立之日起至响应文件提交截止时间前的月报表</w:t>
            </w:r>
            <w:r>
              <w:rPr>
                <w:rFonts w:hint="eastAsia"/>
                <w:color w:val="auto"/>
                <w:szCs w:val="21"/>
                <w:highlight w:val="none"/>
              </w:rPr>
              <w:t>或银行出具的资信证明或者中国人民银行征信中心出具的企业信用报告；资信证明应在有效期内，未注明有效期的，银行出具时间至响应文件提交截止时间不超过一年）</w:t>
            </w:r>
            <w:r>
              <w:rPr>
                <w:rFonts w:hint="eastAsia" w:ascii="宋体" w:hAnsi="宋体" w:cs="宋体"/>
                <w:color w:val="auto"/>
                <w:szCs w:val="21"/>
                <w:highlight w:val="none"/>
              </w:rPr>
              <w:t>；</w:t>
            </w:r>
            <w:r>
              <w:rPr>
                <w:rFonts w:hint="eastAsia" w:ascii="宋体" w:hAnsi="宋体" w:cs="宋体"/>
                <w:bCs/>
                <w:color w:val="auto"/>
                <w:szCs w:val="21"/>
                <w:highlight w:val="none"/>
              </w:rPr>
              <w:t>（</w:t>
            </w:r>
            <w:r>
              <w:rPr>
                <w:rFonts w:hint="eastAsia" w:ascii="宋体" w:hAnsi="宋体"/>
                <w:b/>
                <w:color w:val="auto"/>
                <w:szCs w:val="21"/>
                <w:highlight w:val="none"/>
              </w:rPr>
              <w:t>必须提供</w:t>
            </w:r>
            <w:r>
              <w:rPr>
                <w:rFonts w:hint="eastAsia" w:ascii="宋体" w:hAnsi="宋体" w:cs="宋体"/>
                <w:b/>
                <w:color w:val="auto"/>
                <w:szCs w:val="21"/>
                <w:highlight w:val="none"/>
              </w:rPr>
              <w:t>，否则响应文件按无效响应处理</w:t>
            </w:r>
            <w:r>
              <w:rPr>
                <w:rFonts w:hint="eastAsia" w:ascii="宋体" w:hAnsi="宋体" w:cs="宋体"/>
                <w:bCs/>
                <w:color w:val="auto"/>
                <w:szCs w:val="21"/>
                <w:highlight w:val="none"/>
              </w:rPr>
              <w:t>）</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5.供应商直接控股、管理关系信息表（格式后附）；（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6.竞标声明（格式后附）；（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napToGrid w:val="0"/>
              <w:spacing w:line="360" w:lineRule="auto"/>
              <w:jc w:val="left"/>
              <w:rPr>
                <w:rFonts w:ascii="宋体" w:hAnsi="宋体" w:cs="宋体"/>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rPr>
              <w:t>.联合体竞标协议书（格式后附）；（</w:t>
            </w:r>
            <w:r>
              <w:rPr>
                <w:rFonts w:hint="eastAsia" w:ascii="宋体" w:hAnsi="宋体" w:cs="宋体"/>
                <w:b/>
                <w:color w:val="auto"/>
                <w:szCs w:val="21"/>
                <w:highlight w:val="none"/>
              </w:rPr>
              <w:t>联合体竞标时必须提供，否则响应文件按无效响应处理</w:t>
            </w:r>
            <w:r>
              <w:rPr>
                <w:rFonts w:hint="eastAsia" w:ascii="宋体" w:hAnsi="宋体" w:cs="宋体"/>
                <w:color w:val="auto"/>
                <w:szCs w:val="21"/>
                <w:highlight w:val="none"/>
              </w:rPr>
              <w:t>）</w:t>
            </w:r>
          </w:p>
          <w:p>
            <w:pPr>
              <w:snapToGrid w:val="0"/>
              <w:spacing w:line="360" w:lineRule="auto"/>
              <w:jc w:val="left"/>
              <w:rPr>
                <w:rFonts w:ascii="宋体" w:hAnsi="宋体" w:cs="宋体"/>
                <w:color w:val="auto"/>
                <w:szCs w:val="21"/>
                <w:highlight w:val="none"/>
              </w:rPr>
            </w:pPr>
            <w:r>
              <w:rPr>
                <w:rFonts w:ascii="宋体" w:hAnsi="宋体" w:cs="宋体"/>
                <w:color w:val="auto"/>
                <w:szCs w:val="21"/>
                <w:highlight w:val="none"/>
              </w:rPr>
              <w:t>8</w:t>
            </w:r>
            <w:r>
              <w:rPr>
                <w:rFonts w:hint="eastAsia" w:ascii="宋体" w:hAnsi="宋体" w:cs="宋体"/>
                <w:color w:val="auto"/>
                <w:szCs w:val="21"/>
                <w:highlight w:val="none"/>
              </w:rPr>
              <w:t>.除磋商文件规定必须提供以外，供应商认为需要提供的其他证明材料；</w:t>
            </w:r>
          </w:p>
          <w:p>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注：</w:t>
            </w:r>
          </w:p>
          <w:p>
            <w:pPr>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1.以上标明“必须提供”的材料属于复印件的，必须加盖供应商</w:t>
            </w:r>
            <w:r>
              <w:rPr>
                <w:rFonts w:hint="eastAsia"/>
                <w:b/>
                <w:color w:val="auto"/>
                <w:highlight w:val="none"/>
              </w:rPr>
              <w:t>电子签章</w:t>
            </w:r>
            <w:r>
              <w:rPr>
                <w:rFonts w:hint="eastAsia" w:ascii="宋体" w:hAnsi="宋体" w:cs="宋体"/>
                <w:b/>
                <w:color w:val="auto"/>
                <w:szCs w:val="21"/>
                <w:highlight w:val="none"/>
              </w:rPr>
              <w:t>，否则响应文件按无效处理。</w:t>
            </w:r>
          </w:p>
          <w:p>
            <w:pPr>
              <w:pStyle w:val="11"/>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2.联合体竞标时，第1-5项资格证明文件联合体各方均必须分别提供，</w:t>
            </w:r>
            <w:r>
              <w:rPr>
                <w:rFonts w:hint="eastAsia"/>
                <w:b/>
                <w:color w:val="auto"/>
                <w:highlight w:val="none"/>
              </w:rPr>
              <w:t>并由</w:t>
            </w:r>
            <w:r>
              <w:rPr>
                <w:rFonts w:hint="eastAsia" w:ascii="宋体" w:hAnsi="宋体" w:cs="宋体"/>
                <w:b/>
                <w:color w:val="auto"/>
                <w:szCs w:val="21"/>
                <w:highlight w:val="none"/>
              </w:rPr>
              <w:t>联合体</w:t>
            </w:r>
            <w:r>
              <w:rPr>
                <w:rFonts w:hint="eastAsia"/>
                <w:b/>
                <w:color w:val="auto"/>
                <w:highlight w:val="none"/>
              </w:rPr>
              <w:t>牵头人加盖电子签章</w:t>
            </w:r>
            <w:r>
              <w:rPr>
                <w:rFonts w:hint="eastAsia" w:ascii="宋体" w:hAnsi="宋体" w:cs="宋体"/>
                <w:b/>
                <w:color w:val="auto"/>
                <w:szCs w:val="21"/>
                <w:highlight w:val="none"/>
              </w:rPr>
              <w:t>，</w:t>
            </w:r>
            <w:r>
              <w:rPr>
                <w:rFonts w:hint="eastAsia"/>
                <w:b/>
                <w:color w:val="auto"/>
                <w:highlight w:val="none"/>
              </w:rPr>
              <w:t>规定签字</w:t>
            </w:r>
            <w:r>
              <w:rPr>
                <w:rFonts w:hint="eastAsia" w:ascii="宋体" w:hAnsi="宋体" w:cs="宋体"/>
                <w:b/>
                <w:color w:val="auto"/>
                <w:szCs w:val="21"/>
                <w:highlight w:val="none"/>
              </w:rPr>
              <w:t>处签字</w:t>
            </w:r>
            <w:r>
              <w:rPr>
                <w:rFonts w:hint="eastAsia" w:ascii="宋体" w:hAnsi="宋体"/>
                <w:b/>
                <w:bCs/>
                <w:color w:val="auto"/>
                <w:szCs w:val="21"/>
                <w:highlight w:val="none"/>
              </w:rPr>
              <w:t>（或者电子签名）</w:t>
            </w:r>
            <w:r>
              <w:rPr>
                <w:rFonts w:hint="eastAsia" w:ascii="宋体" w:hAnsi="宋体" w:cs="宋体"/>
                <w:b/>
                <w:color w:val="auto"/>
                <w:szCs w:val="21"/>
                <w:highlight w:val="none"/>
              </w:rPr>
              <w:t>，否则响应文件按无效处理。</w:t>
            </w:r>
          </w:p>
          <w:p>
            <w:pPr>
              <w:pStyle w:val="11"/>
              <w:spacing w:line="360" w:lineRule="auto"/>
              <w:ind w:firstLine="422" w:firstLineChars="200"/>
              <w:rPr>
                <w:rFonts w:ascii="宋体" w:hAnsi="宋体" w:cs="宋体"/>
                <w:b/>
                <w:color w:val="auto"/>
                <w:szCs w:val="21"/>
                <w:highlight w:val="none"/>
              </w:rPr>
            </w:pPr>
            <w:r>
              <w:rPr>
                <w:rFonts w:ascii="宋体" w:hAnsi="宋体"/>
                <w:b/>
                <w:bCs/>
                <w:color w:val="auto"/>
                <w:szCs w:val="21"/>
                <w:highlight w:val="none"/>
              </w:rPr>
              <w:t>3</w:t>
            </w:r>
            <w:r>
              <w:rPr>
                <w:rFonts w:hint="eastAsia" w:ascii="宋体" w:hAnsi="宋体"/>
                <w:b/>
                <w:bCs/>
                <w:color w:val="auto"/>
                <w:szCs w:val="21"/>
                <w:highlight w:val="none"/>
              </w:rPr>
              <w:t>.分公司参加竞标的，应当取得总公司授权；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7912" w:type="dxa"/>
            <w:vAlign w:val="center"/>
          </w:tcPr>
          <w:p>
            <w:pPr>
              <w:spacing w:line="360" w:lineRule="auto"/>
              <w:rPr>
                <w:rFonts w:ascii="宋体" w:hAnsi="宋体" w:cs="宋体"/>
                <w:b/>
                <w:color w:val="auto"/>
                <w:szCs w:val="21"/>
                <w:highlight w:val="none"/>
              </w:rPr>
            </w:pPr>
            <w:r>
              <w:rPr>
                <w:rFonts w:hint="eastAsia" w:ascii="宋体" w:hAnsi="宋体" w:cs="宋体"/>
                <w:b/>
                <w:color w:val="auto"/>
                <w:szCs w:val="21"/>
                <w:highlight w:val="none"/>
              </w:rPr>
              <w:t>报价文件</w:t>
            </w:r>
          </w:p>
          <w:p>
            <w:pPr>
              <w:spacing w:line="360" w:lineRule="auto"/>
              <w:rPr>
                <w:rFonts w:ascii="宋体" w:hAnsi="宋体" w:cs="宋体"/>
                <w:color w:val="auto"/>
                <w:szCs w:val="21"/>
                <w:highlight w:val="none"/>
              </w:rPr>
            </w:pPr>
            <w:r>
              <w:rPr>
                <w:rFonts w:hint="eastAsia" w:ascii="宋体" w:hAnsi="宋体" w:cs="宋体"/>
                <w:color w:val="auto"/>
                <w:szCs w:val="21"/>
                <w:highlight w:val="none"/>
              </w:rPr>
              <w:t>1.竞标报价表（格式后附）；（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2.供应商认为需要提供的其他有关资料。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.3</w:t>
            </w:r>
          </w:p>
        </w:tc>
        <w:tc>
          <w:tcPr>
            <w:tcW w:w="7912" w:type="dxa"/>
            <w:vAlign w:val="center"/>
          </w:tcPr>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商务技术文件</w:t>
            </w:r>
          </w:p>
          <w:p>
            <w:pPr>
              <w:spacing w:line="360" w:lineRule="auto"/>
              <w:rPr>
                <w:rFonts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napToGrid w:val="0"/>
              <w:spacing w:line="360" w:lineRule="auto"/>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.法定代表人身份证明书及法定代表人有效身份证正反面复印件（格式后附）；（</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pacing w:line="360" w:lineRule="auto"/>
              <w:rPr>
                <w:rFonts w:ascii="宋体" w:hAnsi="宋体" w:cs="宋体"/>
                <w:b/>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.授权委托书及委托代理人有效身份证正反面复印件（格式后附）；（</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.磋商保证金提交凭证；（</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.商务要求偏离表（格式后附）；（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.服务方案（格式自拟）；（</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rPr>
              <w:t>.技术要求偏离表（格式后附）；（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ascii="宋体" w:hAnsi="宋体" w:cs="宋体"/>
                <w:color w:val="auto"/>
                <w:szCs w:val="21"/>
                <w:highlight w:val="none"/>
              </w:rPr>
              <w:t>8</w:t>
            </w:r>
            <w:r>
              <w:rPr>
                <w:rFonts w:hint="eastAsia" w:ascii="宋体" w:hAnsi="宋体" w:cs="宋体"/>
                <w:color w:val="auto"/>
                <w:szCs w:val="21"/>
                <w:highlight w:val="none"/>
              </w:rPr>
              <w:t>.项目实施人员一览表（格式自拟）； （</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ascii="宋体" w:hAnsi="宋体" w:cs="宋体"/>
                <w:color w:val="auto"/>
                <w:szCs w:val="21"/>
                <w:highlight w:val="none"/>
              </w:rPr>
              <w:t>9</w:t>
            </w:r>
            <w:r>
              <w:rPr>
                <w:rFonts w:hint="eastAsia" w:ascii="宋体" w:hAnsi="宋体" w:cs="宋体"/>
                <w:color w:val="auto"/>
                <w:szCs w:val="21"/>
                <w:highlight w:val="none"/>
              </w:rPr>
              <w:t>.对应采购需求的技术要求、商务要求提供的其他文件资料（格式自拟）；</w:t>
            </w:r>
          </w:p>
          <w:p>
            <w:pPr>
              <w:spacing w:line="360" w:lineRule="auto"/>
              <w:rPr>
                <w:rFonts w:ascii="宋体" w:hAnsi="宋体" w:cs="宋体"/>
                <w:color w:val="auto"/>
                <w:szCs w:val="21"/>
                <w:highlight w:val="none"/>
              </w:rPr>
            </w:pPr>
            <w:r>
              <w:rPr>
                <w:rFonts w:ascii="宋体" w:hAnsi="宋体" w:cs="宋体"/>
                <w:color w:val="auto"/>
                <w:szCs w:val="21"/>
                <w:highlight w:val="none"/>
              </w:rPr>
              <w:t>10</w:t>
            </w:r>
            <w:r>
              <w:rPr>
                <w:rFonts w:hint="eastAsia" w:ascii="宋体" w:hAnsi="宋体" w:cs="宋体"/>
                <w:color w:val="auto"/>
                <w:szCs w:val="21"/>
                <w:highlight w:val="none"/>
              </w:rPr>
              <w:t>.供应商认为需要提供的其他有关资料。</w:t>
            </w:r>
          </w:p>
          <w:p>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注：以上标明“必须提供”的材料属于复印件的，必须加盖供应商</w:t>
            </w:r>
            <w:r>
              <w:rPr>
                <w:rFonts w:hint="eastAsia" w:ascii="宋体" w:hAnsi="宋体"/>
                <w:b/>
                <w:bCs/>
                <w:color w:val="auto"/>
                <w:szCs w:val="21"/>
                <w:highlight w:val="none"/>
              </w:rPr>
              <w:t>电子签章</w:t>
            </w:r>
            <w:r>
              <w:rPr>
                <w:rFonts w:hint="eastAsia" w:ascii="宋体" w:hAnsi="宋体" w:cs="宋体"/>
                <w:b/>
                <w:color w:val="auto"/>
                <w:szCs w:val="21"/>
                <w:highlight w:val="none"/>
              </w:rPr>
              <w:t>，否则响应文件按无效响应处理。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15.2</w:t>
            </w:r>
          </w:p>
        </w:tc>
        <w:tc>
          <w:tcPr>
            <w:tcW w:w="7912" w:type="dxa"/>
            <w:vAlign w:val="center"/>
          </w:tcPr>
          <w:p>
            <w:pPr>
              <w:spacing w:line="360" w:lineRule="auto"/>
              <w:contextualSpacing/>
              <w:jc w:val="left"/>
              <w:rPr>
                <w:rFonts w:ascii="宋体" w:hAnsi="宋体" w:cs="宋体"/>
                <w:color w:val="auto"/>
                <w:szCs w:val="21"/>
                <w:highlight w:val="none"/>
              </w:rPr>
            </w:pPr>
            <w:r>
              <w:rPr>
                <w:rFonts w:hint="eastAsia" w:ascii="宋体" w:hAnsi="宋体"/>
                <w:color w:val="auto"/>
                <w:szCs w:val="21"/>
                <w:highlight w:val="none"/>
              </w:rPr>
              <w:t>竞标报价是履行合同的最终价格，</w:t>
            </w:r>
            <w:r>
              <w:rPr>
                <w:rFonts w:hint="eastAsia" w:ascii="宋体" w:hAnsi="宋体" w:cs="宋体"/>
                <w:color w:val="auto"/>
                <w:szCs w:val="21"/>
                <w:highlight w:val="none"/>
              </w:rPr>
              <w:t>即满足全部采购需求所应提供的服务的价格；包括</w:t>
            </w:r>
            <w:r>
              <w:rPr>
                <w:rFonts w:hint="eastAsia" w:hAnsi="宋体"/>
                <w:color w:val="auto"/>
                <w:highlight w:val="none"/>
              </w:rPr>
              <w:t>完成本项目服务所需的人工、设备配置、利润和税金等所有费用。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16.</w:t>
            </w:r>
            <w:r>
              <w:rPr>
                <w:rFonts w:ascii="宋体" w:hAnsi="宋体" w:cs="宋体"/>
                <w:color w:val="auto"/>
                <w:szCs w:val="21"/>
                <w:highlight w:val="none"/>
              </w:rPr>
              <w:t>2</w:t>
            </w:r>
          </w:p>
        </w:tc>
        <w:tc>
          <w:tcPr>
            <w:tcW w:w="7912" w:type="dxa"/>
            <w:vAlign w:val="center"/>
          </w:tcPr>
          <w:p>
            <w:pPr>
              <w:pStyle w:val="10"/>
              <w:widowControl w:val="0"/>
              <w:tabs>
                <w:tab w:val="clear" w:pos="454"/>
              </w:tabs>
              <w:snapToGrid w:val="0"/>
              <w:spacing w:afterLines="0" w:line="360" w:lineRule="auto"/>
              <w:ind w:left="283" w:hanging="283" w:hangingChars="135"/>
              <w:rPr>
                <w:rFonts w:ascii="宋体" w:hAnsi="宋体" w:cs="宋体"/>
                <w:color w:val="auto"/>
                <w:kern w:val="2"/>
                <w:sz w:val="21"/>
                <w:szCs w:val="21"/>
                <w:highlight w:val="none"/>
              </w:rPr>
            </w:pPr>
            <w:r>
              <w:rPr>
                <w:rFonts w:hint="eastAsia" w:ascii="宋体" w:hAnsi="宋体" w:cs="宋体"/>
                <w:color w:val="auto"/>
                <w:kern w:val="2"/>
                <w:sz w:val="21"/>
                <w:szCs w:val="21"/>
                <w:highlight w:val="none"/>
              </w:rPr>
              <w:t>竞标有效期：自首次响应文件提交截止之日起</w:t>
            </w:r>
            <w:r>
              <w:rPr>
                <w:rFonts w:ascii="宋体" w:hAnsi="宋体" w:cs="宋体"/>
                <w:color w:val="auto"/>
                <w:kern w:val="2"/>
                <w:sz w:val="21"/>
                <w:szCs w:val="21"/>
                <w:highlight w:val="none"/>
                <w:u w:val="single"/>
              </w:rPr>
              <w:t xml:space="preserve"> 90</w:t>
            </w:r>
            <w:r>
              <w:rPr>
                <w:rFonts w:hint="eastAsia" w:ascii="宋体" w:hAnsi="宋体" w:cs="宋体"/>
                <w:color w:val="auto"/>
                <w:kern w:val="2"/>
                <w:sz w:val="21"/>
                <w:szCs w:val="21"/>
                <w:highlight w:val="non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17.1</w:t>
            </w:r>
          </w:p>
        </w:tc>
        <w:tc>
          <w:tcPr>
            <w:tcW w:w="7912" w:type="dxa"/>
            <w:vAlign w:val="center"/>
          </w:tcPr>
          <w:p>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□本项目不收取磋商保证金。</w:t>
            </w:r>
          </w:p>
          <w:p>
            <w:pPr>
              <w:snapToGrid w:val="0"/>
              <w:spacing w:line="360" w:lineRule="auto"/>
              <w:rPr>
                <w:rFonts w:ascii="宋体" w:hAnsi="宋体"/>
                <w:color w:val="auto"/>
                <w:szCs w:val="21"/>
                <w:highlight w:val="none"/>
              </w:rPr>
            </w:pPr>
            <w:r>
              <w:rPr>
                <w:rFonts w:hint="eastAsia" w:ascii="宋体" w:hAnsi="宋体"/>
                <w:color w:val="auto"/>
                <w:szCs w:val="21"/>
                <w:highlight w:val="none"/>
              </w:rPr>
              <w:t>√本项目收取磋商保证金，具体规定如下：</w:t>
            </w:r>
          </w:p>
          <w:p>
            <w:pPr>
              <w:spacing w:line="360" w:lineRule="auto"/>
              <w:rPr>
                <w:rFonts w:ascii="宋体" w:hAnsi="宋体" w:cs="宋体"/>
                <w:color w:val="auto"/>
                <w:kern w:val="0"/>
                <w:szCs w:val="21"/>
                <w:highlight w:val="none"/>
              </w:rPr>
            </w:pPr>
            <w:r>
              <w:rPr>
                <w:rFonts w:ascii="宋体" w:hAnsi="宋体" w:cs="宋体"/>
                <w:color w:val="auto"/>
                <w:kern w:val="0"/>
                <w:szCs w:val="21"/>
                <w:highlight w:val="none"/>
                <w:u w:val="single"/>
              </w:rPr>
              <w:t>/</w:t>
            </w:r>
            <w:r>
              <w:rPr>
                <w:rFonts w:hint="eastAsia" w:ascii="宋体" w:hAnsi="宋体" w:cs="宋体"/>
                <w:color w:val="auto"/>
                <w:kern w:val="0"/>
                <w:szCs w:val="21"/>
                <w:highlight w:val="none"/>
              </w:rPr>
              <w:t>分标磋商保证金人民币</w:t>
            </w:r>
            <w:r>
              <w:rPr>
                <w:rFonts w:ascii="宋体" w:hAnsi="宋体" w:cs="宋体"/>
                <w:color w:val="auto"/>
                <w:kern w:val="0"/>
                <w:szCs w:val="21"/>
                <w:highlight w:val="none"/>
                <w:u w:val="single"/>
              </w:rPr>
              <w:t>38000</w:t>
            </w:r>
            <w:r>
              <w:rPr>
                <w:rFonts w:hint="eastAsia" w:ascii="宋体" w:hAnsi="宋体" w:cs="宋体"/>
                <w:color w:val="auto"/>
                <w:kern w:val="0"/>
                <w:szCs w:val="21"/>
                <w:highlight w:val="none"/>
              </w:rPr>
              <w:t>元。</w:t>
            </w:r>
          </w:p>
          <w:p>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磋商保证金的交纳方式：银行转账、支票、汇票、本票或者银行、保险机构出具的保函，禁止采用现钞方式。采用银行转账方式的，在响应文件提交截止时间前交至指定账户并且到账【开户名称：云之龙咨询集团有限公司， 开户银行：中国银行南宁市民主支行（网银支付可选中国银行股份有限公司南宁分行）， 银行账号：623661021638， 开户行行号：104611010017】；采用支票、汇票、本票或者保函等方式的，在响应文件提交截止时间前，供应商必须提交单独密封的支票、汇票、本票或者保函原件。否则视为无效磋商保证金。</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相关要求：</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1.磋商保证金采用银行转账交纳方式的，在响应文件提交截止时间前交至指定账户并且到账，供应商应将银行转账底单的复印件作为磋商保证金提交凭证，放置于商务技术文件中，</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pPr>
              <w:snapToGrid w:val="0"/>
              <w:spacing w:line="360" w:lineRule="auto"/>
              <w:rPr>
                <w:rFonts w:ascii="宋体" w:hAnsi="宋体"/>
                <w:color w:val="auto"/>
                <w:szCs w:val="21"/>
                <w:highlight w:val="none"/>
              </w:rPr>
            </w:pPr>
            <w:r>
              <w:rPr>
                <w:rFonts w:hint="eastAsia" w:ascii="宋体" w:hAnsi="宋体"/>
                <w:color w:val="auto"/>
                <w:szCs w:val="21"/>
                <w:highlight w:val="none"/>
              </w:rPr>
              <w:t>2.磋商保证金采用支票、汇票、本票或者银行、保险机构出具的保函交纳方式的，供应商应将支票、汇票、本票或者银行、保险机构出具的保函的复印件作为磋商保证金提交凭证，放置于</w:t>
            </w:r>
            <w:r>
              <w:rPr>
                <w:rFonts w:hint="eastAsia" w:ascii="宋体" w:hAnsi="宋体" w:cs="宋体"/>
                <w:color w:val="auto"/>
                <w:szCs w:val="21"/>
                <w:highlight w:val="none"/>
              </w:rPr>
              <w:t>商务技术文件</w:t>
            </w:r>
            <w:r>
              <w:rPr>
                <w:rFonts w:hint="eastAsia" w:ascii="宋体" w:hAnsi="宋体"/>
                <w:color w:val="auto"/>
                <w:szCs w:val="21"/>
                <w:highlight w:val="none"/>
              </w:rPr>
              <w:t>中，</w:t>
            </w:r>
            <w:r>
              <w:rPr>
                <w:rFonts w:hint="eastAsia" w:ascii="宋体" w:hAnsi="宋体" w:cs="宋体"/>
                <w:b/>
                <w:color w:val="auto"/>
                <w:szCs w:val="21"/>
                <w:highlight w:val="none"/>
              </w:rPr>
              <w:t>否则响应文件按无效处理</w:t>
            </w:r>
            <w:r>
              <w:rPr>
                <w:rFonts w:hint="eastAsia" w:ascii="宋体" w:hAnsi="宋体"/>
                <w:color w:val="auto"/>
                <w:szCs w:val="21"/>
                <w:highlight w:val="none"/>
              </w:rPr>
              <w:t>。供应商必须</w:t>
            </w:r>
            <w:r>
              <w:rPr>
                <w:rFonts w:hint="eastAsia"/>
                <w:color w:val="auto"/>
                <w:highlight w:val="none"/>
              </w:rPr>
              <w:t>在响应文件提交截止时间前采用现场或邮寄方式（现场提交地址：</w:t>
            </w:r>
            <w:r>
              <w:rPr>
                <w:rFonts w:hint="eastAsia" w:ascii="宋体" w:hAnsi="宋体" w:cs="仿宋"/>
                <w:color w:val="auto"/>
                <w:szCs w:val="21"/>
                <w:highlight w:val="none"/>
                <w:u w:val="single"/>
              </w:rPr>
              <w:t>云之龙咨询集团有限公司(广西南宁市良庆区云英路15号3号楼云之龙咨询集团大厦5楼)</w:t>
            </w:r>
            <w:r>
              <w:rPr>
                <w:rFonts w:hint="eastAsia"/>
                <w:color w:val="auto"/>
                <w:highlight w:val="none"/>
              </w:rPr>
              <w:t>；邮寄地址：</w:t>
            </w:r>
            <w:r>
              <w:rPr>
                <w:rFonts w:hint="eastAsia" w:ascii="宋体" w:hAnsi="宋体" w:cs="仿宋"/>
                <w:color w:val="auto"/>
                <w:szCs w:val="21"/>
                <w:highlight w:val="none"/>
                <w:u w:val="single"/>
              </w:rPr>
              <w:t>广西南宁市良庆区云英路15号3号楼云之龙咨询集团大厦6楼</w:t>
            </w:r>
            <w:r>
              <w:rPr>
                <w:rFonts w:hint="eastAsia"/>
                <w:color w:val="auto"/>
                <w:highlight w:val="none"/>
              </w:rPr>
              <w:t>，收件人：</w:t>
            </w:r>
            <w:r>
              <w:rPr>
                <w:rFonts w:hint="eastAsia" w:ascii="宋体" w:hAnsi="宋体" w:cs="仿宋"/>
                <w:color w:val="auto"/>
                <w:kern w:val="0"/>
                <w:szCs w:val="21"/>
                <w:highlight w:val="none"/>
                <w:u w:val="single"/>
              </w:rPr>
              <w:t>唐冰</w:t>
            </w:r>
            <w:r>
              <w:rPr>
                <w:rFonts w:hint="eastAsia"/>
                <w:color w:val="auto"/>
                <w:highlight w:val="none"/>
              </w:rPr>
              <w:t>，联系方式：</w:t>
            </w:r>
            <w:r>
              <w:rPr>
                <w:rFonts w:hint="eastAsia" w:ascii="宋体" w:hAnsi="宋体" w:cs="仿宋"/>
                <w:color w:val="auto"/>
                <w:kern w:val="0"/>
                <w:szCs w:val="21"/>
                <w:highlight w:val="none"/>
                <w:u w:val="single"/>
              </w:rPr>
              <w:t>0771-2618118、2611889、2611898</w:t>
            </w:r>
            <w:r>
              <w:rPr>
                <w:rFonts w:hint="eastAsia"/>
                <w:color w:val="auto"/>
                <w:highlight w:val="none"/>
              </w:rPr>
              <w:t>）</w:t>
            </w:r>
            <w:r>
              <w:rPr>
                <w:rFonts w:hint="eastAsia" w:ascii="宋体" w:hAnsi="宋体"/>
                <w:color w:val="auto"/>
                <w:szCs w:val="21"/>
                <w:highlight w:val="none"/>
              </w:rPr>
              <w:t>将</w:t>
            </w:r>
            <w:r>
              <w:rPr>
                <w:rFonts w:hint="eastAsia" w:ascii="宋体" w:hAnsi="宋体" w:cs="宋体"/>
                <w:color w:val="auto"/>
                <w:kern w:val="0"/>
                <w:szCs w:val="21"/>
                <w:highlight w:val="none"/>
              </w:rPr>
              <w:t>单独密封的</w:t>
            </w:r>
            <w:r>
              <w:rPr>
                <w:rFonts w:hint="eastAsia" w:ascii="宋体" w:hAnsi="宋体"/>
                <w:color w:val="auto"/>
                <w:szCs w:val="21"/>
                <w:highlight w:val="none"/>
              </w:rPr>
              <w:t>支票、汇票、本票或者银行、保险机构出具的保函原件提交给采购人或者采购代理机构，由采购人或者采购代理机构向供应商出具回执（邮寄方式的除外），并妥善保管。</w:t>
            </w:r>
          </w:p>
          <w:p>
            <w:pPr>
              <w:snapToGrid w:val="0"/>
              <w:spacing w:line="360" w:lineRule="auto"/>
              <w:rPr>
                <w:rFonts w:ascii="宋体" w:hAnsi="宋体" w:cs="宋体"/>
                <w:b/>
                <w:color w:val="auto"/>
                <w:szCs w:val="21"/>
                <w:highlight w:val="none"/>
              </w:rPr>
            </w:pPr>
            <w:r>
              <w:rPr>
                <w:rFonts w:hint="eastAsia" w:ascii="宋体" w:hAnsi="宋体" w:cs="宋体"/>
                <w:color w:val="auto"/>
                <w:szCs w:val="21"/>
                <w:highlight w:val="none"/>
              </w:rPr>
              <w:t>3.供应商为联合体的，可以由联合体中的一方或者多方共同交纳磋商保证金，其交纳的保证金对联合体各方均具有约束力。</w:t>
            </w:r>
          </w:p>
          <w:p>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 xml:space="preserve">备注： </w:t>
            </w:r>
          </w:p>
          <w:p>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1.磋商保证金在响应文件提交截止时间后提交的，或者不按规定交纳方式交纳的，或者未足额交纳的（包含保函额度不足的），视为无效磋商保证金。</w:t>
            </w:r>
          </w:p>
          <w:p>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2.供应商采用现钞方式或者从个人账户（自然人竞标除外）转出的磋商保证金，视为无效磋商保证金。</w:t>
            </w:r>
          </w:p>
          <w:p>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3.支票、汇票或者本票出现无效或者背书情形的，视为无效磋商保证金。</w:t>
            </w:r>
          </w:p>
          <w:p>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4.保函有效期低于竞标有效期的，视为无效磋商保证金。</w:t>
            </w:r>
          </w:p>
          <w:p>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5.采用银行、保险机构出具保函的，必须为无条件保函，否则视为无效磋商保证金。</w:t>
            </w:r>
          </w:p>
          <w:p>
            <w:pPr>
              <w:snapToGrid w:val="0"/>
              <w:spacing w:line="360" w:lineRule="auto"/>
              <w:rPr>
                <w:rFonts w:ascii="宋体" w:hAnsi="宋体" w:cs="宋体"/>
                <w:color w:val="auto"/>
                <w:szCs w:val="21"/>
                <w:highlight w:val="none"/>
              </w:rPr>
            </w:pPr>
            <w:r>
              <w:rPr>
                <w:rFonts w:hint="eastAsia" w:ascii="宋体" w:hAnsi="宋体"/>
                <w:b/>
                <w:color w:val="auto"/>
                <w:szCs w:val="21"/>
                <w:highlight w:val="none"/>
              </w:rPr>
              <w:t>6</w:t>
            </w:r>
            <w:r>
              <w:rPr>
                <w:rFonts w:ascii="宋体" w:hAnsi="宋体"/>
                <w:b/>
                <w:color w:val="auto"/>
                <w:szCs w:val="21"/>
                <w:highlight w:val="none"/>
              </w:rPr>
              <w:t>.政采云平台</w:t>
            </w:r>
            <w:r>
              <w:rPr>
                <w:rFonts w:hint="eastAsia" w:ascii="宋体" w:hAnsi="宋体"/>
                <w:b/>
                <w:color w:val="auto"/>
                <w:szCs w:val="21"/>
                <w:highlight w:val="none"/>
              </w:rPr>
              <w:t>暂未</w:t>
            </w:r>
            <w:r>
              <w:rPr>
                <w:rFonts w:ascii="宋体" w:hAnsi="宋体"/>
                <w:b/>
                <w:color w:val="auto"/>
                <w:szCs w:val="21"/>
                <w:highlight w:val="none"/>
              </w:rPr>
              <w:t>支持电子保函功能</w:t>
            </w:r>
            <w:r>
              <w:rPr>
                <w:rFonts w:hint="eastAsia" w:ascii="宋体" w:hAnsi="宋体"/>
                <w:b/>
                <w:color w:val="auto"/>
                <w:szCs w:val="21"/>
                <w:highlight w:val="none"/>
              </w:rPr>
              <w:t>，</w:t>
            </w:r>
            <w:r>
              <w:rPr>
                <w:rFonts w:ascii="宋体" w:hAnsi="宋体"/>
                <w:b/>
                <w:color w:val="auto"/>
                <w:szCs w:val="21"/>
                <w:highlight w:val="none"/>
              </w:rPr>
              <w:t>故本项目暂不接受电子保函形式的保证金</w:t>
            </w:r>
            <w:r>
              <w:rPr>
                <w:rFonts w:hint="eastAsia" w:ascii="宋体" w:hAnsi="宋体"/>
                <w:b/>
                <w:color w:val="auto"/>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宋体" w:hAnsi="宋体" w:cs="宋体"/>
                <w:color w:val="auto"/>
                <w:szCs w:val="21"/>
                <w:highlight w:val="none"/>
              </w:rPr>
            </w:pPr>
            <w:r>
              <w:rPr>
                <w:rFonts w:ascii="宋体" w:hAnsi="宋体" w:cs="宋体"/>
                <w:color w:val="auto"/>
                <w:szCs w:val="21"/>
                <w:highlight w:val="none"/>
              </w:rPr>
              <w:t>19</w:t>
            </w:r>
          </w:p>
        </w:tc>
        <w:tc>
          <w:tcPr>
            <w:tcW w:w="7912" w:type="dxa"/>
            <w:vAlign w:val="center"/>
          </w:tcPr>
          <w:p>
            <w:pPr>
              <w:spacing w:line="360" w:lineRule="auto"/>
              <w:rPr>
                <w:rFonts w:ascii="宋体" w:hAnsi="宋体" w:cs="宋体"/>
                <w:color w:val="auto"/>
                <w:szCs w:val="21"/>
                <w:highlight w:val="none"/>
              </w:rPr>
            </w:pP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备份响应文件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20.1</w:t>
            </w:r>
          </w:p>
        </w:tc>
        <w:tc>
          <w:tcPr>
            <w:tcW w:w="7912" w:type="dxa"/>
            <w:vAlign w:val="center"/>
          </w:tcPr>
          <w:p>
            <w:pPr>
              <w:spacing w:line="360" w:lineRule="auto"/>
              <w:contextualSpacing/>
              <w:jc w:val="left"/>
              <w:rPr>
                <w:rFonts w:ascii="宋体" w:hAnsi="宋体" w:cs="宋体"/>
                <w:color w:val="auto"/>
                <w:szCs w:val="21"/>
                <w:highlight w:val="none"/>
                <w:u w:val="single"/>
              </w:rPr>
            </w:pPr>
            <w:r>
              <w:rPr>
                <w:rFonts w:hint="eastAsia" w:ascii="宋体" w:hAnsi="宋体" w:cs="宋体"/>
                <w:color w:val="auto"/>
                <w:szCs w:val="21"/>
                <w:highlight w:val="none"/>
              </w:rPr>
              <w:t>响应文件提交截止时间：详见竞争性磋商公告。</w:t>
            </w:r>
          </w:p>
          <w:p>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响应文件提交地点：详见竞争性磋商公告。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24.1</w:t>
            </w:r>
          </w:p>
        </w:tc>
        <w:tc>
          <w:tcPr>
            <w:tcW w:w="7912" w:type="dxa"/>
            <w:vAlign w:val="center"/>
          </w:tcPr>
          <w:p>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磋商小组的人数：</w:t>
            </w:r>
            <w:r>
              <w:rPr>
                <w:rFonts w:ascii="宋体" w:hAnsi="宋体" w:cs="宋体"/>
                <w:color w:val="auto"/>
                <w:szCs w:val="21"/>
                <w:highlight w:val="none"/>
                <w:u w:val="single"/>
              </w:rPr>
              <w:t>3</w:t>
            </w:r>
            <w:r>
              <w:rPr>
                <w:rFonts w:hint="eastAsia" w:ascii="宋体" w:hAnsi="宋体" w:cs="宋体"/>
                <w:color w:val="auto"/>
                <w:szCs w:val="21"/>
                <w:highlight w:val="none"/>
              </w:rPr>
              <w:t>人或以上单数。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p>
        </w:tc>
        <w:tc>
          <w:tcPr>
            <w:tcW w:w="7912" w:type="dxa"/>
            <w:vAlign w:val="center"/>
          </w:tcPr>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首次响应文件开启时间详见“竞争性磋商公告”</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首次响应文件解密时间：</w:t>
            </w:r>
            <w:r>
              <w:rPr>
                <w:rFonts w:hAnsi="宋体"/>
                <w:color w:val="auto"/>
                <w:highlight w:val="none"/>
                <w:u w:val="single"/>
              </w:rPr>
              <w:t xml:space="preserve">30 </w:t>
            </w:r>
            <w:r>
              <w:rPr>
                <w:rFonts w:hint="eastAsia" w:hAnsi="宋体"/>
                <w:color w:val="auto"/>
                <w:highlight w:val="none"/>
              </w:rPr>
              <w:t>分钟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6.3</w:t>
            </w:r>
          </w:p>
        </w:tc>
        <w:tc>
          <w:tcPr>
            <w:tcW w:w="7912" w:type="dxa"/>
            <w:vAlign w:val="center"/>
          </w:tcPr>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ascii="宋体" w:hAnsi="宋体" w:cs="宋体"/>
                <w:color w:val="auto"/>
                <w:szCs w:val="21"/>
                <w:highlight w:val="none"/>
                <w:u w:val="single"/>
              </w:rPr>
              <w:t>0</w:t>
            </w:r>
            <w:r>
              <w:rPr>
                <w:rFonts w:hint="eastAsia" w:ascii="宋体" w:hAnsi="宋体" w:cs="宋体"/>
                <w:color w:val="auto"/>
                <w:szCs w:val="21"/>
                <w:highlight w:val="none"/>
              </w:rPr>
              <w:t>项。</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技术要求评审中允许负偏离的条款数为</w:t>
            </w:r>
            <w:r>
              <w:rPr>
                <w:rFonts w:ascii="宋体" w:hAnsi="宋体" w:cs="宋体"/>
                <w:color w:val="auto"/>
                <w:szCs w:val="21"/>
                <w:highlight w:val="none"/>
                <w:u w:val="single"/>
              </w:rPr>
              <w:t>2</w:t>
            </w:r>
            <w:r>
              <w:rPr>
                <w:rFonts w:hint="eastAsia" w:ascii="宋体" w:hAnsi="宋体" w:cs="宋体"/>
                <w:color w:val="auto"/>
                <w:szCs w:val="21"/>
                <w:highlight w:val="none"/>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宋体" w:hAnsi="宋体" w:cs="宋体"/>
                <w:color w:val="auto"/>
                <w:szCs w:val="21"/>
                <w:highlight w:val="none"/>
              </w:rPr>
            </w:pPr>
            <w:r>
              <w:rPr>
                <w:rFonts w:ascii="宋体" w:hAnsi="宋体" w:cs="宋体"/>
                <w:color w:val="auto"/>
                <w:szCs w:val="21"/>
                <w:highlight w:val="none"/>
              </w:rPr>
              <w:t>28.1</w:t>
            </w:r>
          </w:p>
        </w:tc>
        <w:tc>
          <w:tcPr>
            <w:tcW w:w="7912" w:type="dxa"/>
            <w:vAlign w:val="center"/>
          </w:tcPr>
          <w:p>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□本项目不收取履约保证金。</w:t>
            </w:r>
          </w:p>
          <w:p>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☑本项目收取履约保证金，具体规定如下：</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履约保证金金额：按合同金额的</w:t>
            </w:r>
            <w:r>
              <w:rPr>
                <w:rFonts w:hint="eastAsia" w:ascii="宋体" w:hAnsi="宋体" w:cs="宋体"/>
                <w:color w:val="auto"/>
                <w:szCs w:val="21"/>
                <w:highlight w:val="none"/>
                <w:u w:val="single"/>
              </w:rPr>
              <w:t xml:space="preserve"> 5 </w:t>
            </w:r>
            <w:r>
              <w:rPr>
                <w:rFonts w:hint="eastAsia" w:ascii="宋体" w:hAnsi="宋体" w:cs="宋体"/>
                <w:color w:val="auto"/>
                <w:szCs w:val="21"/>
                <w:highlight w:val="none"/>
              </w:rPr>
              <w:t>%。</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履约保证金提交方式：银行转账、支票、汇票、本票或者银行、保险机构出具的保函等非现金方式。</w:t>
            </w:r>
          </w:p>
          <w:p>
            <w:pPr>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履约保证金退付方式、时间及条件：</w:t>
            </w:r>
            <w:r>
              <w:rPr>
                <w:rFonts w:hint="eastAsia" w:ascii="宋体" w:hAnsi="宋体" w:cs="宋体"/>
                <w:color w:val="auto"/>
                <w:szCs w:val="21"/>
                <w:highlight w:val="none"/>
                <w:u w:val="single"/>
              </w:rPr>
              <w:t xml:space="preserve">  质保期满后无息退付。</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由成交供应商向履约保证金收取单位提供《广西壮族自治区政府采购项目合同验收书》（详见附件1）及《政府采购项目履约保证金退付意见书》（详见附件2），保证金收取单位在收到合格材料后5个工作日内办理退还手续（不计利息）。</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履约保证金指定账户：</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开户名称：</w:t>
            </w:r>
            <w:r>
              <w:rPr>
                <w:rFonts w:hint="eastAsia" w:ascii="宋体" w:hAnsi="宋体" w:cs="宋体"/>
                <w:color w:val="auto"/>
                <w:szCs w:val="21"/>
                <w:highlight w:val="none"/>
                <w:u w:val="single"/>
              </w:rPr>
              <w:t xml:space="preserve"> 广西壮族自治区应急管理厅 </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中国农业银行南宁古城支行 </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银行账号：</w:t>
            </w:r>
            <w:r>
              <w:rPr>
                <w:rFonts w:hint="eastAsia" w:ascii="宋体" w:hAnsi="宋体" w:cs="宋体"/>
                <w:color w:val="auto"/>
                <w:szCs w:val="21"/>
                <w:highlight w:val="none"/>
                <w:u w:val="single"/>
              </w:rPr>
              <w:t xml:space="preserve"> 20009101040003680  　　　 </w:t>
            </w:r>
          </w:p>
          <w:p>
            <w:pPr>
              <w:spacing w:line="360" w:lineRule="auto"/>
              <w:contextualSpacing/>
              <w:rPr>
                <w:rFonts w:ascii="宋体" w:hAnsi="宋体" w:cs="宋体"/>
                <w:color w:val="auto"/>
                <w:szCs w:val="21"/>
                <w:highlight w:val="none"/>
              </w:rPr>
            </w:pPr>
          </w:p>
          <w:p>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备注：</w:t>
            </w:r>
          </w:p>
          <w:p>
            <w:pPr>
              <w:spacing w:line="360" w:lineRule="auto"/>
              <w:contextualSpacing/>
              <w:rPr>
                <w:rFonts w:ascii="宋体" w:hAnsi="宋体" w:cs="宋体"/>
                <w:b/>
                <w:color w:val="auto"/>
                <w:szCs w:val="21"/>
                <w:highlight w:val="none"/>
              </w:rPr>
            </w:pPr>
            <w:r>
              <w:rPr>
                <w:rFonts w:hint="eastAsia" w:ascii="宋体" w:hAnsi="宋体" w:cs="宋体"/>
                <w:b/>
                <w:color w:val="auto"/>
                <w:szCs w:val="21"/>
                <w:highlight w:val="none"/>
              </w:rPr>
              <w:t>1</w:t>
            </w:r>
            <w:r>
              <w:rPr>
                <w:rFonts w:ascii="宋体" w:hAnsi="宋体" w:cs="宋体"/>
                <w:b/>
                <w:color w:val="auto"/>
                <w:szCs w:val="21"/>
                <w:highlight w:val="none"/>
              </w:rPr>
              <w:t>.</w:t>
            </w:r>
            <w:bookmarkStart w:id="60" w:name="_Hlk54170335"/>
            <w:r>
              <w:rPr>
                <w:rFonts w:hint="eastAsia" w:ascii="宋体" w:hAnsi="宋体"/>
                <w:b/>
                <w:color w:val="auto"/>
                <w:szCs w:val="21"/>
                <w:highlight w:val="none"/>
              </w:rPr>
              <w:t>根据《广西壮族自治区财政厅关于贯彻落实政府采购优化营商环境百日攻坚行动方案的通知》（桂财采〔2020〕49号）规定，鼓励采购人在与中小微企业签订政府采购合同时，减少或免于收取履约保证金，有必要收取履约保证金的，收取的履约保证金不得超过政府采购合同金额的5%。</w:t>
            </w:r>
            <w:bookmarkEnd w:id="60"/>
          </w:p>
          <w:p>
            <w:pPr>
              <w:spacing w:line="360" w:lineRule="auto"/>
              <w:contextualSpacing/>
              <w:rPr>
                <w:rFonts w:ascii="宋体" w:hAnsi="宋体" w:cs="宋体"/>
                <w:b/>
                <w:color w:val="auto"/>
                <w:szCs w:val="21"/>
                <w:highlight w:val="none"/>
              </w:rPr>
            </w:pPr>
            <w:r>
              <w:rPr>
                <w:rFonts w:hint="eastAsia" w:ascii="宋体" w:hAnsi="宋体" w:cs="宋体"/>
                <w:b/>
                <w:color w:val="auto"/>
                <w:szCs w:val="21"/>
                <w:highlight w:val="none"/>
              </w:rPr>
              <w:t>2</w:t>
            </w:r>
            <w:r>
              <w:rPr>
                <w:rFonts w:ascii="宋体" w:hAnsi="宋体" w:cs="宋体"/>
                <w:b/>
                <w:color w:val="auto"/>
                <w:szCs w:val="21"/>
                <w:highlight w:val="none"/>
              </w:rPr>
              <w:t>.</w:t>
            </w:r>
            <w:r>
              <w:rPr>
                <w:rFonts w:hint="eastAsia" w:ascii="宋体" w:hAnsi="宋体" w:cs="宋体"/>
                <w:b/>
                <w:color w:val="auto"/>
                <w:szCs w:val="21"/>
                <w:highlight w:val="none"/>
              </w:rPr>
              <w:t>履约保证金不足额缴纳的，或者银行、保险机构出具的保函额度不足的或者保函有效期低于合同履行期限（即签订采购合同之日起至履行完合同约定的权利及义务之日止）的，不予签订合同。</w:t>
            </w:r>
          </w:p>
          <w:p>
            <w:pPr>
              <w:spacing w:line="360" w:lineRule="auto"/>
              <w:contextualSpacing/>
              <w:rPr>
                <w:rFonts w:ascii="宋体" w:hAnsi="宋体" w:cs="宋体"/>
                <w:b/>
                <w:color w:val="auto"/>
                <w:szCs w:val="21"/>
                <w:highlight w:val="none"/>
              </w:rPr>
            </w:pPr>
            <w:r>
              <w:rPr>
                <w:rFonts w:ascii="宋体" w:hAnsi="宋体" w:cs="宋体"/>
                <w:b/>
                <w:color w:val="auto"/>
                <w:szCs w:val="21"/>
                <w:highlight w:val="none"/>
              </w:rPr>
              <w:t>3.</w:t>
            </w:r>
            <w:r>
              <w:rPr>
                <w:rFonts w:hint="eastAsia" w:ascii="宋体" w:hAnsi="宋体" w:cs="宋体"/>
                <w:b/>
                <w:color w:val="auto"/>
                <w:szCs w:val="21"/>
                <w:highlight w:val="none"/>
              </w:rPr>
              <w:t>采用银行、保险机构出具的保函的，必须为无条件保函，否则不予签订合同。</w:t>
            </w:r>
          </w:p>
          <w:p>
            <w:pPr>
              <w:snapToGrid w:val="0"/>
              <w:spacing w:line="360" w:lineRule="auto"/>
              <w:rPr>
                <w:rFonts w:ascii="宋体" w:hAnsi="宋体" w:cs="宋体"/>
                <w:color w:val="auto"/>
                <w:szCs w:val="21"/>
                <w:highlight w:val="none"/>
              </w:rPr>
            </w:pPr>
            <w:r>
              <w:rPr>
                <w:rFonts w:ascii="宋体" w:hAnsi="宋体" w:cs="宋体"/>
                <w:b/>
                <w:color w:val="auto"/>
                <w:szCs w:val="21"/>
                <w:highlight w:val="none"/>
              </w:rPr>
              <w:t>4.</w:t>
            </w:r>
            <w:r>
              <w:rPr>
                <w:rFonts w:hint="eastAsia" w:ascii="宋体" w:hAnsi="宋体" w:cs="宋体"/>
                <w:b/>
                <w:color w:val="auto"/>
                <w:szCs w:val="21"/>
                <w:highlight w:val="none"/>
              </w:rPr>
              <w:t>供应商为联合体的，由联合体任意一方按规定提交的履约保证金，视为有效履约保证金。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宋体" w:hAnsi="宋体" w:cs="宋体"/>
                <w:color w:val="auto"/>
                <w:szCs w:val="21"/>
                <w:highlight w:val="none"/>
              </w:rPr>
            </w:pPr>
            <w:r>
              <w:rPr>
                <w:rFonts w:ascii="宋体" w:hAnsi="宋体" w:cs="宋体"/>
                <w:color w:val="auto"/>
                <w:szCs w:val="21"/>
                <w:highlight w:val="none"/>
              </w:rPr>
              <w:t>29.1</w:t>
            </w:r>
          </w:p>
        </w:tc>
        <w:tc>
          <w:tcPr>
            <w:tcW w:w="7912" w:type="dxa"/>
            <w:vAlign w:val="center"/>
          </w:tcPr>
          <w:p>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 xml:space="preserve">签订合同携带的证明材料： </w:t>
            </w:r>
          </w:p>
          <w:p>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pPr>
              <w:snapToGrid w:val="0"/>
              <w:spacing w:line="360" w:lineRule="auto"/>
              <w:rPr>
                <w:rFonts w:ascii="宋体" w:hAnsi="宋体" w:cs="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1.2</w:t>
            </w:r>
          </w:p>
        </w:tc>
        <w:tc>
          <w:tcPr>
            <w:tcW w:w="7912" w:type="dxa"/>
            <w:vAlign w:val="center"/>
          </w:tcPr>
          <w:p>
            <w:pPr>
              <w:snapToGrid w:val="0"/>
              <w:spacing w:line="360" w:lineRule="auto"/>
              <w:rPr>
                <w:rFonts w:ascii="宋体" w:hAnsi="宋体"/>
                <w:color w:val="auto"/>
                <w:szCs w:val="21"/>
                <w:highlight w:val="none"/>
              </w:rPr>
            </w:pPr>
            <w:r>
              <w:rPr>
                <w:rFonts w:hint="eastAsia" w:ascii="宋体" w:hAnsi="宋体"/>
                <w:color w:val="auto"/>
                <w:szCs w:val="21"/>
                <w:highlight w:val="none"/>
              </w:rPr>
              <w:t>接收质疑函方式：以书面形式。</w:t>
            </w:r>
          </w:p>
          <w:p>
            <w:pPr>
              <w:snapToGrid w:val="0"/>
              <w:spacing w:line="360" w:lineRule="auto"/>
              <w:rPr>
                <w:rFonts w:ascii="宋体" w:hAnsi="宋体"/>
                <w:color w:val="auto"/>
                <w:szCs w:val="21"/>
                <w:highlight w:val="none"/>
              </w:rPr>
            </w:pPr>
            <w:r>
              <w:rPr>
                <w:rFonts w:hint="eastAsia" w:ascii="宋体" w:hAnsi="宋体"/>
                <w:color w:val="auto"/>
                <w:szCs w:val="21"/>
                <w:highlight w:val="none"/>
              </w:rPr>
              <w:t>质疑联系部门及联系方式：云之龙咨询集团有限公司</w:t>
            </w:r>
          </w:p>
          <w:p>
            <w:pPr>
              <w:snapToGrid w:val="0"/>
              <w:spacing w:line="360" w:lineRule="auto"/>
              <w:rPr>
                <w:rFonts w:ascii="宋体" w:hAnsi="宋体"/>
                <w:color w:val="auto"/>
                <w:szCs w:val="21"/>
                <w:highlight w:val="none"/>
              </w:rPr>
            </w:pPr>
            <w:r>
              <w:rPr>
                <w:rFonts w:hint="eastAsia" w:ascii="宋体" w:hAnsi="宋体"/>
                <w:color w:val="auto"/>
                <w:szCs w:val="21"/>
                <w:highlight w:val="none"/>
              </w:rPr>
              <w:t>联系电话：0771-2618118.2611889.2611898</w:t>
            </w:r>
          </w:p>
          <w:p>
            <w:pPr>
              <w:snapToGrid w:val="0"/>
              <w:spacing w:line="360" w:lineRule="auto"/>
              <w:rPr>
                <w:rFonts w:ascii="宋体" w:hAnsi="宋体"/>
                <w:color w:val="auto"/>
                <w:szCs w:val="21"/>
                <w:highlight w:val="none"/>
              </w:rPr>
            </w:pPr>
            <w:r>
              <w:rPr>
                <w:rFonts w:hint="eastAsia" w:ascii="宋体" w:hAnsi="宋体"/>
                <w:color w:val="auto"/>
                <w:szCs w:val="21"/>
                <w:highlight w:val="none"/>
              </w:rPr>
              <w:t>通讯地址：南宁市良庆区云英路15号3号楼云之龙咨询集团大厦6楼</w:t>
            </w:r>
          </w:p>
          <w:p>
            <w:pPr>
              <w:pStyle w:val="16"/>
              <w:snapToGrid w:val="0"/>
              <w:spacing w:line="360" w:lineRule="auto"/>
              <w:rPr>
                <w:rFonts w:hAnsi="宋体"/>
                <w:color w:val="auto"/>
                <w:kern w:val="2"/>
                <w:sz w:val="21"/>
                <w:highlight w:val="none"/>
              </w:rPr>
            </w:pPr>
            <w:r>
              <w:rPr>
                <w:rFonts w:hint="eastAsia" w:hAnsi="宋体"/>
                <w:color w:val="auto"/>
                <w:kern w:val="2"/>
                <w:sz w:val="21"/>
                <w:highlight w:val="none"/>
              </w:rPr>
              <w:t>业务时间：每天上午8时00分到12时00分，下午3时00分到6时 00分，双休日和法定节假日不办理业务。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宋体" w:hAnsi="宋体" w:cs="宋体"/>
                <w:color w:val="auto"/>
                <w:szCs w:val="21"/>
                <w:highlight w:val="none"/>
              </w:rPr>
            </w:pPr>
            <w:r>
              <w:rPr>
                <w:rFonts w:ascii="宋体" w:hAnsi="宋体" w:cs="宋体"/>
                <w:color w:val="auto"/>
                <w:szCs w:val="21"/>
                <w:highlight w:val="none"/>
              </w:rPr>
              <w:t>32.1</w:t>
            </w:r>
          </w:p>
        </w:tc>
        <w:tc>
          <w:tcPr>
            <w:tcW w:w="7912" w:type="dxa"/>
            <w:vAlign w:val="center"/>
          </w:tcPr>
          <w:p>
            <w:pPr>
              <w:pStyle w:val="16"/>
              <w:snapToGrid w:val="0"/>
              <w:spacing w:line="360" w:lineRule="auto"/>
              <w:rPr>
                <w:rFonts w:hAnsi="宋体" w:cs="宋体"/>
                <w:color w:val="auto"/>
                <w:sz w:val="21"/>
                <w:highlight w:val="none"/>
              </w:rPr>
            </w:pPr>
            <w:r>
              <w:rPr>
                <w:rFonts w:hint="eastAsia" w:hAnsi="宋体" w:cs="宋体"/>
                <w:color w:val="auto"/>
                <w:sz w:val="21"/>
                <w:highlight w:val="none"/>
              </w:rPr>
              <w:t>1.采购代理费支付方式：</w:t>
            </w:r>
          </w:p>
          <w:p>
            <w:pPr>
              <w:pStyle w:val="16"/>
              <w:snapToGrid w:val="0"/>
              <w:spacing w:line="360" w:lineRule="auto"/>
              <w:rPr>
                <w:rFonts w:hAnsi="宋体" w:cs="宋体"/>
                <w:color w:val="auto"/>
                <w:sz w:val="21"/>
                <w:highlight w:val="none"/>
              </w:rPr>
            </w:pPr>
            <w:r>
              <w:rPr>
                <w:rFonts w:hint="eastAsia" w:hAnsi="宋体"/>
                <w:color w:val="auto"/>
                <w:highlight w:val="none"/>
              </w:rPr>
              <w:t>√</w:t>
            </w:r>
            <w:r>
              <w:rPr>
                <w:rFonts w:hint="eastAsia" w:hAnsi="宋体" w:cs="宋体"/>
                <w:color w:val="auto"/>
                <w:sz w:val="21"/>
                <w:highlight w:val="none"/>
              </w:rPr>
              <w:t>本项目代理服务费按如下规定由</w:t>
            </w:r>
            <w:r>
              <w:rPr>
                <w:rFonts w:hint="eastAsia" w:hAnsi="宋体" w:cs="宋体"/>
                <w:color w:val="auto"/>
                <w:sz w:val="21"/>
                <w:highlight w:val="none"/>
                <w:u w:val="single"/>
              </w:rPr>
              <w:t>成交供应商</w:t>
            </w:r>
            <w:r>
              <w:rPr>
                <w:rFonts w:hint="eastAsia" w:hAnsi="宋体" w:cs="宋体"/>
                <w:color w:val="auto"/>
                <w:sz w:val="21"/>
                <w:highlight w:val="none"/>
              </w:rPr>
              <w:t>在领取成交通知书前，一次性向采购代理机构支付。</w:t>
            </w:r>
          </w:p>
          <w:p>
            <w:pPr>
              <w:pStyle w:val="16"/>
              <w:snapToGrid w:val="0"/>
              <w:spacing w:line="360" w:lineRule="auto"/>
              <w:rPr>
                <w:rFonts w:hAnsi="宋体" w:cs="宋体"/>
                <w:color w:val="auto"/>
                <w:sz w:val="21"/>
                <w:highlight w:val="none"/>
              </w:rPr>
            </w:pPr>
            <w:r>
              <w:rPr>
                <w:rFonts w:hint="eastAsia" w:hAnsi="宋体" w:cs="宋体"/>
                <w:color w:val="auto"/>
                <w:sz w:val="21"/>
                <w:highlight w:val="none"/>
              </w:rPr>
              <w:t>□采购人支付。</w:t>
            </w:r>
          </w:p>
          <w:p>
            <w:pPr>
              <w:pStyle w:val="16"/>
              <w:snapToGrid w:val="0"/>
              <w:spacing w:line="360" w:lineRule="auto"/>
              <w:rPr>
                <w:rFonts w:hAnsi="宋体" w:cs="宋体"/>
                <w:color w:val="auto"/>
                <w:sz w:val="21"/>
                <w:highlight w:val="none"/>
              </w:rPr>
            </w:pPr>
            <w:r>
              <w:rPr>
                <w:rFonts w:hint="eastAsia" w:hAnsi="宋体" w:cs="宋体"/>
                <w:color w:val="auto"/>
                <w:sz w:val="21"/>
                <w:highlight w:val="none"/>
              </w:rPr>
              <w:t>2.采购代理费收取标准：</w:t>
            </w:r>
          </w:p>
          <w:p>
            <w:pPr>
              <w:pStyle w:val="16"/>
              <w:snapToGrid w:val="0"/>
              <w:spacing w:line="360" w:lineRule="auto"/>
              <w:rPr>
                <w:rFonts w:hAnsi="宋体" w:cs="宋体"/>
                <w:color w:val="auto"/>
                <w:sz w:val="21"/>
                <w:highlight w:val="none"/>
              </w:rPr>
            </w:pPr>
            <w:r>
              <w:rPr>
                <w:rFonts w:hint="eastAsia" w:hAnsi="宋体"/>
                <w:color w:val="auto"/>
                <w:highlight w:val="none"/>
              </w:rPr>
              <w:t>√</w:t>
            </w:r>
            <w:r>
              <w:rPr>
                <w:rFonts w:hint="eastAsia" w:hAnsi="宋体" w:cs="宋体"/>
                <w:color w:val="auto"/>
                <w:sz w:val="21"/>
                <w:highlight w:val="none"/>
              </w:rPr>
              <w:t>以分标（</w:t>
            </w:r>
            <w:r>
              <w:rPr>
                <w:rFonts w:hint="eastAsia" w:hAnsi="宋体"/>
                <w:color w:val="auto"/>
                <w:highlight w:val="none"/>
              </w:rPr>
              <w:t>√</w:t>
            </w:r>
            <w:r>
              <w:rPr>
                <w:rFonts w:hint="eastAsia" w:hAnsi="宋体" w:cs="宋体"/>
                <w:color w:val="auto"/>
                <w:sz w:val="21"/>
                <w:highlight w:val="none"/>
              </w:rPr>
              <w:t>成交金额/□采购预算/□暂定成交金额/□其他）为计费额，按本须知正文第35.1条规定的（□货物类/√服务类/□工程类）标准采用差额定率累进法计算出收费基准价格，采购代理收费以（</w:t>
            </w:r>
            <w:r>
              <w:rPr>
                <w:rFonts w:ascii="Segoe UI Symbol" w:hAnsi="Segoe UI Symbol" w:cs="Segoe UI Symbol"/>
                <w:color w:val="auto"/>
                <w:sz w:val="21"/>
                <w:highlight w:val="none"/>
              </w:rPr>
              <w:t>☑</w:t>
            </w:r>
            <w:r>
              <w:rPr>
                <w:rFonts w:hint="eastAsia" w:hAnsi="宋体" w:cs="宋体"/>
                <w:color w:val="auto"/>
                <w:sz w:val="21"/>
                <w:highlight w:val="none"/>
              </w:rPr>
              <w:t>收费基准价格/□收费基准价格下浮/□收费基准价格上浮</w:t>
            </w:r>
            <w:r>
              <w:rPr>
                <w:rFonts w:hint="eastAsia" w:hAnsi="宋体" w:cs="宋体"/>
                <w:color w:val="auto"/>
                <w:sz w:val="21"/>
                <w:highlight w:val="none"/>
                <w:u w:val="single"/>
              </w:rPr>
              <w:t xml:space="preserve">   %</w:t>
            </w:r>
            <w:r>
              <w:rPr>
                <w:rFonts w:hint="eastAsia" w:hAnsi="宋体" w:cs="宋体"/>
                <w:color w:val="auto"/>
                <w:sz w:val="21"/>
                <w:highlight w:val="none"/>
              </w:rPr>
              <w:t>）收取。</w:t>
            </w:r>
          </w:p>
          <w:p>
            <w:pPr>
              <w:pStyle w:val="16"/>
              <w:snapToGrid w:val="0"/>
              <w:spacing w:line="360" w:lineRule="auto"/>
              <w:rPr>
                <w:rFonts w:hAnsi="宋体" w:cs="宋体"/>
                <w:color w:val="auto"/>
                <w:sz w:val="21"/>
                <w:highlight w:val="none"/>
                <w:u w:val="single"/>
              </w:rPr>
            </w:pPr>
            <w:r>
              <w:rPr>
                <w:rFonts w:hint="eastAsia" w:hAnsi="宋体" w:cs="宋体"/>
                <w:color w:val="auto"/>
                <w:sz w:val="21"/>
                <w:highlight w:val="none"/>
              </w:rPr>
              <w:t>□固定采购代理收费</w:t>
            </w:r>
            <w:r>
              <w:rPr>
                <w:rFonts w:hint="eastAsia" w:hAnsi="宋体" w:cs="宋体"/>
                <w:color w:val="auto"/>
                <w:sz w:val="21"/>
                <w:highlight w:val="none"/>
                <w:u w:val="single"/>
              </w:rPr>
              <w:t xml:space="preserve">              。</w:t>
            </w:r>
          </w:p>
          <w:p>
            <w:pPr>
              <w:pStyle w:val="16"/>
              <w:snapToGrid w:val="0"/>
              <w:spacing w:line="360" w:lineRule="auto"/>
              <w:rPr>
                <w:rFonts w:hAnsi="宋体" w:cs="宋体"/>
                <w:color w:val="auto"/>
                <w:sz w:val="21"/>
                <w:highlight w:val="none"/>
              </w:rPr>
            </w:pPr>
            <w:r>
              <w:rPr>
                <w:rFonts w:hint="eastAsia" w:hAnsi="宋体" w:cs="宋体"/>
                <w:color w:val="auto"/>
                <w:sz w:val="21"/>
                <w:highlight w:val="none"/>
              </w:rPr>
              <w:t>3. 采购代理费收取银行账户</w:t>
            </w:r>
          </w:p>
          <w:p>
            <w:pPr>
              <w:pStyle w:val="16"/>
              <w:snapToGrid w:val="0"/>
              <w:spacing w:line="360" w:lineRule="auto"/>
              <w:rPr>
                <w:rFonts w:hAnsi="宋体" w:cs="宋体"/>
                <w:color w:val="auto"/>
                <w:sz w:val="21"/>
                <w:highlight w:val="none"/>
              </w:rPr>
            </w:pPr>
            <w:r>
              <w:rPr>
                <w:rFonts w:hint="eastAsia" w:hAnsi="宋体" w:cs="宋体"/>
                <w:color w:val="auto"/>
                <w:sz w:val="21"/>
                <w:highlight w:val="none"/>
              </w:rPr>
              <w:t xml:space="preserve">开户名称：云之龙咨询集团有限公司， </w:t>
            </w:r>
          </w:p>
          <w:p>
            <w:pPr>
              <w:pStyle w:val="16"/>
              <w:snapToGrid w:val="0"/>
              <w:spacing w:line="360" w:lineRule="auto"/>
              <w:rPr>
                <w:rFonts w:hAnsi="宋体" w:cs="宋体"/>
                <w:color w:val="auto"/>
                <w:sz w:val="21"/>
                <w:highlight w:val="none"/>
              </w:rPr>
            </w:pPr>
            <w:r>
              <w:rPr>
                <w:rFonts w:hint="eastAsia" w:hAnsi="宋体" w:cs="宋体"/>
                <w:color w:val="auto"/>
                <w:sz w:val="21"/>
                <w:highlight w:val="none"/>
              </w:rPr>
              <w:t xml:space="preserve">开户银行：中国银行南宁市民主支行（网银支付可选中国银行股份有限公司南宁分行）， </w:t>
            </w:r>
          </w:p>
          <w:p>
            <w:pPr>
              <w:pStyle w:val="16"/>
              <w:snapToGrid w:val="0"/>
              <w:spacing w:line="360" w:lineRule="auto"/>
              <w:rPr>
                <w:rFonts w:hAnsi="宋体" w:cs="宋体"/>
                <w:color w:val="auto"/>
                <w:sz w:val="21"/>
                <w:highlight w:val="none"/>
              </w:rPr>
            </w:pPr>
            <w:r>
              <w:rPr>
                <w:rFonts w:hint="eastAsia" w:hAnsi="宋体" w:cs="宋体"/>
                <w:color w:val="auto"/>
                <w:sz w:val="21"/>
                <w:highlight w:val="none"/>
              </w:rPr>
              <w:t xml:space="preserve">银行账号：623661021638， </w:t>
            </w:r>
          </w:p>
          <w:p>
            <w:pPr>
              <w:pStyle w:val="16"/>
              <w:snapToGrid w:val="0"/>
              <w:spacing w:line="360" w:lineRule="auto"/>
              <w:rPr>
                <w:rFonts w:hAnsi="宋体" w:cs="宋体"/>
                <w:color w:val="auto"/>
                <w:sz w:val="21"/>
                <w:highlight w:val="none"/>
                <w:u w:val="single"/>
              </w:rPr>
            </w:pPr>
            <w:r>
              <w:rPr>
                <w:rFonts w:hint="eastAsia" w:hAnsi="宋体" w:cs="宋体"/>
                <w:color w:val="auto"/>
                <w:sz w:val="21"/>
                <w:highlight w:val="none"/>
              </w:rPr>
              <w:t>开户行行号：104611010017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3.1</w:t>
            </w:r>
          </w:p>
        </w:tc>
        <w:tc>
          <w:tcPr>
            <w:tcW w:w="7912" w:type="dxa"/>
            <w:vAlign w:val="center"/>
          </w:tcPr>
          <w:p>
            <w:pPr>
              <w:pStyle w:val="16"/>
              <w:snapToGrid w:val="0"/>
              <w:spacing w:line="360" w:lineRule="auto"/>
              <w:rPr>
                <w:rFonts w:hAnsi="宋体" w:cs="宋体"/>
                <w:color w:val="auto"/>
                <w:kern w:val="2"/>
                <w:sz w:val="21"/>
                <w:highlight w:val="none"/>
              </w:rPr>
            </w:pPr>
            <w:r>
              <w:rPr>
                <w:rFonts w:hint="eastAsia" w:hAnsi="宋体"/>
                <w:color w:val="auto"/>
                <w:sz w:val="21"/>
                <w:highlight w:val="none"/>
              </w:rPr>
              <w:t>解释：</w:t>
            </w:r>
            <w:r>
              <w:rPr>
                <w:rFonts w:hAnsi="宋体"/>
                <w:color w:val="auto"/>
                <w:sz w:val="21"/>
                <w:highlight w:val="none"/>
              </w:rPr>
              <w:t>构成本</w:t>
            </w:r>
            <w:r>
              <w:rPr>
                <w:rFonts w:hint="eastAsia" w:hAnsi="宋体"/>
                <w:color w:val="auto"/>
                <w:sz w:val="21"/>
                <w:highlight w:val="none"/>
              </w:rPr>
              <w:t>磋商文件</w:t>
            </w:r>
            <w:r>
              <w:rPr>
                <w:rFonts w:hAnsi="宋体"/>
                <w:color w:val="auto"/>
                <w:sz w:val="21"/>
                <w:highlight w:val="none"/>
              </w:rPr>
              <w:t>的各个组成文件应互为解释，互为说明；除</w:t>
            </w:r>
            <w:r>
              <w:rPr>
                <w:rFonts w:hint="eastAsia" w:hAnsi="宋体"/>
                <w:color w:val="auto"/>
                <w:sz w:val="21"/>
                <w:highlight w:val="none"/>
              </w:rPr>
              <w:t>磋商文件</w:t>
            </w:r>
            <w:r>
              <w:rPr>
                <w:rFonts w:hAnsi="宋体"/>
                <w:color w:val="auto"/>
                <w:sz w:val="21"/>
                <w:highlight w:val="none"/>
              </w:rPr>
              <w:t>中有特别规定外，仅适用于</w:t>
            </w:r>
            <w:r>
              <w:rPr>
                <w:rFonts w:hint="eastAsia" w:hAnsi="宋体"/>
                <w:color w:val="auto"/>
                <w:sz w:val="21"/>
                <w:highlight w:val="none"/>
              </w:rPr>
              <w:t>竞标</w:t>
            </w:r>
            <w:r>
              <w:rPr>
                <w:rFonts w:hAnsi="宋体"/>
                <w:color w:val="auto"/>
                <w:sz w:val="21"/>
                <w:highlight w:val="none"/>
              </w:rPr>
              <w:t>阶段的规定，按</w:t>
            </w:r>
            <w:r>
              <w:rPr>
                <w:rFonts w:hint="eastAsia" w:hAnsi="宋体"/>
                <w:color w:val="auto"/>
                <w:sz w:val="21"/>
                <w:highlight w:val="none"/>
              </w:rPr>
              <w:t>更正公告（澄清公告）</w:t>
            </w:r>
            <w:r>
              <w:rPr>
                <w:rFonts w:hAnsi="宋体"/>
                <w:color w:val="auto"/>
                <w:sz w:val="21"/>
                <w:highlight w:val="none"/>
              </w:rPr>
              <w:t>、</w:t>
            </w:r>
            <w:r>
              <w:rPr>
                <w:rFonts w:hint="eastAsia" w:hAnsi="宋体"/>
                <w:color w:val="auto"/>
                <w:sz w:val="21"/>
                <w:highlight w:val="none"/>
              </w:rPr>
              <w:t>竞争性磋商</w:t>
            </w:r>
            <w:r>
              <w:rPr>
                <w:rFonts w:hAnsi="宋体"/>
                <w:color w:val="auto"/>
                <w:sz w:val="21"/>
                <w:highlight w:val="none"/>
              </w:rPr>
              <w:t>公告、</w:t>
            </w:r>
            <w:r>
              <w:rPr>
                <w:rFonts w:hint="eastAsia" w:hAnsi="宋体"/>
                <w:color w:val="auto"/>
                <w:sz w:val="21"/>
                <w:highlight w:val="none"/>
              </w:rPr>
              <w:t>供应商</w:t>
            </w:r>
            <w:r>
              <w:rPr>
                <w:rFonts w:hAnsi="宋体"/>
                <w:color w:val="auto"/>
                <w:sz w:val="21"/>
                <w:highlight w:val="none"/>
              </w:rPr>
              <w:t>须知</w:t>
            </w:r>
            <w:r>
              <w:rPr>
                <w:rFonts w:hint="eastAsia" w:hAnsi="宋体"/>
                <w:color w:val="auto"/>
                <w:sz w:val="21"/>
                <w:highlight w:val="none"/>
              </w:rPr>
              <w:t>、采购需求</w:t>
            </w:r>
            <w:r>
              <w:rPr>
                <w:rFonts w:hAnsi="宋体"/>
                <w:color w:val="auto"/>
                <w:sz w:val="21"/>
                <w:highlight w:val="none"/>
              </w:rPr>
              <w:t>、</w:t>
            </w:r>
            <w:r>
              <w:rPr>
                <w:rFonts w:hint="eastAsia"/>
                <w:color w:val="auto"/>
                <w:sz w:val="21"/>
                <w:highlight w:val="none"/>
              </w:rPr>
              <w:t>评审程序、评审方法和评审标准</w:t>
            </w:r>
            <w:r>
              <w:rPr>
                <w:rFonts w:hAnsi="宋体"/>
                <w:color w:val="auto"/>
                <w:sz w:val="21"/>
                <w:highlight w:val="none"/>
              </w:rPr>
              <w:t>、</w:t>
            </w:r>
            <w:r>
              <w:rPr>
                <w:rFonts w:hint="eastAsia" w:hAnsi="宋体"/>
                <w:color w:val="auto"/>
                <w:sz w:val="21"/>
                <w:highlight w:val="none"/>
              </w:rPr>
              <w:t>响应</w:t>
            </w:r>
            <w:r>
              <w:rPr>
                <w:rFonts w:hAnsi="宋体"/>
                <w:color w:val="auto"/>
                <w:sz w:val="21"/>
                <w:highlight w:val="none"/>
              </w:rPr>
              <w:t>文件格式</w:t>
            </w:r>
            <w:r>
              <w:rPr>
                <w:rFonts w:hint="eastAsia" w:hAnsi="宋体"/>
                <w:color w:val="auto"/>
                <w:sz w:val="21"/>
                <w:highlight w:val="none"/>
              </w:rPr>
              <w:t>、合同文本</w:t>
            </w:r>
            <w:r>
              <w:rPr>
                <w:rFonts w:hAnsi="宋体"/>
                <w:color w:val="auto"/>
                <w:sz w:val="21"/>
                <w:highlight w:val="none"/>
              </w:rPr>
              <w:t>的先后顺序解释；同一组成文件中就同一事项的规定或者约定不一致的，以编排顺序在后者为准；同一组成文件不同版本之间有不一致的，以形成时间在后者为准；</w:t>
            </w:r>
            <w:r>
              <w:rPr>
                <w:rFonts w:hint="eastAsia" w:hAnsi="宋体"/>
                <w:color w:val="auto"/>
                <w:sz w:val="21"/>
                <w:highlight w:val="none"/>
              </w:rPr>
              <w:t>更正公告（澄清公告）</w:t>
            </w:r>
            <w:r>
              <w:rPr>
                <w:rFonts w:hAnsi="宋体"/>
                <w:color w:val="auto"/>
                <w:sz w:val="21"/>
                <w:highlight w:val="none"/>
              </w:rPr>
              <w:t>与同步更新的</w:t>
            </w:r>
            <w:r>
              <w:rPr>
                <w:rFonts w:hint="eastAsia" w:hAnsi="宋体"/>
                <w:color w:val="auto"/>
                <w:sz w:val="21"/>
                <w:highlight w:val="none"/>
              </w:rPr>
              <w:t>磋商文件</w:t>
            </w:r>
            <w:r>
              <w:rPr>
                <w:rFonts w:hAnsi="宋体"/>
                <w:color w:val="auto"/>
                <w:sz w:val="21"/>
                <w:highlight w:val="none"/>
              </w:rPr>
              <w:t>不一致时以</w:t>
            </w:r>
            <w:r>
              <w:rPr>
                <w:rFonts w:hint="eastAsia" w:hAnsi="宋体"/>
                <w:color w:val="auto"/>
                <w:sz w:val="21"/>
                <w:highlight w:val="none"/>
              </w:rPr>
              <w:t>更正公告（澄清公告）</w:t>
            </w:r>
            <w:r>
              <w:rPr>
                <w:rFonts w:hAnsi="宋体"/>
                <w:color w:val="auto"/>
                <w:sz w:val="21"/>
                <w:highlight w:val="none"/>
              </w:rPr>
              <w:t>为准。按本款前述规定仍不能形成结论的，由</w:t>
            </w:r>
            <w:r>
              <w:rPr>
                <w:rFonts w:hint="eastAsia" w:hAnsi="宋体"/>
                <w:color w:val="auto"/>
                <w:sz w:val="21"/>
                <w:highlight w:val="none"/>
              </w:rPr>
              <w:t>采购</w:t>
            </w:r>
            <w:r>
              <w:rPr>
                <w:rFonts w:hAnsi="宋体"/>
                <w:color w:val="auto"/>
                <w:sz w:val="21"/>
                <w:highlight w:val="none"/>
              </w:rPr>
              <w:t>人</w:t>
            </w:r>
            <w:r>
              <w:rPr>
                <w:rFonts w:hint="eastAsia" w:hAnsi="宋体"/>
                <w:color w:val="auto"/>
                <w:sz w:val="21"/>
                <w:highlight w:val="none"/>
              </w:rPr>
              <w:t>或者采购代理机构</w:t>
            </w:r>
            <w:r>
              <w:rPr>
                <w:rFonts w:hAnsi="宋体"/>
                <w:color w:val="auto"/>
                <w:sz w:val="21"/>
                <w:highlight w:val="none"/>
              </w:rPr>
              <w:t>负责解释。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3.2</w:t>
            </w:r>
          </w:p>
        </w:tc>
        <w:tc>
          <w:tcPr>
            <w:tcW w:w="7912" w:type="dxa"/>
            <w:vAlign w:val="center"/>
          </w:tcPr>
          <w:p>
            <w:pPr>
              <w:pStyle w:val="16"/>
              <w:snapToGrid w:val="0"/>
              <w:spacing w:line="360" w:lineRule="auto"/>
              <w:rPr>
                <w:rFonts w:hAnsi="宋体" w:cs="宋体"/>
                <w:color w:val="auto"/>
                <w:sz w:val="21"/>
                <w:highlight w:val="none"/>
              </w:rPr>
            </w:pPr>
            <w:r>
              <w:rPr>
                <w:rFonts w:hint="eastAsia" w:hAnsi="宋体" w:cs="宋体"/>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pPr>
              <w:pStyle w:val="16"/>
              <w:snapToGrid w:val="0"/>
              <w:spacing w:line="360" w:lineRule="auto"/>
              <w:rPr>
                <w:rFonts w:hAnsi="宋体" w:cs="宋体"/>
                <w:color w:val="auto"/>
                <w:sz w:val="21"/>
                <w:highlight w:val="none"/>
              </w:rPr>
            </w:pPr>
            <w:r>
              <w:rPr>
                <w:rFonts w:hint="eastAsia" w:hAnsi="宋体" w:cs="宋体"/>
                <w:bCs/>
                <w:color w:val="auto"/>
                <w:sz w:val="21"/>
                <w:highlight w:val="none"/>
              </w:rPr>
              <w:t>2.本磋商文件所称的“</w:t>
            </w:r>
            <w:r>
              <w:rPr>
                <w:rFonts w:hint="eastAsia" w:hAnsi="宋体"/>
                <w:color w:val="auto"/>
                <w:sz w:val="21"/>
                <w:highlight w:val="none"/>
              </w:rPr>
              <w:t>电子签章</w:t>
            </w:r>
            <w:r>
              <w:rPr>
                <w:rFonts w:hint="eastAsia" w:hAnsi="宋体" w:cs="宋体"/>
                <w:bCs/>
                <w:color w:val="auto"/>
                <w:sz w:val="21"/>
                <w:highlight w:val="none"/>
              </w:rPr>
              <w:t>”、“电子签名”</w:t>
            </w:r>
            <w:r>
              <w:rPr>
                <w:rFonts w:hint="eastAsia" w:hAnsi="宋体"/>
                <w:color w:val="auto"/>
                <w:sz w:val="21"/>
                <w:highlight w:val="none"/>
              </w:rPr>
              <w:t>，是指经“政采云”平台认可的CA认证的电子签名数据为表现形式的印章，可用于签署电子响应文件，电子印章与实物印章具有同等法律效力，不因其采用电子化表现形式而否定其法律效力。</w:t>
            </w:r>
          </w:p>
          <w:p>
            <w:pPr>
              <w:pStyle w:val="16"/>
              <w:snapToGrid w:val="0"/>
              <w:spacing w:line="360" w:lineRule="auto"/>
              <w:rPr>
                <w:rFonts w:hAnsi="宋体" w:cs="宋体"/>
                <w:bCs/>
                <w:color w:val="auto"/>
                <w:sz w:val="21"/>
                <w:highlight w:val="none"/>
              </w:rPr>
            </w:pPr>
            <w:r>
              <w:rPr>
                <w:rFonts w:hAnsi="宋体" w:cs="宋体"/>
                <w:color w:val="auto"/>
                <w:sz w:val="21"/>
                <w:highlight w:val="none"/>
              </w:rPr>
              <w:t>3</w:t>
            </w:r>
            <w:r>
              <w:rPr>
                <w:rFonts w:hint="eastAsia" w:hAnsi="宋体" w:cs="宋体"/>
                <w:color w:val="auto"/>
                <w:sz w:val="21"/>
                <w:highlight w:val="none"/>
              </w:rPr>
              <w:t>.供应商为其他组织或者自然人时，本磋商文件规定的法定代表人指负责人或者自然人。本磋商文件所称负责人是指参加竞标的其他组织</w:t>
            </w:r>
            <w:r>
              <w:rPr>
                <w:rFonts w:hint="eastAsia" w:hAnsi="宋体" w:cs="宋体"/>
                <w:bCs/>
                <w:color w:val="auto"/>
                <w:sz w:val="21"/>
                <w:highlight w:val="none"/>
              </w:rPr>
              <w:t>营业执照或者执业许可证等证照上的</w:t>
            </w:r>
            <w:r>
              <w:rPr>
                <w:rFonts w:hint="eastAsia" w:hAnsi="宋体" w:cs="宋体"/>
                <w:color w:val="auto"/>
                <w:sz w:val="21"/>
                <w:highlight w:val="none"/>
              </w:rPr>
              <w:t>负责人，本磋商文件所称自然人指参与竞标的自然人本人，</w:t>
            </w:r>
            <w:r>
              <w:rPr>
                <w:rFonts w:hint="eastAsia" w:hAnsi="宋体" w:cs="宋体"/>
                <w:bCs/>
                <w:color w:val="auto"/>
                <w:sz w:val="21"/>
                <w:highlight w:val="none"/>
              </w:rPr>
              <w:t>且应具备独立承担民事责任能力，自然人应当为年满18岁以上成年人（十六周岁以上的未成年人，以自己的劳动收入为主要生活来源的，视为完全民事行为能力人）。</w:t>
            </w:r>
          </w:p>
          <w:p>
            <w:pPr>
              <w:pStyle w:val="16"/>
              <w:snapToGrid w:val="0"/>
              <w:spacing w:line="360" w:lineRule="auto"/>
              <w:rPr>
                <w:rFonts w:hAnsi="宋体" w:cs="宋体"/>
                <w:color w:val="auto"/>
                <w:sz w:val="21"/>
                <w:highlight w:val="none"/>
              </w:rPr>
            </w:pPr>
            <w:r>
              <w:rPr>
                <w:rFonts w:hAnsi="宋体" w:cs="宋体"/>
                <w:color w:val="auto"/>
                <w:sz w:val="21"/>
                <w:highlight w:val="none"/>
              </w:rPr>
              <w:t>4.</w:t>
            </w:r>
            <w:r>
              <w:rPr>
                <w:rFonts w:hint="eastAsia" w:hAnsi="宋体" w:cs="宋体"/>
                <w:color w:val="auto"/>
                <w:sz w:val="21"/>
                <w:highlight w:val="none"/>
              </w:rPr>
              <w:t>本磋商文件中描述供应商的“签字”是指供应商的法定代表人或者委托代理人亲自在文件规定签署处亲笔写上个人的名字的行为，私章、签字章、印鉴、影印等其他形式均不能代替亲笔签字。</w:t>
            </w:r>
          </w:p>
          <w:p>
            <w:pPr>
              <w:pStyle w:val="16"/>
              <w:snapToGrid w:val="0"/>
              <w:spacing w:line="360" w:lineRule="auto"/>
              <w:rPr>
                <w:rFonts w:hAnsi="宋体" w:cs="宋体"/>
                <w:color w:val="auto"/>
                <w:sz w:val="21"/>
                <w:highlight w:val="none"/>
              </w:rPr>
            </w:pPr>
            <w:r>
              <w:rPr>
                <w:rFonts w:hint="eastAsia" w:hAnsi="宋体" w:cs="宋体"/>
                <w:color w:val="auto"/>
                <w:sz w:val="21"/>
                <w:highlight w:val="none"/>
              </w:rPr>
              <w:t>5</w:t>
            </w:r>
            <w:r>
              <w:rPr>
                <w:rFonts w:hAnsi="宋体" w:cs="宋体"/>
                <w:color w:val="auto"/>
                <w:sz w:val="21"/>
                <w:highlight w:val="none"/>
              </w:rPr>
              <w:t>.</w:t>
            </w:r>
            <w:r>
              <w:rPr>
                <w:rFonts w:hint="eastAsia" w:hAnsi="宋体" w:cs="宋体"/>
                <w:color w:val="auto"/>
                <w:sz w:val="21"/>
                <w:highlight w:val="none"/>
              </w:rPr>
              <w:t>本磋商文件所称的“以上”“以下”“以内”“届满”，包括本数；所称的“不满”“超过”“以外”，不包括本数。</w:t>
            </w:r>
          </w:p>
        </w:tc>
      </w:tr>
    </w:tbl>
    <w:p>
      <w:pPr>
        <w:spacing w:line="400" w:lineRule="exact"/>
        <w:jc w:val="center"/>
        <w:rPr>
          <w:rFonts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供应商须知正文</w:t>
      </w: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一、总则</w:t>
      </w:r>
    </w:p>
    <w:p>
      <w:pPr>
        <w:spacing w:line="400" w:lineRule="exact"/>
        <w:rPr>
          <w:rFonts w:ascii="宋体" w:hAnsi="宋体"/>
          <w:color w:val="auto"/>
          <w:szCs w:val="21"/>
          <w:highlight w:val="none"/>
        </w:rPr>
      </w:pP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w:t>
      </w:r>
      <w:r>
        <w:rPr>
          <w:rFonts w:hint="eastAsia" w:ascii="宋体" w:hAnsi="宋体"/>
          <w:color w:val="auto"/>
          <w:szCs w:val="21"/>
          <w:highlight w:val="none"/>
        </w:rPr>
        <w:t>《政府采购竞争性磋商采购方式管理暂行办法》《财政部关于政府采购竞争性磋商采购方式管理暂行办法有关问题的补充通知》</w:t>
      </w:r>
      <w:r>
        <w:rPr>
          <w:rFonts w:hint="eastAsia" w:ascii="宋体" w:hAnsi="宋体" w:cs="宋体"/>
          <w:color w:val="auto"/>
          <w:szCs w:val="21"/>
          <w:highlight w:val="none"/>
        </w:rPr>
        <w:t>及本项目本级和上级财政部门政府采购有关规定的约束和保护。</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2.定义</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2.4“服务”是指除货物和工程以外的其他政府采购对象。</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r>
        <w:rPr>
          <w:rFonts w:hint="eastAsia" w:ascii="宋体" w:hAnsi="宋体" w:cs="宋体"/>
          <w:color w:val="auto"/>
          <w:szCs w:val="21"/>
          <w:highlight w:val="none"/>
        </w:rPr>
        <w:t>“竞标”是指供应商按照本项目竞争性磋商公告或者邀请函规定的方式获取磋商文件、提交响应文件并希望获得标的的行为。</w:t>
      </w:r>
    </w:p>
    <w:p>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2.7“响应文件”</w:t>
      </w:r>
      <w:r>
        <w:rPr>
          <w:rFonts w:hint="eastAsia" w:ascii="宋体" w:hAnsi="宋体" w:cs="宋体"/>
          <w:color w:val="auto"/>
          <w:spacing w:val="-6"/>
          <w:szCs w:val="21"/>
          <w:highlight w:val="none"/>
        </w:rPr>
        <w:t>是指：供应商根据本磋商文件要求，编制包含资格证明、报价、商务技术等所有内容的文件。</w:t>
      </w:r>
    </w:p>
    <w:p>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2.8“实质性要求”是指磋商文件中已经指明不满足则响应文件按无效响应处理的条款，或者不能负偏离的条款，或者采购需求中带“▲”的条款。</w:t>
      </w:r>
    </w:p>
    <w:p>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2.9“正偏离”，是指响应文件对磋商文件“采购需求”中有关条款作出的响应优于条款要求并有利于采购人的情形。</w:t>
      </w:r>
    </w:p>
    <w:p>
      <w:pPr>
        <w:spacing w:line="360" w:lineRule="auto"/>
        <w:ind w:firstLine="420" w:firstLineChars="200"/>
        <w:contextualSpacing/>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10“负偏离”，是指响应文件对磋商文件“采购需求”中有关条款作出的响应不满足条款要求，导致采购人要求不能得到满足的情形。</w:t>
      </w:r>
    </w:p>
    <w:p>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1</w:t>
      </w:r>
      <w:r>
        <w:rPr>
          <w:rFonts w:hint="eastAsia" w:ascii="宋体" w:hAnsi="宋体" w:cs="宋体"/>
          <w:color w:val="auto"/>
          <w:szCs w:val="21"/>
          <w:highlight w:val="none"/>
        </w:rPr>
        <w:t>2“首次报价”是指供应商提交的首次响应文件中的报价。</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4.竞标费用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olor w:val="auto"/>
          <w:highlight w:val="none"/>
        </w:rPr>
        <w:t>如接受联合体竞标，</w:t>
      </w:r>
      <w:r>
        <w:rPr>
          <w:rFonts w:hint="eastAsia" w:ascii="宋体" w:hAnsi="宋体" w:cs="宋体"/>
          <w:color w:val="auto"/>
          <w:szCs w:val="21"/>
          <w:highlight w:val="none"/>
        </w:rPr>
        <w:t>联合体竞标要求详见“供应商须知前附表”。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w:t>
      </w:r>
      <w:bookmarkStart w:id="61" w:name="_Hlk66782192"/>
      <w:r>
        <w:rPr>
          <w:rFonts w:hint="eastAsia" w:ascii="宋体" w:hAnsi="宋体"/>
          <w:color w:val="auto"/>
          <w:szCs w:val="21"/>
          <w:highlight w:val="none"/>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的扣除，用扣除后的价格参加评审。</w:t>
      </w:r>
      <w:bookmarkEnd w:id="61"/>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pPr>
        <w:pStyle w:val="7"/>
        <w:keepNext w:val="0"/>
        <w:keepLines w:val="0"/>
        <w:spacing w:before="0" w:after="0" w:line="360" w:lineRule="auto"/>
        <w:ind w:left="420" w:leftChars="200"/>
        <w:rPr>
          <w:rFonts w:ascii="宋体" w:hAnsi="宋体"/>
          <w:b w:val="0"/>
          <w:color w:val="auto"/>
          <w:sz w:val="21"/>
          <w:szCs w:val="21"/>
          <w:highlight w:val="none"/>
        </w:rPr>
      </w:pPr>
      <w:bookmarkStart w:id="62" w:name="_Toc254970532"/>
      <w:bookmarkStart w:id="63" w:name="_Toc254970673"/>
      <w:r>
        <w:rPr>
          <w:rFonts w:hint="eastAsia" w:ascii="宋体" w:hAnsi="宋体"/>
          <w:b w:val="0"/>
          <w:color w:val="auto"/>
          <w:sz w:val="21"/>
          <w:szCs w:val="21"/>
          <w:highlight w:val="none"/>
        </w:rPr>
        <w:t>6.1本项目不允许转包。</w:t>
      </w:r>
    </w:p>
    <w:p>
      <w:pPr>
        <w:pStyle w:val="7"/>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pPr>
        <w:pStyle w:val="7"/>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7.特别说明</w:t>
      </w:r>
      <w:bookmarkEnd w:id="62"/>
      <w:bookmarkEnd w:id="63"/>
    </w:p>
    <w:p>
      <w:pPr>
        <w:spacing w:line="360" w:lineRule="auto"/>
        <w:ind w:firstLine="420" w:firstLineChars="200"/>
        <w:rPr>
          <w:rFonts w:ascii="宋体" w:hAnsi="宋体" w:cs="宋体"/>
          <w:color w:val="auto"/>
          <w:szCs w:val="21"/>
          <w:highlight w:val="none"/>
        </w:rPr>
      </w:pPr>
      <w:bookmarkStart w:id="64" w:name="_8.1提供相同品牌产品且通过资格审查、符合性审查的不同投标人参加同一合"/>
      <w:bookmarkEnd w:id="64"/>
      <w:r>
        <w:rPr>
          <w:rFonts w:hint="eastAsia" w:ascii="宋体" w:hAnsi="宋体" w:cs="宋体"/>
          <w:color w:val="auto"/>
          <w:szCs w:val="21"/>
          <w:highlight w:val="none"/>
        </w:rPr>
        <w:t>7.</w:t>
      </w:r>
      <w:r>
        <w:rPr>
          <w:rFonts w:ascii="宋体" w:hAnsi="宋体" w:cs="宋体"/>
          <w:color w:val="auto"/>
          <w:szCs w:val="21"/>
          <w:highlight w:val="none"/>
        </w:rPr>
        <w:t>1</w:t>
      </w:r>
      <w:bookmarkStart w:id="65" w:name="_Hlk65832145"/>
      <w:r>
        <w:rPr>
          <w:rFonts w:hint="eastAsia" w:ascii="宋体" w:hAnsi="宋体"/>
          <w:color w:val="auto"/>
          <w:szCs w:val="21"/>
          <w:highlight w:val="none"/>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highlight w:val="none"/>
        </w:rPr>
        <w:t>。</w:t>
      </w:r>
    </w:p>
    <w:bookmarkEnd w:id="65"/>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2</w:t>
      </w:r>
      <w:r>
        <w:rPr>
          <w:rFonts w:hint="eastAsia" w:ascii="宋体" w:hAnsi="宋体" w:cs="宋体"/>
          <w:color w:val="auto"/>
          <w:szCs w:val="21"/>
          <w:highlight w:val="none"/>
        </w:rPr>
        <w:t>供应商应仔细阅读磋商文件的所有内容，按照磋商文件的要求提交响应文件，并对所提供的全部资料的真实性承担法律责任。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3</w:t>
      </w:r>
      <w:r>
        <w:rPr>
          <w:rFonts w:hint="eastAsia" w:ascii="宋体" w:hAnsi="宋体" w:cs="宋体"/>
          <w:color w:val="auto"/>
          <w:szCs w:val="21"/>
          <w:highlight w:val="none"/>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4</w:t>
      </w:r>
      <w:r>
        <w:rPr>
          <w:rFonts w:hint="eastAsia" w:ascii="宋体" w:hAnsi="宋体" w:cs="宋体"/>
          <w:color w:val="auto"/>
          <w:szCs w:val="21"/>
          <w:highlight w:val="none"/>
        </w:rPr>
        <w:t>在政府采购活动中，采购人员及相关人员与供应商有下列利害关系之一的，应当回避：</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5</w:t>
      </w:r>
      <w:r>
        <w:rPr>
          <w:rFonts w:hint="eastAsia" w:ascii="宋体" w:hAnsi="宋体" w:cs="宋体"/>
          <w:color w:val="auto"/>
          <w:szCs w:val="21"/>
          <w:highlight w:val="none"/>
        </w:rPr>
        <w:t>有下列情形之一的视为供应商相互串通竞标，响应文件将被视为无效：</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pPr>
        <w:tabs>
          <w:tab w:val="left" w:pos="693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ascii="宋体" w:hAnsi="宋体" w:cs="宋体"/>
          <w:color w:val="auto"/>
          <w:szCs w:val="21"/>
          <w:highlight w:val="none"/>
        </w:rPr>
        <w:tab/>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6</w:t>
      </w:r>
      <w:r>
        <w:rPr>
          <w:rFonts w:hint="eastAsia" w:ascii="宋体" w:hAnsi="宋体" w:cs="宋体"/>
          <w:color w:val="auto"/>
          <w:szCs w:val="21"/>
          <w:highlight w:val="none"/>
        </w:rPr>
        <w:t>供应商有下列情形之一的，属于恶意串通行为，将报同级监督管理部门：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pPr>
        <w:spacing w:line="360" w:lineRule="auto"/>
        <w:ind w:firstLine="420" w:firstLineChars="200"/>
        <w:rPr>
          <w:rFonts w:ascii="宋体" w:hAnsi="宋体" w:cs="宋体"/>
          <w:color w:val="auto"/>
          <w:szCs w:val="21"/>
          <w:highlight w:val="none"/>
        </w:rPr>
      </w:pPr>
    </w:p>
    <w:p>
      <w:pPr>
        <w:spacing w:line="360" w:lineRule="auto"/>
        <w:ind w:left="1" w:firstLine="417" w:firstLineChars="199"/>
        <w:jc w:val="center"/>
        <w:rPr>
          <w:rFonts w:ascii="宋体" w:hAnsi="宋体"/>
          <w:color w:val="auto"/>
          <w:highlight w:val="none"/>
        </w:rPr>
      </w:pPr>
      <w:bookmarkStart w:id="66" w:name="_Toc254970675"/>
      <w:bookmarkStart w:id="67" w:name="_Toc254970534"/>
    </w:p>
    <w:p>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二、磋商文件</w:t>
      </w:r>
      <w:bookmarkEnd w:id="66"/>
      <w:bookmarkEnd w:id="67"/>
    </w:p>
    <w:p>
      <w:pPr>
        <w:spacing w:line="360" w:lineRule="auto"/>
        <w:rPr>
          <w:rFonts w:ascii="宋体" w:hAnsi="宋体"/>
          <w:color w:val="auto"/>
          <w:szCs w:val="21"/>
          <w:highlight w:val="none"/>
        </w:rPr>
      </w:pP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8.磋商文件的构成</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（1）竞争性磋商公告/竞标邀请函；</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（2）供应商须知；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（3）采购需求；</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（4）评审程序、评审方法和评审标准；</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（5）响应文件格式；</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（6）合同文本。</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供应商应认真阅读磋商文件的采购需求，如供应商对磋商文件有疑问的，如要求采购人作出澄清或者修改的，供应商尽可能在</w:t>
      </w:r>
      <w:r>
        <w:rPr>
          <w:rFonts w:ascii="宋体" w:hAnsi="宋体"/>
          <w:color w:val="auto"/>
          <w:szCs w:val="21"/>
          <w:highlight w:val="none"/>
        </w:rPr>
        <w:t>提交首次响应文件截止之日前</w:t>
      </w:r>
      <w:r>
        <w:rPr>
          <w:rFonts w:hint="eastAsia" w:ascii="宋体" w:hAnsi="宋体"/>
          <w:color w:val="auto"/>
          <w:szCs w:val="21"/>
          <w:highlight w:val="none"/>
        </w:rPr>
        <w:t>，以书面形式向</w:t>
      </w:r>
      <w:r>
        <w:rPr>
          <w:rFonts w:ascii="宋体" w:hAnsi="宋体"/>
          <w:color w:val="auto"/>
          <w:szCs w:val="21"/>
          <w:highlight w:val="none"/>
        </w:rPr>
        <w:t>采购人、采购代理机构</w:t>
      </w:r>
      <w:r>
        <w:rPr>
          <w:rFonts w:hint="eastAsia" w:ascii="宋体" w:hAnsi="宋体"/>
          <w:color w:val="auto"/>
          <w:szCs w:val="21"/>
          <w:highlight w:val="none"/>
        </w:rPr>
        <w:t>提出。</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10.磋商文件的澄清和修改</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w:t>
      </w:r>
      <w:r>
        <w:rPr>
          <w:rFonts w:hint="eastAsia" w:ascii="宋体" w:hAnsi="宋体"/>
          <w:color w:val="auto"/>
          <w:szCs w:val="21"/>
          <w:highlight w:val="none"/>
        </w:rPr>
        <w:t>获取</w:t>
      </w:r>
      <w:r>
        <w:rPr>
          <w:rFonts w:ascii="宋体" w:hAnsi="宋体"/>
          <w:color w:val="auto"/>
          <w:szCs w:val="21"/>
          <w:highlight w:val="none"/>
        </w:rPr>
        <w:t>磋商文件的供应商，不足3个工作日的，应当顺延提交首次响应文件截止之日。</w:t>
      </w:r>
    </w:p>
    <w:p>
      <w:pPr>
        <w:spacing w:line="360" w:lineRule="auto"/>
        <w:rPr>
          <w:rFonts w:ascii="宋体" w:hAnsi="宋体"/>
          <w:color w:val="auto"/>
          <w:szCs w:val="21"/>
          <w:highlight w:val="none"/>
        </w:rPr>
      </w:pPr>
    </w:p>
    <w:p>
      <w:pPr>
        <w:spacing w:line="360" w:lineRule="auto"/>
        <w:jc w:val="center"/>
        <w:rPr>
          <w:rFonts w:ascii="宋体" w:hAnsi="宋体"/>
          <w:b/>
          <w:bCs/>
          <w:color w:val="auto"/>
          <w:szCs w:val="21"/>
          <w:highlight w:val="none"/>
        </w:rPr>
      </w:pPr>
      <w:r>
        <w:rPr>
          <w:rFonts w:hint="eastAsia" w:ascii="宋体" w:hAnsi="宋体"/>
          <w:b/>
          <w:bCs/>
          <w:color w:val="auto"/>
          <w:sz w:val="32"/>
          <w:szCs w:val="32"/>
          <w:highlight w:val="none"/>
        </w:rPr>
        <w:t>三、响应文件的编制</w:t>
      </w:r>
    </w:p>
    <w:p>
      <w:pPr>
        <w:spacing w:line="360" w:lineRule="auto"/>
        <w:rPr>
          <w:rFonts w:ascii="宋体" w:hAnsi="宋体"/>
          <w:color w:val="auto"/>
          <w:szCs w:val="21"/>
          <w:highlight w:val="none"/>
        </w:rPr>
      </w:pP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12.1响应文件由资格证明文件、报价文件、商务技术文件三部分组成。</w:t>
      </w:r>
    </w:p>
    <w:p>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12.1.1资格证明文件：详见“供应商须知前附表”</w:t>
      </w:r>
    </w:p>
    <w:p>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12.1.2报价文件：详见“供应商须知前附表”</w:t>
      </w:r>
    </w:p>
    <w:p>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15.竞标报价</w:t>
      </w:r>
    </w:p>
    <w:p>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15.1竞标报价应按磋商文件中“竞标报价表”格式填写。</w:t>
      </w:r>
    </w:p>
    <w:p>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15.2竞标报价的内容见“供应商须知前附表”。</w:t>
      </w:r>
    </w:p>
    <w:p>
      <w:pPr>
        <w:spacing w:line="360" w:lineRule="auto"/>
        <w:ind w:left="426" w:leftChars="203"/>
        <w:rPr>
          <w:rFonts w:ascii="宋体" w:hAnsi="宋体" w:cs="宋体"/>
          <w:color w:val="auto"/>
          <w:szCs w:val="21"/>
          <w:highlight w:val="none"/>
        </w:rPr>
      </w:pPr>
      <w:r>
        <w:rPr>
          <w:rFonts w:hint="eastAsia" w:ascii="宋体" w:hAnsi="宋体" w:cs="宋体"/>
          <w:color w:val="auto"/>
          <w:szCs w:val="21"/>
          <w:highlight w:val="none"/>
        </w:rPr>
        <w:t>15.3竞标报价要求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5.3.1</w:t>
      </w:r>
      <w:r>
        <w:rPr>
          <w:rFonts w:hint="eastAsia" w:ascii="宋体" w:hAnsi="宋体" w:cs="宋体"/>
          <w:color w:val="auto"/>
          <w:szCs w:val="21"/>
          <w:highlight w:val="none"/>
        </w:rPr>
        <w:t>供应商的竞标报价应符合以下要求，否则响应文件按无效响应处理：</w:t>
      </w:r>
    </w:p>
    <w:p>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w:t>
      </w:r>
    </w:p>
    <w:p>
      <w:pPr>
        <w:spacing w:line="360" w:lineRule="auto"/>
        <w:rPr>
          <w:rFonts w:ascii="宋体" w:hAnsi="宋体" w:cs="宋体"/>
          <w:color w:val="auto"/>
          <w:szCs w:val="21"/>
          <w:highlight w:val="none"/>
        </w:rPr>
      </w:pPr>
      <w:r>
        <w:rPr>
          <w:rFonts w:hint="eastAsia" w:ascii="宋体" w:hAnsi="宋体" w:cs="宋体"/>
          <w:color w:val="auto"/>
          <w:szCs w:val="21"/>
          <w:highlight w:val="none"/>
        </w:rPr>
        <w:t>不得存在漏项报价；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）供应商必须就所竞标的分标的单项内容作唯一报价。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2</w:t>
      </w:r>
      <w:r>
        <w:rPr>
          <w:rFonts w:hint="eastAsia" w:ascii="宋体" w:hAnsi="宋体" w:cs="宋体"/>
          <w:color w:val="auto"/>
          <w:szCs w:val="21"/>
          <w:highlight w:val="none"/>
        </w:rPr>
        <w:t>竞标报价（包含首次报价、最后报价）超过所竞标分标规定的采购预算金额或者最高限价的，其响应文件将按无效处理。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3</w:t>
      </w:r>
      <w:bookmarkStart w:id="68" w:name="_Hlk42592874"/>
      <w:r>
        <w:rPr>
          <w:rFonts w:hint="eastAsia" w:ascii="宋体" w:hAnsi="宋体" w:cs="宋体"/>
          <w:color w:val="auto"/>
          <w:szCs w:val="21"/>
          <w:highlight w:val="none"/>
        </w:rPr>
        <w:t>竞标报价（包含首次报价、最后报价）超过分项采购预算金额或者最高限价的，其响应文件将按无效处理。</w:t>
      </w:r>
    </w:p>
    <w:bookmarkEnd w:id="68"/>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17.磋商保证金</w:t>
      </w:r>
    </w:p>
    <w:p>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17.1供应商须按“供应商须知前附表”的规定提交磋商保证金。</w:t>
      </w:r>
    </w:p>
    <w:p>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17.2磋商保证金的退还</w:t>
      </w:r>
    </w:p>
    <w:p>
      <w:pPr>
        <w:spacing w:line="360" w:lineRule="auto"/>
        <w:ind w:firstLine="420" w:firstLineChars="200"/>
        <w:rPr>
          <w:rFonts w:ascii="宋体" w:hAnsi="宋体" w:cs="宋体"/>
          <w:color w:val="auto"/>
          <w:szCs w:val="21"/>
          <w:highlight w:val="none"/>
        </w:rPr>
      </w:pPr>
      <w:bookmarkStart w:id="69" w:name="_Hlk66782243"/>
      <w:r>
        <w:rPr>
          <w:rFonts w:hint="eastAsia" w:ascii="宋体" w:hAnsi="宋体" w:cs="宋体"/>
          <w:color w:val="auto"/>
          <w:szCs w:val="21"/>
          <w:highlight w:val="none"/>
        </w:rPr>
        <w:t>未</w:t>
      </w:r>
      <w:r>
        <w:rPr>
          <w:rFonts w:hint="eastAsia" w:ascii="宋体" w:hAnsi="宋体" w:cs="宋体"/>
          <w:color w:val="auto"/>
          <w:spacing w:val="-6"/>
          <w:szCs w:val="21"/>
          <w:highlight w:val="none"/>
        </w:rPr>
        <w:t>成交供应商的竞标保证金自成交通知书发出之日起5个工作日内退还；</w:t>
      </w:r>
      <w:r>
        <w:rPr>
          <w:rFonts w:hint="eastAsia" w:ascii="宋体" w:hAnsi="宋体" w:cs="宋体"/>
          <w:color w:val="auto"/>
          <w:szCs w:val="21"/>
          <w:highlight w:val="none"/>
        </w:rPr>
        <w:t>成交供应商的磋商保证金自签订合同之日起5个工作日内退还。</w:t>
      </w:r>
      <w:bookmarkEnd w:id="69"/>
    </w:p>
    <w:p>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17.3磋商保证金不计息。</w:t>
      </w:r>
    </w:p>
    <w:p>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 xml:space="preserve">17.4供应商有下列情形之一的，磋商保证金将不予退还： </w:t>
      </w:r>
    </w:p>
    <w:p>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pPr>
        <w:spacing w:line="360" w:lineRule="auto"/>
        <w:ind w:left="420" w:leftChars="200"/>
        <w:rPr>
          <w:rFonts w:ascii="宋体" w:hAnsi="宋体" w:cs="宋体"/>
          <w:color w:val="auto"/>
          <w:szCs w:val="21"/>
          <w:highlight w:val="none"/>
        </w:rPr>
      </w:pPr>
      <w:r>
        <w:rPr>
          <w:rFonts w:hint="eastAsia" w:ascii="宋体" w:hAnsi="宋体"/>
          <w:color w:val="auto"/>
          <w:szCs w:val="21"/>
          <w:highlight w:val="none"/>
        </w:rPr>
        <w:t>（2）未按规定提交履约保证金的；</w:t>
      </w:r>
    </w:p>
    <w:p>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（4）除因不可抗力或者磋商文件认可的情形以外，成交供应商不与采购人签订合同的；</w:t>
      </w:r>
    </w:p>
    <w:p>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（6）法律法规规定的其他情形。</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18.响应文件编制的要求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供应商应先安装“政采云电子交易客户端”（请自行前往“政采云”平台进行下载），并按照本项目磋商文件规定的格式和顺序和“政采云”平台的要求编制并加密。响应文件内容不完整、编排混乱导致响应文件被误读、漏读或者查找不到相关内容的，由此引发的后果由供应商承担。</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18.2为确保网上操作合法、有效和安全，供应商应当在提交响应文件截止时间前完成在“政采云”平台的身份认证，确保在电子竞标过程中能够对相关数据电文进行加密和使用电子签章。</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18.3响应文件须由供应商在规定位置签字、盖章（具体以供应商须知前附表或响应文件格式规定为准），否则按无效响应处理。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pPr>
        <w:spacing w:line="360" w:lineRule="auto"/>
        <w:ind w:firstLine="482" w:firstLineChars="200"/>
        <w:rPr>
          <w:rFonts w:ascii="黑体" w:hAnsi="黑体" w:eastAsia="黑体"/>
          <w:color w:val="auto"/>
          <w:sz w:val="24"/>
          <w:highlight w:val="none"/>
        </w:rPr>
      </w:pPr>
      <w:r>
        <w:rPr>
          <w:rFonts w:hint="eastAsia" w:ascii="黑体" w:hAnsi="黑体" w:eastAsia="黑体" w:cs="宋体"/>
          <w:b/>
          <w:bCs/>
          <w:color w:val="auto"/>
          <w:sz w:val="24"/>
          <w:highlight w:val="none"/>
        </w:rPr>
        <w:t>19.电子</w:t>
      </w:r>
      <w:r>
        <w:rPr>
          <w:rFonts w:hint="eastAsia" w:ascii="黑体" w:hAnsi="黑体" w:eastAsia="黑体"/>
          <w:b/>
          <w:color w:val="auto"/>
          <w:sz w:val="24"/>
          <w:highlight w:val="none"/>
        </w:rPr>
        <w:t>备份响应文件</w:t>
      </w:r>
    </w:p>
    <w:p>
      <w:pPr>
        <w:spacing w:line="360" w:lineRule="auto"/>
        <w:ind w:firstLine="420" w:firstLineChars="200"/>
        <w:rPr>
          <w:rFonts w:ascii="宋体" w:hAnsi="宋体" w:cs="宋体"/>
          <w:color w:val="auto"/>
          <w:szCs w:val="21"/>
          <w:highlight w:val="none"/>
        </w:rPr>
      </w:pPr>
      <w:r>
        <w:rPr>
          <w:rFonts w:hint="eastAsia"/>
          <w:color w:val="auto"/>
          <w:highlight w:val="none"/>
        </w:rPr>
        <w:t>电子备份响应文件是指通过“政采云电子投标客户端”在线编制生成且后缀名为“</w:t>
      </w:r>
      <w:r>
        <w:rPr>
          <w:color w:val="auto"/>
          <w:highlight w:val="none"/>
        </w:rPr>
        <w:t>bfbs</w:t>
      </w:r>
      <w:r>
        <w:rPr>
          <w:rFonts w:hint="eastAsia"/>
          <w:color w:val="auto"/>
          <w:highlight w:val="none"/>
        </w:rPr>
        <w:t>”的文件，是否接受电子备份响应文件</w:t>
      </w:r>
      <w:r>
        <w:rPr>
          <w:rFonts w:hint="eastAsia" w:hAnsi="宋体"/>
          <w:bCs/>
          <w:color w:val="auto"/>
          <w:szCs w:val="21"/>
          <w:highlight w:val="none"/>
        </w:rPr>
        <w:t>详见在“供应商须知前附表”。</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pPr>
        <w:spacing w:line="360" w:lineRule="auto"/>
        <w:ind w:firstLine="420" w:firstLineChars="200"/>
        <w:rPr>
          <w:rFonts w:hAnsi="宋体"/>
          <w:b/>
          <w:color w:val="auto"/>
          <w:highlight w:val="none"/>
        </w:rPr>
      </w:pPr>
      <w:r>
        <w:rPr>
          <w:rFonts w:hint="eastAsia" w:hAnsi="宋体"/>
          <w:bCs/>
          <w:color w:val="auto"/>
          <w:szCs w:val="21"/>
          <w:highlight w:val="none"/>
        </w:rPr>
        <w:t>20.1供应商必须按“供应商须知前附表”规定的</w:t>
      </w:r>
      <w:r>
        <w:rPr>
          <w:rFonts w:hint="eastAsia" w:ascii="宋体" w:hAnsi="宋体" w:cs="宋体"/>
          <w:color w:val="auto"/>
          <w:szCs w:val="21"/>
          <w:highlight w:val="none"/>
        </w:rPr>
        <w:t>时间</w:t>
      </w:r>
      <w:r>
        <w:rPr>
          <w:rFonts w:hint="eastAsia" w:ascii="宋体" w:hAnsi="宋体"/>
          <w:color w:val="auto"/>
          <w:szCs w:val="21"/>
          <w:highlight w:val="none"/>
        </w:rPr>
        <w:t>及</w:t>
      </w:r>
      <w:r>
        <w:rPr>
          <w:rFonts w:hint="eastAsia" w:hAnsi="宋体"/>
          <w:bCs/>
          <w:color w:val="auto"/>
          <w:szCs w:val="21"/>
          <w:highlight w:val="none"/>
        </w:rPr>
        <w:t>地点提交响应文件。电子响应文件应在制作完成后，</w:t>
      </w:r>
      <w:r>
        <w:rPr>
          <w:rFonts w:hAnsi="宋体"/>
          <w:bCs/>
          <w:color w:val="auto"/>
          <w:szCs w:val="21"/>
          <w:highlight w:val="none"/>
        </w:rPr>
        <w:t>在</w:t>
      </w:r>
      <w:r>
        <w:rPr>
          <w:rFonts w:hint="eastAsia" w:hAnsi="宋体"/>
          <w:bCs/>
          <w:color w:val="auto"/>
          <w:szCs w:val="21"/>
          <w:highlight w:val="none"/>
        </w:rPr>
        <w:t>提交响应文件截止</w:t>
      </w:r>
      <w:r>
        <w:rPr>
          <w:rFonts w:hAnsi="宋体"/>
          <w:bCs/>
          <w:color w:val="auto"/>
          <w:szCs w:val="21"/>
          <w:highlight w:val="none"/>
        </w:rPr>
        <w:t>时间前</w:t>
      </w:r>
      <w:r>
        <w:rPr>
          <w:rFonts w:hint="eastAsia" w:hAnsi="宋体"/>
          <w:bCs/>
          <w:color w:val="auto"/>
          <w:szCs w:val="21"/>
          <w:highlight w:val="none"/>
        </w:rPr>
        <w:t>通过有效数字证书（CA认证锁）进行电子签章、加密，然后通过网络将加密的电子响应文件提交至</w:t>
      </w:r>
      <w:r>
        <w:rPr>
          <w:rFonts w:hint="eastAsia" w:ascii="宋体" w:hAnsi="宋体"/>
          <w:color w:val="auto"/>
          <w:szCs w:val="21"/>
          <w:highlight w:val="none"/>
        </w:rPr>
        <w:t>“政采云”平台</w:t>
      </w:r>
      <w:r>
        <w:rPr>
          <w:rFonts w:hint="eastAsia" w:hAnsi="宋体"/>
          <w:bCs/>
          <w:color w:val="auto"/>
          <w:szCs w:val="21"/>
          <w:highlight w:val="none"/>
        </w:rPr>
        <w:t>。</w:t>
      </w:r>
    </w:p>
    <w:p>
      <w:pPr>
        <w:spacing w:line="360" w:lineRule="auto"/>
        <w:ind w:firstLine="422" w:firstLineChars="200"/>
        <w:rPr>
          <w:rFonts w:ascii="宋体" w:hAnsi="宋体" w:cs="宋体"/>
          <w:color w:val="auto"/>
          <w:szCs w:val="21"/>
          <w:highlight w:val="none"/>
        </w:rPr>
      </w:pPr>
      <w:r>
        <w:rPr>
          <w:rFonts w:hint="eastAsia" w:ascii="宋体" w:hAnsi="宋体"/>
          <w:b/>
          <w:color w:val="auto"/>
          <w:szCs w:val="21"/>
          <w:highlight w:val="none"/>
        </w:rPr>
        <w:t>20.</w:t>
      </w:r>
      <w:r>
        <w:rPr>
          <w:rFonts w:ascii="宋体" w:hAnsi="宋体"/>
          <w:b/>
          <w:color w:val="auto"/>
          <w:szCs w:val="21"/>
          <w:highlight w:val="none"/>
        </w:rPr>
        <w:t>2</w:t>
      </w:r>
      <w:r>
        <w:rPr>
          <w:rFonts w:hint="eastAsia" w:ascii="宋体" w:hAnsi="宋体"/>
          <w:b/>
          <w:color w:val="auto"/>
          <w:szCs w:val="21"/>
          <w:highlight w:val="none"/>
        </w:rPr>
        <w:t>未在规定时间内提交或者未按照磋商文件要求加密的电子响应文件，“政采云”平台将拒收。</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pPr>
        <w:snapToGrid w:val="0"/>
        <w:spacing w:line="360" w:lineRule="auto"/>
        <w:ind w:firstLine="420"/>
        <w:jc w:val="left"/>
        <w:rPr>
          <w:rFonts w:ascii="宋体" w:hAnsi="宋体"/>
          <w:color w:val="auto"/>
          <w:szCs w:val="21"/>
          <w:highlight w:val="none"/>
        </w:rPr>
      </w:pPr>
      <w:bookmarkStart w:id="70" w:name="_Toc254970543"/>
      <w:bookmarkStart w:id="71" w:name="_Toc254970684"/>
      <w:r>
        <w:rPr>
          <w:rFonts w:ascii="宋体" w:hAnsi="宋体" w:cs="宋体"/>
          <w:color w:val="auto"/>
          <w:szCs w:val="21"/>
          <w:highlight w:val="none"/>
        </w:rPr>
        <w:t>2</w:t>
      </w:r>
      <w:r>
        <w:rPr>
          <w:rFonts w:hint="eastAsia" w:ascii="宋体" w:hAnsi="宋体" w:cs="宋体"/>
          <w:color w:val="auto"/>
          <w:szCs w:val="21"/>
          <w:highlight w:val="none"/>
        </w:rPr>
        <w:t>1.1</w:t>
      </w:r>
      <w:r>
        <w:rPr>
          <w:rFonts w:hint="eastAsia" w:ascii="宋体" w:hAnsi="宋体"/>
          <w:bCs/>
          <w:color w:val="auto"/>
          <w:szCs w:val="21"/>
          <w:highlight w:val="none"/>
        </w:rPr>
        <w:t>供应商应当在</w:t>
      </w:r>
      <w:r>
        <w:rPr>
          <w:rFonts w:hint="eastAsia" w:hAnsi="宋体"/>
          <w:bCs/>
          <w:color w:val="auto"/>
          <w:szCs w:val="21"/>
          <w:highlight w:val="none"/>
        </w:rPr>
        <w:t>提交响应文件截止</w:t>
      </w:r>
      <w:r>
        <w:rPr>
          <w:rFonts w:hAnsi="宋体"/>
          <w:bCs/>
          <w:color w:val="auto"/>
          <w:szCs w:val="21"/>
          <w:highlight w:val="none"/>
        </w:rPr>
        <w:t>时间</w:t>
      </w:r>
      <w:r>
        <w:rPr>
          <w:rFonts w:hint="eastAsia" w:ascii="宋体" w:hAnsi="宋体"/>
          <w:bCs/>
          <w:color w:val="auto"/>
          <w:szCs w:val="21"/>
          <w:highlight w:val="none"/>
        </w:rPr>
        <w:t>前完成电子响应文件的提交（上传），</w:t>
      </w:r>
      <w:r>
        <w:rPr>
          <w:rFonts w:hint="eastAsia" w:hAnsi="宋体"/>
          <w:bCs/>
          <w:color w:val="auto"/>
          <w:szCs w:val="21"/>
          <w:highlight w:val="none"/>
        </w:rPr>
        <w:t>提交响应文件截止</w:t>
      </w:r>
      <w:r>
        <w:rPr>
          <w:rFonts w:hAnsi="宋体"/>
          <w:bCs/>
          <w:color w:val="auto"/>
          <w:szCs w:val="21"/>
          <w:highlight w:val="none"/>
        </w:rPr>
        <w:t>时间</w:t>
      </w:r>
      <w:r>
        <w:rPr>
          <w:rFonts w:hint="eastAsia" w:hAnsi="宋体"/>
          <w:bCs/>
          <w:color w:val="auto"/>
          <w:szCs w:val="21"/>
          <w:highlight w:val="none"/>
        </w:rPr>
        <w:t>前</w:t>
      </w:r>
      <w:r>
        <w:rPr>
          <w:rFonts w:hint="eastAsia" w:ascii="宋体" w:hAnsi="宋体"/>
          <w:bCs/>
          <w:color w:val="auto"/>
          <w:szCs w:val="21"/>
          <w:highlight w:val="none"/>
        </w:rPr>
        <w:t>可以补充、修改或者撤回响应文件。补充或者修改响应文件的，应当先行撤回原响应文件，补充、修改后重新提交（上传），</w:t>
      </w:r>
      <w:r>
        <w:rPr>
          <w:rFonts w:hint="eastAsia" w:hAnsi="宋体"/>
          <w:bCs/>
          <w:color w:val="auto"/>
          <w:szCs w:val="21"/>
          <w:highlight w:val="none"/>
        </w:rPr>
        <w:t>提交响应文件截止</w:t>
      </w:r>
      <w:r>
        <w:rPr>
          <w:rFonts w:hAnsi="宋体"/>
          <w:bCs/>
          <w:color w:val="auto"/>
          <w:szCs w:val="21"/>
          <w:highlight w:val="none"/>
        </w:rPr>
        <w:t>时间</w:t>
      </w:r>
      <w:r>
        <w:rPr>
          <w:rFonts w:hint="eastAsia" w:hAnsi="宋体"/>
          <w:bCs/>
          <w:color w:val="auto"/>
          <w:szCs w:val="21"/>
          <w:highlight w:val="none"/>
        </w:rPr>
        <w:t>前</w:t>
      </w:r>
      <w:r>
        <w:rPr>
          <w:rFonts w:hint="eastAsia" w:ascii="宋体" w:hAnsi="宋体"/>
          <w:bCs/>
          <w:color w:val="auto"/>
          <w:szCs w:val="21"/>
          <w:highlight w:val="none"/>
        </w:rPr>
        <w:t>未完成提交（上传）的，视为撤回响应文件。</w:t>
      </w:r>
      <w:r>
        <w:rPr>
          <w:rFonts w:hint="eastAsia" w:hAnsi="宋体"/>
          <w:bCs/>
          <w:color w:val="auto"/>
          <w:szCs w:val="21"/>
          <w:highlight w:val="none"/>
        </w:rPr>
        <w:t>提交响应文件截止</w:t>
      </w:r>
      <w:r>
        <w:rPr>
          <w:rFonts w:hAnsi="宋体"/>
          <w:bCs/>
          <w:color w:val="auto"/>
          <w:szCs w:val="21"/>
          <w:highlight w:val="none"/>
        </w:rPr>
        <w:t>时间</w:t>
      </w:r>
      <w:r>
        <w:rPr>
          <w:rFonts w:hint="eastAsia" w:ascii="宋体" w:hAnsi="宋体"/>
          <w:bCs/>
          <w:color w:val="auto"/>
          <w:szCs w:val="21"/>
          <w:highlight w:val="none"/>
        </w:rPr>
        <w:t>以后提交（上传）的响应文件，“政采云”平台将予以拒收。</w:t>
      </w:r>
      <w:r>
        <w:rPr>
          <w:rFonts w:hint="eastAsia" w:ascii="宋体" w:hAnsi="宋体" w:cs="宋体"/>
          <w:color w:val="auto"/>
          <w:szCs w:val="21"/>
          <w:highlight w:val="none"/>
        </w:rPr>
        <w:t>（补充、修改或者撤回方式可</w:t>
      </w:r>
      <w:r>
        <w:rPr>
          <w:rFonts w:hint="eastAsia" w:ascii="宋体" w:hAnsi="宋体"/>
          <w:color w:val="auto"/>
          <w:szCs w:val="21"/>
          <w:highlight w:val="none"/>
        </w:rPr>
        <w:t>登陆</w:t>
      </w:r>
      <w:r>
        <w:rPr>
          <w:rFonts w:hint="eastAsia" w:ascii="宋体" w:hAnsi="宋体" w:cs="宋体"/>
          <w:color w:val="auto"/>
          <w:kern w:val="0"/>
          <w:szCs w:val="21"/>
          <w:highlight w:val="none"/>
        </w:rPr>
        <w:t>“政采云”平台，</w:t>
      </w:r>
      <w:r>
        <w:rPr>
          <w:rFonts w:hint="eastAsia" w:ascii="宋体" w:hAnsi="宋体"/>
          <w:color w:val="auto"/>
          <w:szCs w:val="21"/>
          <w:highlight w:val="none"/>
        </w:rPr>
        <w:t>进入“服务中心”中查看</w:t>
      </w:r>
      <w:r>
        <w:rPr>
          <w:rFonts w:hint="eastAsia" w:ascii="宋体" w:hAnsi="宋体" w:cs="宋体"/>
          <w:color w:val="auto"/>
          <w:szCs w:val="21"/>
          <w:highlight w:val="none"/>
        </w:rPr>
        <w:t xml:space="preserve"> “电子投标文件制作与投送教程”）</w:t>
      </w:r>
    </w:p>
    <w:bookmarkEnd w:id="70"/>
    <w:bookmarkEnd w:id="71"/>
    <w:p>
      <w:pPr>
        <w:pStyle w:val="48"/>
        <w:spacing w:before="0"/>
        <w:ind w:firstLine="420"/>
        <w:rPr>
          <w:rFonts w:ascii="宋体" w:hAnsi="宋体" w:cs="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1</w:t>
      </w:r>
      <w:r>
        <w:rPr>
          <w:rFonts w:ascii="宋体" w:hAnsi="宋体" w:cs="宋体"/>
          <w:color w:val="auto"/>
          <w:sz w:val="21"/>
          <w:szCs w:val="21"/>
          <w:highlight w:val="none"/>
        </w:rPr>
        <w:t>.</w:t>
      </w:r>
      <w:r>
        <w:rPr>
          <w:rFonts w:hint="eastAsia" w:ascii="宋体" w:hAnsi="宋体" w:cs="宋体"/>
          <w:color w:val="auto"/>
          <w:sz w:val="21"/>
          <w:szCs w:val="21"/>
          <w:highlight w:val="none"/>
        </w:rPr>
        <w:t>2在提交响应文件截止时间前，除供应商补充、修改或者撤回响应文件外，任何单位和个人不得解密或提取响应文件。</w:t>
      </w:r>
    </w:p>
    <w:p>
      <w:pPr>
        <w:spacing w:line="360" w:lineRule="auto"/>
        <w:ind w:firstLine="482" w:firstLineChars="200"/>
        <w:rPr>
          <w:rFonts w:ascii="黑体" w:hAnsi="黑体" w:eastAsia="黑体" w:cs="宋体"/>
          <w:b/>
          <w:bCs/>
          <w:color w:val="auto"/>
          <w:sz w:val="24"/>
          <w:highlight w:val="none"/>
        </w:rPr>
      </w:pPr>
      <w:bookmarkStart w:id="72" w:name="_Hlk45702405"/>
      <w:r>
        <w:rPr>
          <w:rFonts w:hint="eastAsia" w:ascii="黑体" w:hAnsi="黑体" w:eastAsia="黑体" w:cs="宋体"/>
          <w:b/>
          <w:bCs/>
          <w:color w:val="auto"/>
          <w:sz w:val="24"/>
          <w:highlight w:val="none"/>
        </w:rPr>
        <w:t>22.响应文件的退回</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23.截止时间后的撤回</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供应商在响应文件提交截止时间后向采购人、采购代理机构书面申请撤回响应文件的，将根据本须知正文17.4的规定不予退还其磋商保证金。</w:t>
      </w:r>
    </w:p>
    <w:bookmarkEnd w:id="72"/>
    <w:p>
      <w:pPr>
        <w:spacing w:line="360" w:lineRule="auto"/>
        <w:rPr>
          <w:rFonts w:ascii="宋体" w:hAnsi="宋体"/>
          <w:color w:val="auto"/>
          <w:szCs w:val="21"/>
          <w:highlight w:val="none"/>
        </w:rPr>
      </w:pPr>
    </w:p>
    <w:p>
      <w:pPr>
        <w:spacing w:line="360" w:lineRule="auto"/>
        <w:ind w:left="420" w:firstLine="420"/>
        <w:jc w:val="center"/>
        <w:rPr>
          <w:rFonts w:ascii="宋体" w:hAnsi="宋体"/>
          <w:b/>
          <w:bCs/>
          <w:color w:val="auto"/>
          <w:sz w:val="32"/>
          <w:szCs w:val="32"/>
          <w:highlight w:val="none"/>
        </w:rPr>
      </w:pPr>
      <w:r>
        <w:rPr>
          <w:rFonts w:hint="eastAsia" w:ascii="宋体" w:hAnsi="宋体"/>
          <w:b/>
          <w:bCs/>
          <w:color w:val="auto"/>
          <w:sz w:val="32"/>
          <w:szCs w:val="32"/>
          <w:highlight w:val="none"/>
        </w:rPr>
        <w:t>四、评审及磋商</w:t>
      </w:r>
    </w:p>
    <w:p>
      <w:pPr>
        <w:spacing w:line="360" w:lineRule="auto"/>
        <w:ind w:left="420" w:firstLine="420"/>
        <w:rPr>
          <w:rFonts w:ascii="宋体" w:hAnsi="宋体"/>
          <w:color w:val="auto"/>
          <w:szCs w:val="21"/>
          <w:highlight w:val="none"/>
        </w:rPr>
      </w:pP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24.磋商小组成立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24.3</w:t>
      </w:r>
      <w:r>
        <w:rPr>
          <w:rFonts w:hint="eastAsia" w:hAnsi="宋体"/>
          <w:bCs/>
          <w:color w:val="auto"/>
          <w:szCs w:val="21"/>
          <w:highlight w:val="none"/>
        </w:rPr>
        <w:t>采购代理机构</w:t>
      </w:r>
      <w:r>
        <w:rPr>
          <w:rFonts w:hint="eastAsia" w:hAnsi="宋体"/>
          <w:bCs/>
          <w:color w:val="auto"/>
          <w:highlight w:val="none"/>
        </w:rPr>
        <w:t>应当</w:t>
      </w:r>
      <w:r>
        <w:rPr>
          <w:rFonts w:hint="eastAsia" w:hAnsi="宋体"/>
          <w:bCs/>
          <w:color w:val="auto"/>
          <w:szCs w:val="21"/>
          <w:highlight w:val="none"/>
        </w:rPr>
        <w:t>基于“政采云”平台</w:t>
      </w:r>
      <w:r>
        <w:rPr>
          <w:rFonts w:hint="eastAsia" w:hAnsi="宋体"/>
          <w:bCs/>
          <w:color w:val="auto"/>
          <w:highlight w:val="none"/>
        </w:rPr>
        <w:t>抽（选）取</w:t>
      </w:r>
      <w:r>
        <w:rPr>
          <w:rFonts w:hint="eastAsia" w:hAnsi="宋体"/>
          <w:bCs/>
          <w:color w:val="auto"/>
          <w:szCs w:val="21"/>
          <w:highlight w:val="none"/>
        </w:rPr>
        <w:t>评审专家。</w:t>
      </w:r>
    </w:p>
    <w:p>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25.</w:t>
      </w:r>
      <w:r>
        <w:rPr>
          <w:rFonts w:hint="eastAsia" w:ascii="黑体" w:hAnsi="黑体" w:eastAsia="黑体" w:cs="宋体"/>
          <w:b/>
          <w:bCs/>
          <w:color w:val="auto"/>
          <w:sz w:val="24"/>
          <w:highlight w:val="none"/>
        </w:rPr>
        <w:t>首次响应文件的开启和解密</w:t>
      </w:r>
    </w:p>
    <w:p>
      <w:pPr>
        <w:spacing w:line="360" w:lineRule="auto"/>
        <w:ind w:firstLine="420" w:firstLineChars="200"/>
        <w:rPr>
          <w:rFonts w:ascii="宋体" w:hAnsi="宋体" w:cs="宋体"/>
          <w:color w:val="auto"/>
          <w:szCs w:val="21"/>
          <w:highlight w:val="none"/>
        </w:rPr>
      </w:pPr>
      <w:r>
        <w:rPr>
          <w:rFonts w:hint="eastAsia" w:hAnsi="宋体"/>
          <w:bCs/>
          <w:color w:val="auto"/>
          <w:highlight w:val="none"/>
        </w:rPr>
        <w:t>采购代理机构将在“供应商须知前附表”规定的时</w:t>
      </w:r>
      <w:r>
        <w:rPr>
          <w:rFonts w:hint="eastAsia" w:hAnsi="宋体"/>
          <w:color w:val="auto"/>
          <w:highlight w:val="none"/>
        </w:rPr>
        <w:t>间通过电子交易平台组织响应文件开启，供应商的法定代表人或其委托代理人须携带加密时所用的CA锁，按平台提示和磋商文件的规定登录到“政采云”平台电子开标大厅签到，</w:t>
      </w:r>
      <w:r>
        <w:rPr>
          <w:rFonts w:hint="eastAsia"/>
          <w:color w:val="auto"/>
          <w:highlight w:val="none"/>
        </w:rPr>
        <w:t>采购代理机构依托“政采云”平台向各供应商发出电子加密响应文件【开始解密】通知，由供应商按</w:t>
      </w:r>
      <w:r>
        <w:rPr>
          <w:rFonts w:hint="eastAsia" w:hAnsi="宋体"/>
          <w:bCs/>
          <w:color w:val="auto"/>
          <w:szCs w:val="21"/>
          <w:highlight w:val="none"/>
        </w:rPr>
        <w:t>“供应商须知前附表”</w:t>
      </w:r>
      <w:r>
        <w:rPr>
          <w:rFonts w:hint="eastAsia"/>
          <w:color w:val="auto"/>
          <w:highlight w:val="none"/>
        </w:rPr>
        <w:t>规定的时间内自行进行响应文件解密</w:t>
      </w:r>
      <w:r>
        <w:rPr>
          <w:rFonts w:hint="eastAsia" w:hAnsi="宋体"/>
          <w:color w:val="auto"/>
          <w:highlight w:val="none"/>
        </w:rPr>
        <w:t>。</w:t>
      </w:r>
      <w:r>
        <w:rPr>
          <w:rFonts w:hint="eastAsia"/>
          <w:b/>
          <w:color w:val="auto"/>
          <w:highlight w:val="none"/>
        </w:rPr>
        <w:t>供应商未在</w:t>
      </w:r>
      <w:r>
        <w:rPr>
          <w:b/>
          <w:color w:val="auto"/>
          <w:highlight w:val="none"/>
        </w:rPr>
        <w:t>规定的时间内解密</w:t>
      </w:r>
      <w:r>
        <w:rPr>
          <w:rFonts w:hint="eastAsia"/>
          <w:b/>
          <w:color w:val="auto"/>
          <w:highlight w:val="none"/>
        </w:rPr>
        <w:t>响应文件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，供应商</w:t>
      </w:r>
      <w:r>
        <w:rPr>
          <w:rFonts w:hint="eastAsia" w:ascii="宋体" w:hAnsi="宋体"/>
          <w:b/>
          <w:color w:val="auto"/>
          <w:szCs w:val="21"/>
          <w:highlight w:val="none"/>
        </w:rPr>
        <w:t>的响应文件作无效处理</w:t>
      </w:r>
      <w:r>
        <w:rPr>
          <w:b/>
          <w:color w:val="auto"/>
          <w:highlight w:val="none"/>
        </w:rPr>
        <w:t>。</w:t>
      </w:r>
    </w:p>
    <w:p>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26</w:t>
      </w:r>
      <w:r>
        <w:rPr>
          <w:rFonts w:hint="eastAsia" w:ascii="黑体" w:hAnsi="黑体" w:eastAsia="黑体" w:cs="宋体"/>
          <w:b/>
          <w:bCs/>
          <w:color w:val="auto"/>
          <w:sz w:val="24"/>
          <w:highlight w:val="none"/>
        </w:rPr>
        <w:t>.评审程序、评审方法和评审标准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w:t>
      </w:r>
      <w:r>
        <w:rPr>
          <w:rFonts w:hint="eastAsia" w:ascii="宋体" w:hAnsi="宋体" w:cs="宋体"/>
          <w:color w:val="auto"/>
          <w:szCs w:val="21"/>
          <w:highlight w:val="none"/>
        </w:rPr>
        <w:t>.1本项目的评审方法为综合评分法。</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26.2</w:t>
      </w:r>
      <w:r>
        <w:rPr>
          <w:rFonts w:hint="eastAsia" w:ascii="宋体" w:hAnsi="宋体" w:cs="宋体"/>
          <w:color w:val="auto"/>
          <w:szCs w:val="21"/>
          <w:highlight w:val="none"/>
        </w:rPr>
        <w:t>磋商小组</w:t>
      </w:r>
      <w:r>
        <w:rPr>
          <w:rFonts w:ascii="宋体" w:hAnsi="宋体" w:cs="宋体"/>
          <w:color w:val="auto"/>
          <w:szCs w:val="21"/>
          <w:highlight w:val="none"/>
        </w:rPr>
        <w:t>按照</w:t>
      </w:r>
      <w:r>
        <w:rPr>
          <w:rFonts w:hint="eastAsia" w:ascii="宋体" w:hAnsi="宋体" w:cs="宋体"/>
          <w:color w:val="auto"/>
          <w:szCs w:val="21"/>
          <w:highlight w:val="none"/>
        </w:rPr>
        <w:t>“第四章 评审程序、评审方法和评审标准”</w:t>
      </w:r>
      <w:r>
        <w:rPr>
          <w:rFonts w:ascii="宋体" w:hAnsi="宋体" w:cs="宋体"/>
          <w:color w:val="auto"/>
          <w:szCs w:val="21"/>
          <w:highlight w:val="none"/>
        </w:rPr>
        <w:t>规定的方法、评审因素、标准和程序对</w:t>
      </w:r>
      <w:r>
        <w:rPr>
          <w:rFonts w:hint="eastAsia" w:ascii="宋体" w:hAnsi="宋体" w:cs="宋体"/>
          <w:color w:val="auto"/>
          <w:szCs w:val="21"/>
          <w:highlight w:val="none"/>
        </w:rPr>
        <w:t>响应</w:t>
      </w:r>
      <w:r>
        <w:rPr>
          <w:rFonts w:ascii="宋体" w:hAnsi="宋体" w:cs="宋体"/>
          <w:color w:val="auto"/>
          <w:szCs w:val="21"/>
          <w:highlight w:val="none"/>
        </w:rPr>
        <w:t>文件进行评审。</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6.3 </w:t>
      </w:r>
      <w:r>
        <w:rPr>
          <w:rFonts w:hint="eastAsia" w:ascii="宋体" w:hAnsi="宋体"/>
          <w:color w:val="auto"/>
          <w:szCs w:val="21"/>
          <w:highlight w:val="none"/>
        </w:rPr>
        <w:t>商务/技术要求允许负偏离的条款数详见“供应商须知前附表”。</w:t>
      </w:r>
    </w:p>
    <w:p>
      <w:pPr>
        <w:spacing w:line="360" w:lineRule="auto"/>
        <w:ind w:firstLine="420" w:firstLineChars="200"/>
        <w:rPr>
          <w:rFonts w:ascii="宋体" w:hAnsi="宋体"/>
          <w:color w:val="auto"/>
          <w:szCs w:val="21"/>
          <w:highlight w:val="none"/>
        </w:rPr>
      </w:pPr>
      <w:r>
        <w:rPr>
          <w:rFonts w:hint="eastAsia" w:ascii="宋体" w:hAnsi="宋体" w:cs="宋体"/>
          <w:color w:val="auto"/>
          <w:highlight w:val="none"/>
        </w:rPr>
        <w:t>26.</w:t>
      </w:r>
      <w:r>
        <w:rPr>
          <w:rFonts w:ascii="宋体" w:hAnsi="宋体" w:cs="宋体"/>
          <w:color w:val="auto"/>
          <w:highlight w:val="none"/>
        </w:rPr>
        <w:t>4</w:t>
      </w:r>
      <w:r>
        <w:rPr>
          <w:rFonts w:hint="eastAsia" w:ascii="宋体" w:hAnsi="宋体" w:cs="宋体"/>
          <w:color w:val="auto"/>
          <w:highlight w:val="none"/>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pPr>
        <w:spacing w:line="360" w:lineRule="auto"/>
        <w:ind w:firstLine="420" w:firstLineChars="200"/>
        <w:rPr>
          <w:rFonts w:hAnsi="宋体"/>
          <w:color w:val="auto"/>
          <w:highlight w:val="none"/>
        </w:rPr>
      </w:pPr>
      <w:r>
        <w:rPr>
          <w:rFonts w:hint="eastAsia" w:ascii="宋体" w:hAnsi="宋体" w:cs="宋体"/>
          <w:color w:val="auto"/>
          <w:highlight w:val="none"/>
        </w:rPr>
        <w:t>2</w:t>
      </w:r>
      <w:r>
        <w:rPr>
          <w:rFonts w:ascii="宋体" w:hAnsi="宋体" w:cs="宋体"/>
          <w:color w:val="auto"/>
          <w:highlight w:val="none"/>
        </w:rPr>
        <w:t>6.5</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pPr>
        <w:spacing w:line="360" w:lineRule="auto"/>
        <w:ind w:firstLine="420" w:firstLineChars="200"/>
        <w:rPr>
          <w:rFonts w:hAnsi="宋体"/>
          <w:color w:val="auto"/>
          <w:highlight w:val="none"/>
        </w:rPr>
      </w:pPr>
      <w:r>
        <w:rPr>
          <w:rFonts w:hint="eastAsia" w:hAnsi="宋体"/>
          <w:color w:val="auto"/>
          <w:highlight w:val="none"/>
        </w:rPr>
        <w:t>（1）电子交易平台发生故障而无法登录访问的；</w:t>
      </w:r>
    </w:p>
    <w:p>
      <w:pPr>
        <w:spacing w:line="360" w:lineRule="auto"/>
        <w:ind w:firstLine="420" w:firstLineChars="200"/>
        <w:rPr>
          <w:rFonts w:hAnsi="宋体"/>
          <w:color w:val="auto"/>
          <w:highlight w:val="none"/>
        </w:rPr>
      </w:pPr>
      <w:r>
        <w:rPr>
          <w:rFonts w:hint="eastAsia" w:hAnsi="宋体"/>
          <w:color w:val="auto"/>
          <w:highlight w:val="none"/>
        </w:rPr>
        <w:t>（2）电子交易平台应用或数据库出现错误，不能进行正常操作的；</w:t>
      </w:r>
    </w:p>
    <w:p>
      <w:pPr>
        <w:spacing w:line="360" w:lineRule="auto"/>
        <w:ind w:firstLine="420" w:firstLineChars="200"/>
        <w:rPr>
          <w:rFonts w:hAnsi="宋体"/>
          <w:color w:val="auto"/>
          <w:highlight w:val="none"/>
        </w:rPr>
      </w:pPr>
      <w:r>
        <w:rPr>
          <w:rFonts w:hint="eastAsia" w:hAnsi="宋体"/>
          <w:color w:val="auto"/>
          <w:highlight w:val="none"/>
        </w:rPr>
        <w:t>（3）电子交易平台发现严重安全漏洞，有潜在泄密危险的；</w:t>
      </w:r>
    </w:p>
    <w:p>
      <w:pPr>
        <w:spacing w:line="360" w:lineRule="auto"/>
        <w:ind w:firstLine="420" w:firstLineChars="200"/>
        <w:rPr>
          <w:rFonts w:hAnsi="宋体"/>
          <w:color w:val="auto"/>
          <w:highlight w:val="none"/>
        </w:rPr>
      </w:pPr>
      <w:r>
        <w:rPr>
          <w:rFonts w:hint="eastAsia" w:hAnsi="宋体"/>
          <w:color w:val="auto"/>
          <w:highlight w:val="none"/>
        </w:rPr>
        <w:t>（4）病毒发作导致不能进行正常操作的；</w:t>
      </w:r>
    </w:p>
    <w:p>
      <w:pPr>
        <w:spacing w:line="360" w:lineRule="auto"/>
        <w:ind w:firstLine="420" w:firstLineChars="200"/>
        <w:rPr>
          <w:rFonts w:hAnsi="宋体"/>
          <w:color w:val="auto"/>
          <w:highlight w:val="none"/>
        </w:rPr>
      </w:pPr>
      <w:r>
        <w:rPr>
          <w:rFonts w:hint="eastAsia" w:hAnsi="宋体"/>
          <w:color w:val="auto"/>
          <w:highlight w:val="none"/>
        </w:rPr>
        <w:t>（5）其他无法保证电子交易的公平、公正和安全的情况。</w:t>
      </w:r>
    </w:p>
    <w:p>
      <w:pPr>
        <w:spacing w:line="360" w:lineRule="auto"/>
        <w:ind w:firstLine="420" w:firstLineChars="200"/>
        <w:rPr>
          <w:rFonts w:ascii="宋体" w:hAnsi="宋体" w:cs="宋体"/>
          <w:color w:val="auto"/>
          <w:szCs w:val="21"/>
          <w:highlight w:val="none"/>
        </w:rPr>
      </w:pPr>
      <w:r>
        <w:rPr>
          <w:rFonts w:hint="eastAsia" w:ascii="宋体" w:hAnsi="宋体"/>
          <w:color w:val="auto"/>
          <w:highlight w:val="none"/>
        </w:rPr>
        <w:t>26.</w:t>
      </w:r>
      <w:r>
        <w:rPr>
          <w:rFonts w:ascii="宋体" w:hAnsi="宋体"/>
          <w:color w:val="auto"/>
          <w:highlight w:val="none"/>
        </w:rPr>
        <w:t>6</w:t>
      </w: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27</w:t>
      </w:r>
      <w:r>
        <w:rPr>
          <w:rFonts w:hint="eastAsia" w:ascii="黑体" w:hAnsi="黑体" w:eastAsia="黑体" w:cs="宋体"/>
          <w:b/>
          <w:bCs/>
          <w:color w:val="auto"/>
          <w:sz w:val="24"/>
          <w:highlight w:val="none"/>
        </w:rPr>
        <w:t>.确定成交供应商及结果公告</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1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360" w:lineRule="auto"/>
        <w:ind w:firstLine="420" w:firstLineChars="200"/>
        <w:rPr>
          <w:rFonts w:ascii="宋体" w:hAnsi="宋体" w:cs="Courier New"/>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73" w:name="_Hlk66782294"/>
      <w:r>
        <w:rPr>
          <w:rFonts w:hint="eastAsia" w:ascii="宋体" w:hAnsi="宋体" w:cs="Courier New"/>
          <w:color w:val="auto"/>
          <w:szCs w:val="21"/>
          <w:highlight w:val="none"/>
        </w:rPr>
        <w:t>成交供应商享受</w:t>
      </w:r>
      <w:r>
        <w:rPr>
          <w:rFonts w:hint="eastAsia" w:ascii="宋体" w:hAnsi="宋体"/>
          <w:color w:val="auto"/>
          <w:szCs w:val="21"/>
          <w:highlight w:val="none"/>
        </w:rPr>
        <w:t>《政府采购促进中小企业发展管理办法》（财库〔2020〕46号）规定的中小企业扶持</w:t>
      </w:r>
      <w:r>
        <w:rPr>
          <w:rFonts w:hint="eastAsia" w:ascii="宋体" w:hAnsi="宋体" w:cs="Courier New"/>
          <w:color w:val="auto"/>
          <w:szCs w:val="21"/>
          <w:highlight w:val="none"/>
        </w:rPr>
        <w:t>政策的，采购人、采购代理机构应当随成交结果公开成交供应商的《中小企业声明函》。</w:t>
      </w:r>
      <w:bookmarkEnd w:id="73"/>
    </w:p>
    <w:p>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27.3出现下列情形之一的，采购人或者采购代理机构应当终止竞争性磋商采购活动，发布项目终止公告并说明原因，重新开展采购活动：</w:t>
      </w:r>
    </w:p>
    <w:p>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（1）因情况变化，不再符合规定的竞争性磋商采购方式适用情形的；</w:t>
      </w:r>
    </w:p>
    <w:p>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（2）出现影响采购公正的违法、违规行为的；</w:t>
      </w:r>
    </w:p>
    <w:p>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（3）除“第四章 评审程序、评审方法和评审标准”第4.3条规定的情形外，在采购过程中符合要求的供应商或者报价未超过采购预算的供应商不足3家的。</w:t>
      </w:r>
    </w:p>
    <w:p>
      <w:pPr>
        <w:spacing w:line="360" w:lineRule="auto"/>
        <w:ind w:firstLine="420" w:firstLineChars="200"/>
        <w:rPr>
          <w:rFonts w:ascii="宋体" w:hAnsi="宋体" w:cs="宋体"/>
          <w:color w:val="auto"/>
          <w:szCs w:val="21"/>
          <w:highlight w:val="none"/>
        </w:rPr>
      </w:pPr>
      <w:r>
        <w:rPr>
          <w:rFonts w:hint="eastAsia" w:ascii="宋体" w:hAnsi="宋体" w:cs="Courier New"/>
          <w:color w:val="auto"/>
          <w:szCs w:val="21"/>
          <w:highlight w:val="none"/>
        </w:rPr>
        <w:t>27.4 在采购活动中因重大变故，采购任务取消的，采购人或者采购代理机构应当终止采购活动，通知所有参加采购活动的供应商，并将项目实施情况和采购任务取消原因报送本级财政部门。</w:t>
      </w:r>
    </w:p>
    <w:p>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28</w:t>
      </w:r>
      <w:r>
        <w:rPr>
          <w:rFonts w:hint="eastAsia" w:ascii="黑体" w:hAnsi="黑体" w:eastAsia="黑体" w:cs="宋体"/>
          <w:b/>
          <w:bCs/>
          <w:color w:val="auto"/>
          <w:sz w:val="24"/>
          <w:highlight w:val="none"/>
        </w:rPr>
        <w:t>.履约保证金</w:t>
      </w:r>
    </w:p>
    <w:p>
      <w:pP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.1履约保证金的金额、提交方式、退付的时间和条件详见 “供应商须知前附表”。成交供应商未按规定提交履约保证金的，视为拒绝</w:t>
      </w:r>
      <w:r>
        <w:rPr>
          <w:rFonts w:ascii="宋体" w:hAnsi="宋体"/>
          <w:color w:val="auto"/>
          <w:highlight w:val="none"/>
        </w:rPr>
        <w:t>与采购人</w:t>
      </w:r>
      <w:r>
        <w:rPr>
          <w:rFonts w:hint="eastAsia" w:ascii="宋体" w:hAnsi="宋体" w:cs="宋体"/>
          <w:color w:val="auto"/>
          <w:szCs w:val="21"/>
          <w:highlight w:val="none"/>
        </w:rPr>
        <w:t>签订合同。</w:t>
      </w:r>
    </w:p>
    <w:p>
      <w:pP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.2在履约保证金退还日期前，若成交供应商的开户名称、开户银行、帐号有变动的，请以书面形式通知履约保证金收取单位，否则由此产生的后果由成交供应商自行承担。</w:t>
      </w:r>
    </w:p>
    <w:p>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29</w:t>
      </w:r>
      <w:r>
        <w:rPr>
          <w:rFonts w:hint="eastAsia" w:ascii="黑体" w:hAnsi="黑体" w:eastAsia="黑体" w:cs="宋体"/>
          <w:b/>
          <w:bCs/>
          <w:color w:val="auto"/>
          <w:sz w:val="24"/>
          <w:highlight w:val="none"/>
        </w:rPr>
        <w:t>.签订合同</w:t>
      </w:r>
    </w:p>
    <w:p>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线下签订纸质合同：供应商领取成交通知书后，按“供应商须知前附表”规定向采购人出示相关证明材料，经采购人核验合格后方可签订合同。</w:t>
      </w:r>
    </w:p>
    <w:p>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w:t>
      </w:r>
      <w:r>
        <w:rPr>
          <w:rFonts w:ascii="宋体" w:hAnsi="宋体" w:cs="宋体"/>
          <w:color w:val="auto"/>
          <w:szCs w:val="21"/>
          <w:highlight w:val="none"/>
        </w:rPr>
        <w:t>3</w:t>
      </w:r>
      <w:r>
        <w:rPr>
          <w:rFonts w:hint="eastAsia" w:ascii="宋体" w:hAnsi="宋体" w:cs="宋体"/>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30</w:t>
      </w:r>
      <w:r>
        <w:rPr>
          <w:rFonts w:hint="eastAsia" w:ascii="黑体" w:hAnsi="黑体" w:eastAsia="黑体" w:cs="宋体"/>
          <w:b/>
          <w:bCs/>
          <w:color w:val="auto"/>
          <w:sz w:val="24"/>
          <w:highlight w:val="none"/>
        </w:rPr>
        <w:t>.政府采购合同公告</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31</w:t>
      </w:r>
      <w:r>
        <w:rPr>
          <w:rFonts w:hint="eastAsia" w:ascii="黑体" w:hAnsi="黑体" w:eastAsia="黑体" w:cs="宋体"/>
          <w:b/>
          <w:bCs/>
          <w:color w:val="auto"/>
          <w:sz w:val="24"/>
          <w:highlight w:val="none"/>
        </w:rPr>
        <w:t>. 询问、质疑和投诉</w:t>
      </w:r>
    </w:p>
    <w:p>
      <w:pPr>
        <w:pStyle w:val="8"/>
        <w:spacing w:line="360" w:lineRule="auto"/>
        <w:rPr>
          <w:rFonts w:ascii="宋体" w:hAnsi="宋体"/>
          <w:color w:val="auto"/>
          <w:szCs w:val="21"/>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highlight w:val="none"/>
        </w:rPr>
        <w:t>但答复的内容不得涉及商业秘密</w:t>
      </w:r>
      <w:r>
        <w:rPr>
          <w:rFonts w:hint="eastAsia" w:ascii="宋体" w:hAnsi="宋体" w:cs="宋体"/>
          <w:color w:val="auto"/>
          <w:highlight w:val="none"/>
        </w:rPr>
        <w:t>。</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auto"/>
          <w:highlight w:val="none"/>
          <w:shd w:val="clear" w:color="auto" w:fill="FFFFFF"/>
        </w:rPr>
        <w:t>接收质疑函的方式、联系部门、联系电话和通讯地址等信息</w:t>
      </w:r>
      <w:r>
        <w:rPr>
          <w:rFonts w:hint="eastAsia" w:ascii="宋体" w:hAnsi="宋体" w:cs="Arial"/>
          <w:color w:val="auto"/>
          <w:highlight w:val="none"/>
          <w:shd w:val="clear" w:color="auto" w:fill="FFFFFF"/>
        </w:rPr>
        <w:t>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（1）对可以质疑的磋商文件提出质疑的，为收到磋商文件之日或者</w:t>
      </w:r>
      <w:r>
        <w:rPr>
          <w:rFonts w:hint="eastAsia" w:ascii="宋体" w:hAnsi="宋体"/>
          <w:color w:val="auto"/>
          <w:highlight w:val="none"/>
        </w:rPr>
        <w:t>竞争性磋商公告期限届满之日</w:t>
      </w:r>
      <w:r>
        <w:rPr>
          <w:rFonts w:hint="eastAsia" w:ascii="宋体" w:hAnsi="宋体" w:cs="宋体"/>
          <w:color w:val="auto"/>
          <w:highlight w:val="none"/>
        </w:rPr>
        <w:t>；</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（2）对采购过程提出质疑的，为各采购程序环节结束之日；</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（3）对成交结果提出质疑的，为成交结果公告期限届满之日。</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.4 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pPr>
        <w:spacing w:line="360" w:lineRule="auto"/>
        <w:ind w:firstLine="420" w:firstLineChars="200"/>
        <w:rPr>
          <w:rFonts w:ascii="宋体" w:hAnsi="宋体" w:cs="宋体"/>
          <w:color w:val="auto"/>
          <w:szCs w:val="21"/>
          <w:highlight w:val="none"/>
        </w:rPr>
      </w:pPr>
      <w:r>
        <w:rPr>
          <w:rFonts w:ascii="宋体" w:hAnsi="宋体" w:cs="宋体"/>
          <w:color w:val="auto"/>
          <w:highlight w:val="none"/>
        </w:rPr>
        <w:t>31</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32</w:t>
      </w:r>
      <w:r>
        <w:rPr>
          <w:rFonts w:hint="eastAsia" w:ascii="黑体" w:hAnsi="黑体" w:eastAsia="黑体" w:cs="宋体"/>
          <w:b/>
          <w:bCs/>
          <w:color w:val="auto"/>
          <w:sz w:val="24"/>
          <w:highlight w:val="none"/>
        </w:rPr>
        <w:t>.其他内容</w:t>
      </w:r>
    </w:p>
    <w:p>
      <w:pP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.1代理服务收取标准及缴费账户详见“供应商须知前附表”，供应商为联合体的，可以由联合体中的一方或者多方共同交纳代理服务费。</w:t>
      </w:r>
    </w:p>
    <w:p>
      <w:pP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32.2</w:t>
      </w:r>
      <w:r>
        <w:rPr>
          <w:rFonts w:hint="eastAsia" w:ascii="宋体" w:hAnsi="宋体" w:cs="宋体"/>
          <w:color w:val="auto"/>
          <w:szCs w:val="21"/>
          <w:highlight w:val="none"/>
        </w:rPr>
        <w:t>代理服务费收费计算标准：</w:t>
      </w:r>
    </w:p>
    <w:tbl>
      <w:tblPr>
        <w:tblStyle w:val="25"/>
        <w:tblW w:w="9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4"/>
        <w:gridCol w:w="2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4" w:type="dxa"/>
            <w:tcBorders>
              <w:top w:val="single" w:color="auto" w:sz="4" w:space="0"/>
              <w:left w:val="single" w:color="auto" w:sz="4" w:space="0"/>
              <w:bottom w:val="single" w:color="auto" w:sz="4" w:space="0"/>
              <w:right w:val="single" w:color="auto" w:sz="4" w:space="0"/>
              <w:tl2br w:val="single" w:color="auto" w:sz="4" w:space="0"/>
            </w:tcBorders>
          </w:tcPr>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费率</w:t>
            </w:r>
          </w:p>
          <w:p>
            <w:pPr>
              <w:spacing w:line="360" w:lineRule="auto"/>
              <w:rPr>
                <w:rFonts w:ascii="宋体" w:hAnsi="宋体" w:cs="宋体"/>
                <w:color w:val="auto"/>
                <w:szCs w:val="21"/>
                <w:highlight w:val="none"/>
              </w:rPr>
            </w:pPr>
            <w:r>
              <w:rPr>
                <w:rFonts w:hint="eastAsia" w:ascii="宋体" w:hAnsi="宋体" w:cs="宋体"/>
                <w:color w:val="auto"/>
                <w:szCs w:val="21"/>
                <w:highlight w:val="none"/>
              </w:rPr>
              <w:t>金额</w:t>
            </w:r>
          </w:p>
        </w:tc>
        <w:tc>
          <w:tcPr>
            <w:tcW w:w="2939" w:type="dxa"/>
            <w:tcBorders>
              <w:top w:val="single" w:color="auto" w:sz="4" w:space="0"/>
              <w:left w:val="single" w:color="auto" w:sz="4" w:space="0"/>
              <w:bottom w:val="single" w:color="auto" w:sz="4" w:space="0"/>
              <w:right w:val="single" w:color="auto" w:sz="4" w:space="0"/>
            </w:tcBorders>
            <w:vAlign w:val="center"/>
          </w:tcPr>
          <w:p>
            <w:pPr>
              <w:spacing w:line="360" w:lineRule="auto"/>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货物类、服务类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auto"/>
                <w:szCs w:val="21"/>
                <w:highlight w:val="none"/>
              </w:rPr>
            </w:pPr>
            <w:r>
              <w:rPr>
                <w:rFonts w:hint="eastAsia" w:ascii="宋体" w:hAnsi="宋体" w:cs="宋体"/>
                <w:color w:val="auto"/>
                <w:szCs w:val="21"/>
                <w:highlight w:val="none"/>
              </w:rPr>
              <w:t>100万元以下</w:t>
            </w:r>
          </w:p>
        </w:tc>
        <w:tc>
          <w:tcPr>
            <w:tcW w:w="293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  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auto"/>
                <w:szCs w:val="21"/>
                <w:highlight w:val="none"/>
              </w:rPr>
            </w:pPr>
            <w:r>
              <w:rPr>
                <w:rFonts w:hint="eastAsia" w:ascii="宋体" w:hAnsi="宋体" w:cs="宋体"/>
                <w:color w:val="auto"/>
                <w:szCs w:val="21"/>
                <w:highlight w:val="none"/>
              </w:rPr>
              <w:t>100～500万元</w:t>
            </w:r>
          </w:p>
        </w:tc>
        <w:tc>
          <w:tcPr>
            <w:tcW w:w="2939" w:type="dxa"/>
            <w:tcBorders>
              <w:top w:val="single" w:color="auto" w:sz="4" w:space="0"/>
              <w:left w:val="single" w:color="auto" w:sz="4" w:space="0"/>
              <w:bottom w:val="single" w:color="auto" w:sz="4" w:space="0"/>
              <w:right w:val="single" w:color="auto" w:sz="4" w:space="0"/>
            </w:tcBorders>
          </w:tcPr>
          <w:p>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auto"/>
                <w:szCs w:val="21"/>
                <w:highlight w:val="none"/>
              </w:rPr>
            </w:pPr>
            <w:r>
              <w:rPr>
                <w:rFonts w:hint="eastAsia" w:ascii="宋体" w:hAnsi="宋体" w:cs="宋体"/>
                <w:color w:val="auto"/>
                <w:szCs w:val="21"/>
                <w:highlight w:val="none"/>
              </w:rPr>
              <w:t>500～1000万元</w:t>
            </w:r>
          </w:p>
        </w:tc>
        <w:tc>
          <w:tcPr>
            <w:tcW w:w="293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  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auto"/>
                <w:szCs w:val="21"/>
                <w:highlight w:val="none"/>
              </w:rPr>
            </w:pPr>
            <w:r>
              <w:rPr>
                <w:rFonts w:hint="eastAsia" w:ascii="宋体" w:hAnsi="宋体" w:cs="宋体"/>
                <w:color w:val="auto"/>
                <w:szCs w:val="21"/>
                <w:highlight w:val="none"/>
              </w:rPr>
              <w:t>1000～5000万元</w:t>
            </w:r>
          </w:p>
        </w:tc>
        <w:tc>
          <w:tcPr>
            <w:tcW w:w="2939" w:type="dxa"/>
            <w:tcBorders>
              <w:top w:val="single" w:color="auto" w:sz="4" w:space="0"/>
              <w:left w:val="single" w:color="auto" w:sz="4" w:space="0"/>
              <w:bottom w:val="single" w:color="auto" w:sz="4" w:space="0"/>
              <w:right w:val="single" w:color="auto" w:sz="4" w:space="0"/>
            </w:tcBorders>
          </w:tcPr>
          <w:p>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auto"/>
                <w:szCs w:val="21"/>
                <w:highlight w:val="none"/>
              </w:rPr>
            </w:pPr>
            <w:r>
              <w:rPr>
                <w:rFonts w:hint="eastAsia" w:ascii="宋体" w:hAnsi="宋体" w:cs="宋体"/>
                <w:color w:val="auto"/>
                <w:szCs w:val="21"/>
                <w:highlight w:val="none"/>
              </w:rPr>
              <w:t>5000万元～1亿元</w:t>
            </w:r>
          </w:p>
        </w:tc>
        <w:tc>
          <w:tcPr>
            <w:tcW w:w="2939" w:type="dxa"/>
            <w:tcBorders>
              <w:top w:val="single" w:color="auto" w:sz="4" w:space="0"/>
              <w:left w:val="single" w:color="auto" w:sz="4" w:space="0"/>
              <w:bottom w:val="single" w:color="auto" w:sz="4" w:space="0"/>
              <w:right w:val="single" w:color="auto" w:sz="4" w:space="0"/>
            </w:tcBorders>
          </w:tcPr>
          <w:p>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auto"/>
                <w:szCs w:val="21"/>
                <w:highlight w:val="none"/>
              </w:rPr>
            </w:pPr>
            <w:r>
              <w:rPr>
                <w:rFonts w:hint="eastAsia" w:ascii="宋体" w:hAnsi="宋体" w:cs="宋体"/>
                <w:color w:val="auto"/>
                <w:szCs w:val="21"/>
                <w:highlight w:val="none"/>
              </w:rPr>
              <w:t>1～5亿元</w:t>
            </w:r>
          </w:p>
        </w:tc>
        <w:tc>
          <w:tcPr>
            <w:tcW w:w="2939" w:type="dxa"/>
            <w:tcBorders>
              <w:top w:val="single" w:color="auto" w:sz="4" w:space="0"/>
              <w:left w:val="single" w:color="auto" w:sz="4" w:space="0"/>
              <w:bottom w:val="single" w:color="auto" w:sz="4" w:space="0"/>
              <w:right w:val="single" w:color="auto" w:sz="4" w:space="0"/>
            </w:tcBorders>
          </w:tcPr>
          <w:p>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auto"/>
                <w:szCs w:val="21"/>
                <w:highlight w:val="none"/>
              </w:rPr>
            </w:pPr>
            <w:r>
              <w:rPr>
                <w:rFonts w:hint="eastAsia" w:ascii="宋体" w:hAnsi="宋体" w:cs="宋体"/>
                <w:color w:val="auto"/>
                <w:szCs w:val="21"/>
                <w:highlight w:val="none"/>
              </w:rPr>
              <w:t>5～10亿元</w:t>
            </w:r>
          </w:p>
        </w:tc>
        <w:tc>
          <w:tcPr>
            <w:tcW w:w="2939" w:type="dxa"/>
            <w:tcBorders>
              <w:top w:val="single" w:color="auto" w:sz="4" w:space="0"/>
              <w:left w:val="single" w:color="auto" w:sz="4" w:space="0"/>
              <w:bottom w:val="single" w:color="auto" w:sz="4" w:space="0"/>
              <w:right w:val="single" w:color="auto" w:sz="4" w:space="0"/>
            </w:tcBorders>
          </w:tcPr>
          <w:p>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auto"/>
                <w:szCs w:val="21"/>
                <w:highlight w:val="none"/>
              </w:rPr>
            </w:pPr>
            <w:r>
              <w:rPr>
                <w:rFonts w:hint="eastAsia" w:ascii="宋体" w:hAnsi="宋体" w:cs="宋体"/>
                <w:color w:val="auto"/>
                <w:szCs w:val="21"/>
                <w:highlight w:val="none"/>
              </w:rPr>
              <w:t>10～50亿元</w:t>
            </w:r>
          </w:p>
        </w:tc>
        <w:tc>
          <w:tcPr>
            <w:tcW w:w="2939" w:type="dxa"/>
            <w:tcBorders>
              <w:top w:val="single" w:color="auto" w:sz="4" w:space="0"/>
              <w:left w:val="single" w:color="auto" w:sz="4" w:space="0"/>
              <w:bottom w:val="single" w:color="auto" w:sz="4" w:space="0"/>
              <w:right w:val="single" w:color="auto" w:sz="4" w:space="0"/>
            </w:tcBorders>
          </w:tcPr>
          <w:p>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auto"/>
                <w:szCs w:val="21"/>
                <w:highlight w:val="none"/>
              </w:rPr>
            </w:pPr>
            <w:r>
              <w:rPr>
                <w:rFonts w:hint="eastAsia" w:ascii="宋体" w:hAnsi="宋体" w:cs="宋体"/>
                <w:color w:val="auto"/>
                <w:szCs w:val="21"/>
                <w:highlight w:val="none"/>
              </w:rPr>
              <w:t>50～100亿元</w:t>
            </w:r>
          </w:p>
        </w:tc>
        <w:tc>
          <w:tcPr>
            <w:tcW w:w="293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auto"/>
                <w:szCs w:val="21"/>
                <w:highlight w:val="none"/>
              </w:rPr>
            </w:pPr>
            <w:r>
              <w:rPr>
                <w:rFonts w:hint="eastAsia" w:ascii="宋体" w:hAnsi="宋体" w:cs="宋体"/>
                <w:color w:val="auto"/>
                <w:szCs w:val="21"/>
                <w:highlight w:val="none"/>
              </w:rPr>
              <w:t>100亿以上</w:t>
            </w:r>
          </w:p>
        </w:tc>
        <w:tc>
          <w:tcPr>
            <w:tcW w:w="293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0.004%</w:t>
            </w:r>
          </w:p>
        </w:tc>
      </w:tr>
    </w:tbl>
    <w:p>
      <w:pPr>
        <w:spacing w:line="360" w:lineRule="auto"/>
        <w:ind w:firstLine="420" w:firstLineChars="200"/>
        <w:rPr>
          <w:rFonts w:ascii="宋体" w:hAnsi="宋体" w:cs="宋体"/>
          <w:color w:val="auto"/>
          <w:highlight w:val="none"/>
        </w:rPr>
      </w:pPr>
      <w:r>
        <w:rPr>
          <w:rFonts w:ascii="宋体" w:hAnsi="宋体" w:cs="宋体"/>
          <w:color w:val="auto"/>
          <w:highlight w:val="none"/>
        </w:rPr>
        <w:t>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按本表费率计算的收费为</w:t>
      </w:r>
      <w:r>
        <w:rPr>
          <w:rFonts w:hint="eastAsia" w:ascii="宋体" w:hAnsi="宋体" w:cs="宋体"/>
          <w:color w:val="auto"/>
          <w:highlight w:val="none"/>
        </w:rPr>
        <w:t>采购</w:t>
      </w:r>
      <w:r>
        <w:rPr>
          <w:rFonts w:ascii="宋体" w:hAnsi="宋体" w:cs="宋体"/>
          <w:color w:val="auto"/>
          <w:highlight w:val="none"/>
        </w:rPr>
        <w:t>代理的收费基准价格</w:t>
      </w:r>
      <w:r>
        <w:rPr>
          <w:rFonts w:hint="eastAsia" w:ascii="宋体" w:hAnsi="宋体" w:cs="宋体"/>
          <w:color w:val="auto"/>
          <w:highlight w:val="none"/>
        </w:rPr>
        <w:t>；</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（2）采购</w:t>
      </w:r>
      <w:r>
        <w:rPr>
          <w:rFonts w:ascii="宋体" w:hAnsi="宋体" w:cs="宋体"/>
          <w:color w:val="auto"/>
          <w:highlight w:val="none"/>
        </w:rPr>
        <w:t>代理收费按差额定率累进法计算。</w:t>
      </w:r>
    </w:p>
    <w:p>
      <w:pPr>
        <w:spacing w:line="360" w:lineRule="auto"/>
        <w:ind w:firstLine="420" w:firstLineChars="200"/>
        <w:rPr>
          <w:rFonts w:ascii="宋体" w:hAnsi="宋体" w:cs="宋体"/>
          <w:color w:val="auto"/>
          <w:highlight w:val="none"/>
        </w:rPr>
      </w:pPr>
      <w:r>
        <w:rPr>
          <w:rFonts w:ascii="宋体" w:hAnsi="宋体" w:cs="宋体"/>
          <w:color w:val="auto"/>
          <w:highlight w:val="none"/>
        </w:rPr>
        <w:t>例如：某</w:t>
      </w:r>
      <w:r>
        <w:rPr>
          <w:rFonts w:hint="eastAsia" w:ascii="宋体" w:hAnsi="宋体" w:cs="宋体"/>
          <w:color w:val="auto"/>
          <w:highlight w:val="none"/>
        </w:rPr>
        <w:t>服务采购</w:t>
      </w:r>
      <w:r>
        <w:rPr>
          <w:rFonts w:ascii="宋体" w:hAnsi="宋体" w:cs="宋体"/>
          <w:color w:val="auto"/>
          <w:highlight w:val="none"/>
        </w:rPr>
        <w:t>代理业务</w:t>
      </w:r>
      <w:r>
        <w:rPr>
          <w:rFonts w:hint="eastAsia" w:ascii="宋体" w:hAnsi="宋体" w:cs="宋体"/>
          <w:color w:val="auto"/>
          <w:highlight w:val="none"/>
        </w:rPr>
        <w:t>成交</w:t>
      </w:r>
      <w:r>
        <w:rPr>
          <w:rFonts w:ascii="宋体" w:hAnsi="宋体" w:cs="宋体"/>
          <w:color w:val="auto"/>
          <w:highlight w:val="none"/>
        </w:rPr>
        <w:t>金额</w:t>
      </w:r>
      <w:r>
        <w:rPr>
          <w:rFonts w:hint="eastAsia" w:ascii="宋体" w:hAnsi="宋体" w:cs="宋体"/>
          <w:color w:val="auto"/>
          <w:highlight w:val="none"/>
        </w:rPr>
        <w:t>或者暂定价</w:t>
      </w:r>
      <w:r>
        <w:rPr>
          <w:rFonts w:ascii="宋体" w:hAnsi="宋体" w:cs="宋体"/>
          <w:color w:val="auto"/>
          <w:highlight w:val="none"/>
        </w:rPr>
        <w:t>为150万元，计算</w:t>
      </w:r>
      <w:r>
        <w:rPr>
          <w:rFonts w:hint="eastAsia" w:ascii="宋体" w:hAnsi="宋体" w:cs="宋体"/>
          <w:color w:val="auto"/>
          <w:highlight w:val="none"/>
        </w:rPr>
        <w:t>采购</w:t>
      </w:r>
      <w:r>
        <w:rPr>
          <w:rFonts w:ascii="宋体" w:hAnsi="宋体" w:cs="宋体"/>
          <w:color w:val="auto"/>
          <w:highlight w:val="none"/>
        </w:rPr>
        <w:t>代理收费额如下：</w:t>
      </w:r>
    </w:p>
    <w:p>
      <w:pPr>
        <w:spacing w:line="360" w:lineRule="auto"/>
        <w:ind w:firstLine="420" w:firstLineChars="200"/>
        <w:rPr>
          <w:rFonts w:ascii="宋体" w:hAnsi="宋体" w:cs="宋体"/>
          <w:color w:val="auto"/>
          <w:highlight w:val="none"/>
        </w:rPr>
      </w:pPr>
      <w:r>
        <w:rPr>
          <w:rFonts w:ascii="宋体" w:hAnsi="宋体" w:cs="宋体"/>
          <w:color w:val="auto"/>
          <w:highlight w:val="none"/>
        </w:rPr>
        <w:t>100 万元 ×l.5 %＝ 1.5 万元</w:t>
      </w:r>
    </w:p>
    <w:p>
      <w:pPr>
        <w:spacing w:line="360" w:lineRule="auto"/>
        <w:ind w:firstLine="420" w:firstLineChars="200"/>
        <w:rPr>
          <w:rFonts w:ascii="宋体" w:hAnsi="宋体" w:cs="宋体"/>
          <w:color w:val="auto"/>
          <w:highlight w:val="none"/>
        </w:rPr>
      </w:pPr>
      <w:r>
        <w:rPr>
          <w:rFonts w:ascii="宋体" w:hAnsi="宋体" w:cs="宋体"/>
          <w:color w:val="auto"/>
          <w:highlight w:val="none"/>
        </w:rPr>
        <w:t>（ 150 － 100 ）万元 ×0.8%＝ 0.4万元</w:t>
      </w:r>
    </w:p>
    <w:p>
      <w:pPr>
        <w:spacing w:line="360" w:lineRule="auto"/>
        <w:ind w:firstLine="420" w:firstLineChars="200"/>
        <w:rPr>
          <w:rFonts w:ascii="宋体" w:hAnsi="宋体" w:cs="宋体"/>
          <w:color w:val="auto"/>
          <w:highlight w:val="none"/>
        </w:rPr>
      </w:pPr>
      <w:r>
        <w:rPr>
          <w:rFonts w:ascii="宋体" w:hAnsi="宋体" w:cs="宋体"/>
          <w:color w:val="auto"/>
          <w:highlight w:val="none"/>
        </w:rPr>
        <w:t>合计收费＝ 1.5 ＋ 0.4＝ 1.9 万元</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ascii="黑体" w:hAnsi="黑体" w:eastAsia="黑体" w:cs="宋体"/>
          <w:b/>
          <w:bCs/>
          <w:color w:val="auto"/>
          <w:sz w:val="24"/>
          <w:highlight w:val="none"/>
        </w:rPr>
        <w:t>3.需要补充的其他内容</w:t>
      </w:r>
    </w:p>
    <w:p>
      <w:pPr>
        <w:pStyle w:val="16"/>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w:t>
      </w:r>
      <w:r>
        <w:rPr>
          <w:rFonts w:hAnsi="宋体" w:cs="宋体"/>
          <w:color w:val="auto"/>
          <w:kern w:val="2"/>
          <w:sz w:val="21"/>
          <w:highlight w:val="none"/>
        </w:rPr>
        <w:t>3.1</w:t>
      </w:r>
      <w:r>
        <w:rPr>
          <w:rFonts w:hint="eastAsia" w:hAnsi="宋体" w:cs="宋体"/>
          <w:color w:val="auto"/>
          <w:kern w:val="2"/>
          <w:sz w:val="21"/>
          <w:highlight w:val="none"/>
        </w:rPr>
        <w:t>本磋商文件解释规则详见“供应商须知前附表”。</w:t>
      </w:r>
    </w:p>
    <w:p>
      <w:pPr>
        <w:pStyle w:val="16"/>
        <w:spacing w:line="360" w:lineRule="auto"/>
        <w:ind w:firstLine="420" w:firstLineChars="200"/>
        <w:textAlignment w:val="center"/>
        <w:rPr>
          <w:rFonts w:hAnsi="宋体" w:cs="宋体"/>
          <w:color w:val="auto"/>
          <w:kern w:val="2"/>
          <w:sz w:val="21"/>
          <w:highlight w:val="none"/>
        </w:rPr>
      </w:pPr>
      <w:r>
        <w:rPr>
          <w:rFonts w:hAnsi="宋体" w:cs="宋体"/>
          <w:color w:val="auto"/>
          <w:kern w:val="2"/>
          <w:sz w:val="21"/>
          <w:highlight w:val="none"/>
        </w:rPr>
        <w:t>33.2</w:t>
      </w:r>
      <w:r>
        <w:rPr>
          <w:rFonts w:hint="eastAsia" w:hAnsi="宋体" w:cs="宋体"/>
          <w:color w:val="auto"/>
          <w:kern w:val="2"/>
          <w:sz w:val="21"/>
          <w:highlight w:val="none"/>
        </w:rPr>
        <w:t xml:space="preserve"> 其他事项详见“供应商须知前附表”。</w:t>
      </w:r>
    </w:p>
    <w:p>
      <w:pPr>
        <w:pStyle w:val="16"/>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w:t>
      </w:r>
      <w:r>
        <w:rPr>
          <w:rFonts w:hAnsi="宋体" w:cs="宋体"/>
          <w:color w:val="auto"/>
          <w:kern w:val="2"/>
          <w:sz w:val="21"/>
          <w:highlight w:val="none"/>
        </w:rPr>
        <w:t>3.3</w:t>
      </w:r>
      <w:r>
        <w:rPr>
          <w:rFonts w:hint="eastAsia" w:hAnsi="宋体" w:cs="宋体"/>
          <w:color w:val="auto"/>
          <w:kern w:val="2"/>
          <w:sz w:val="21"/>
          <w:highlight w:val="none"/>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pPr>
        <w:pStyle w:val="16"/>
        <w:spacing w:line="360" w:lineRule="auto"/>
        <w:ind w:firstLine="420" w:firstLineChars="200"/>
        <w:contextualSpacing/>
        <w:rPr>
          <w:rFonts w:hAnsi="宋体"/>
          <w:color w:val="auto"/>
          <w:sz w:val="21"/>
          <w:highlight w:val="none"/>
        </w:rPr>
      </w:pPr>
      <w:r>
        <w:rPr>
          <w:rFonts w:hint="eastAsia" w:hAnsi="宋体"/>
          <w:color w:val="auto"/>
          <w:sz w:val="21"/>
          <w:highlight w:val="none"/>
        </w:rPr>
        <w:t>（1）在货物采购项目中，货物由中小企业制造，即货物由中小企业生产且使用该中小企业商号或者注册商标，不对其中涉及的工程承建商和服务的承接商作出要求；</w:t>
      </w:r>
    </w:p>
    <w:p>
      <w:pPr>
        <w:pStyle w:val="16"/>
        <w:spacing w:line="360" w:lineRule="auto"/>
        <w:ind w:firstLine="420" w:firstLineChars="200"/>
        <w:contextualSpacing/>
        <w:rPr>
          <w:rFonts w:hAnsi="宋体"/>
          <w:color w:val="auto"/>
          <w:sz w:val="21"/>
          <w:highlight w:val="none"/>
        </w:rPr>
      </w:pPr>
      <w:r>
        <w:rPr>
          <w:rFonts w:hint="eastAsia" w:hAnsi="宋体"/>
          <w:color w:val="auto"/>
          <w:sz w:val="21"/>
          <w:highlight w:val="none"/>
        </w:rPr>
        <w:t>（2）在工程采购项目中，工程由中小企业承建，即工程施工单位为中小企业，不对其中涉及的货物的制造商和服务的承接商作出要求；</w:t>
      </w:r>
    </w:p>
    <w:p>
      <w:pPr>
        <w:pStyle w:val="16"/>
        <w:spacing w:line="360" w:lineRule="auto"/>
        <w:ind w:firstLine="420" w:firstLineChars="200"/>
        <w:contextualSpacing/>
        <w:rPr>
          <w:rFonts w:hAnsi="宋体"/>
          <w:color w:val="auto"/>
          <w:sz w:val="21"/>
          <w:highlight w:val="none"/>
        </w:rPr>
      </w:pPr>
      <w:r>
        <w:rPr>
          <w:rFonts w:hint="eastAsia" w:hAnsi="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pPr>
        <w:pStyle w:val="16"/>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pPr>
        <w:pStyle w:val="16"/>
        <w:spacing w:line="360" w:lineRule="auto"/>
        <w:ind w:firstLine="420" w:firstLineChars="200"/>
        <w:textAlignment w:val="center"/>
        <w:rPr>
          <w:rFonts w:hAnsi="宋体"/>
          <w:b/>
          <w:color w:val="auto"/>
          <w:sz w:val="32"/>
          <w:szCs w:val="32"/>
          <w:highlight w:val="none"/>
        </w:rPr>
      </w:pPr>
      <w:r>
        <w:rPr>
          <w:rFonts w:hint="eastAsia" w:hAnsi="宋体" w:cs="宋体"/>
          <w:color w:val="auto"/>
          <w:kern w:val="2"/>
          <w:sz w:val="21"/>
          <w:highlight w:val="none"/>
        </w:rPr>
        <w:t>依据本磋商文件规定享受扶持政策获得政府采购合同的，小微企业不得将合同分包给大中型企业，中型企业不得将合同分包给大型企业。</w:t>
      </w:r>
      <w:r>
        <w:rPr>
          <w:rFonts w:hAnsi="宋体"/>
          <w:b/>
          <w:color w:val="auto"/>
          <w:highlight w:val="none"/>
        </w:rPr>
        <w:br w:type="page"/>
      </w:r>
    </w:p>
    <w:p>
      <w:pPr>
        <w:pStyle w:val="3"/>
        <w:jc w:val="center"/>
        <w:rPr>
          <w:color w:val="auto"/>
          <w:highlight w:val="none"/>
        </w:rPr>
      </w:pPr>
      <w:bookmarkStart w:id="74" w:name="_Toc74323458"/>
      <w:r>
        <w:rPr>
          <w:rFonts w:hint="eastAsia"/>
          <w:color w:val="auto"/>
          <w:highlight w:val="none"/>
        </w:rPr>
        <w:t>第三章采购需求</w:t>
      </w:r>
      <w:bookmarkEnd w:id="74"/>
    </w:p>
    <w:p>
      <w:pPr>
        <w:spacing w:line="440" w:lineRule="exact"/>
        <w:jc w:val="center"/>
        <w:rPr>
          <w:rFonts w:ascii="宋体" w:hAnsi="宋体"/>
          <w:b/>
          <w:color w:val="auto"/>
          <w:sz w:val="32"/>
          <w:szCs w:val="32"/>
          <w:highlight w:val="none"/>
        </w:rPr>
      </w:pPr>
      <w:r>
        <w:rPr>
          <w:rFonts w:hint="eastAsia" w:ascii="宋体" w:hAnsi="宋体"/>
          <w:b/>
          <w:color w:val="auto"/>
          <w:sz w:val="32"/>
          <w:szCs w:val="32"/>
          <w:highlight w:val="none"/>
        </w:rPr>
        <w:t>采购项目技术规格、参数及要求</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说明：</w:t>
      </w:r>
    </w:p>
    <w:p>
      <w:pPr>
        <w:spacing w:line="360" w:lineRule="auto"/>
        <w:ind w:firstLine="420" w:firstLineChars="200"/>
        <w:jc w:val="left"/>
        <w:rPr>
          <w:rFonts w:ascii="宋体" w:hAnsi="宋体" w:cs="宋体"/>
          <w:color w:val="auto"/>
          <w:szCs w:val="21"/>
          <w:highlight w:val="none"/>
        </w:rPr>
      </w:pPr>
      <w:r>
        <w:rPr>
          <w:rFonts w:hint="eastAsia" w:ascii="宋体" w:hAnsi="宋体"/>
          <w:color w:val="auto"/>
          <w:highlight w:val="none"/>
        </w:rPr>
        <w:t>1</w:t>
      </w:r>
      <w:r>
        <w:rPr>
          <w:rFonts w:hint="eastAsia"/>
          <w:color w:val="auto"/>
          <w:highlight w:val="none"/>
        </w:rPr>
        <w:t>. 为落实政府采购政策需满足的要求</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（1）本竞争性磋商采购文件所称中小企业必须符合《政府采购促进中小企业发展管理办法》（财库〔2020〕46号）的规定。</w:t>
      </w:r>
    </w:p>
    <w:p>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2. “实质性要求”是指采购需求中带“▲”的条款或者不能负偏离的条款或者已经指明不满足按响应文件按无效处理的条款。</w:t>
      </w:r>
    </w:p>
    <w:p>
      <w:pPr>
        <w:spacing w:line="360" w:lineRule="auto"/>
        <w:ind w:firstLine="424" w:firstLineChars="202"/>
        <w:jc w:val="left"/>
        <w:rPr>
          <w:color w:val="auto"/>
          <w:highlight w:val="none"/>
        </w:rPr>
      </w:pPr>
      <w:r>
        <w:rPr>
          <w:rFonts w:ascii="宋体" w:hAnsi="宋体" w:cs="宋体"/>
          <w:color w:val="auto"/>
          <w:szCs w:val="21"/>
          <w:highlight w:val="none"/>
        </w:rPr>
        <w:t>3</w:t>
      </w:r>
      <w:r>
        <w:rPr>
          <w:rFonts w:hint="eastAsia" w:ascii="宋体" w:hAnsi="宋体" w:cs="宋体"/>
          <w:color w:val="auto"/>
          <w:szCs w:val="21"/>
          <w:highlight w:val="none"/>
        </w:rPr>
        <w:t>.</w:t>
      </w:r>
      <w:r>
        <w:rPr>
          <w:rFonts w:hint="eastAsia"/>
          <w:color w:val="auto"/>
          <w:highlight w:val="none"/>
        </w:rPr>
        <w:t>供应商必须自行为其竞标产品侵犯他人的知识产权或者专利成果的行为承担相应法律责任。</w:t>
      </w:r>
    </w:p>
    <w:p>
      <w:pPr>
        <w:spacing w:line="360" w:lineRule="auto"/>
        <w:ind w:firstLine="424" w:firstLineChars="202"/>
        <w:jc w:val="left"/>
        <w:rPr>
          <w:rFonts w:ascii="宋体" w:hAnsi="宋体"/>
          <w:color w:val="auto"/>
          <w:szCs w:val="21"/>
          <w:highlight w:val="none"/>
        </w:rPr>
      </w:pPr>
      <w:r>
        <w:rPr>
          <w:color w:val="auto"/>
          <w:highlight w:val="none"/>
        </w:rPr>
        <w:t>4.</w:t>
      </w:r>
      <w:r>
        <w:rPr>
          <w:rFonts w:hint="eastAsia"/>
          <w:color w:val="auto"/>
          <w:highlight w:val="none"/>
        </w:rPr>
        <w:t>本项目整体所属行业：</w:t>
      </w:r>
      <w:r>
        <w:rPr>
          <w:rFonts w:hint="eastAsia"/>
          <w:b/>
          <w:color w:val="auto"/>
          <w:highlight w:val="none"/>
        </w:rPr>
        <w:t>信息传输、软件和信息技术服务业</w:t>
      </w:r>
    </w:p>
    <w:p>
      <w:pPr>
        <w:spacing w:line="360" w:lineRule="auto"/>
        <w:ind w:firstLine="308" w:firstLineChars="147"/>
        <w:jc w:val="left"/>
        <w:rPr>
          <w:rFonts w:ascii="宋体" w:hAnsi="宋体" w:cs="Arial"/>
          <w:bCs/>
          <w:color w:val="auto"/>
          <w:szCs w:val="21"/>
          <w:highlight w:val="none"/>
          <w:u w:val="single"/>
        </w:rPr>
      </w:pPr>
      <w:r>
        <w:rPr>
          <w:rFonts w:ascii="宋体" w:hAnsi="宋体" w:cs="Arial"/>
          <w:bCs/>
          <w:color w:val="auto"/>
          <w:szCs w:val="21"/>
          <w:highlight w:val="none"/>
          <w:u w:val="single"/>
        </w:rPr>
        <w:t>/</w:t>
      </w:r>
      <w:r>
        <w:rPr>
          <w:rFonts w:hint="eastAsia" w:ascii="宋体" w:hAnsi="宋体"/>
          <w:b/>
          <w:color w:val="auto"/>
          <w:szCs w:val="21"/>
          <w:highlight w:val="none"/>
        </w:rPr>
        <w:t>分标      采购预算：</w:t>
      </w:r>
      <w:r>
        <w:rPr>
          <w:rFonts w:hint="eastAsia" w:ascii="宋体" w:hAnsi="宋体" w:cs="Arial"/>
          <w:bCs/>
          <w:color w:val="auto"/>
          <w:szCs w:val="21"/>
          <w:highlight w:val="none"/>
          <w:u w:val="single"/>
        </w:rPr>
        <w:t xml:space="preserve">详见竞争性磋商公告 </w:t>
      </w:r>
    </w:p>
    <w:tbl>
      <w:tblPr>
        <w:tblStyle w:val="25"/>
        <w:tblpPr w:leftFromText="180" w:rightFromText="180" w:vertAnchor="text" w:tblpY="1"/>
        <w:tblOverlap w:val="never"/>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51"/>
        <w:gridCol w:w="2463"/>
        <w:gridCol w:w="1204"/>
        <w:gridCol w:w="497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248"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354"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auto"/>
                <w:szCs w:val="21"/>
                <w:highlight w:val="none"/>
              </w:rPr>
            </w:pPr>
            <w:r>
              <w:rPr>
                <w:rFonts w:hint="eastAsia" w:ascii="宋体" w:hAnsi="宋体" w:cs="宋体"/>
                <w:b/>
                <w:color w:val="auto"/>
                <w:szCs w:val="21"/>
                <w:highlight w:val="none"/>
              </w:rPr>
              <w:t>标的（服务）名称</w:t>
            </w:r>
          </w:p>
        </w:tc>
        <w:tc>
          <w:tcPr>
            <w:tcW w:w="662"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
                <w:color w:val="auto"/>
                <w:szCs w:val="21"/>
                <w:highlight w:val="none"/>
              </w:rPr>
            </w:pPr>
            <w:r>
              <w:rPr>
                <w:rFonts w:hint="eastAsia" w:ascii="宋体" w:hAnsi="宋体"/>
                <w:b/>
                <w:color w:val="auto"/>
                <w:szCs w:val="21"/>
                <w:highlight w:val="none"/>
              </w:rPr>
              <w:t>数量</w:t>
            </w:r>
          </w:p>
        </w:tc>
        <w:tc>
          <w:tcPr>
            <w:tcW w:w="2736"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bCs/>
                <w:color w:val="auto"/>
                <w:szCs w:val="21"/>
                <w:highlight w:val="none"/>
              </w:rPr>
            </w:pPr>
            <w:r>
              <w:rPr>
                <w:rFonts w:hint="eastAsia" w:ascii="宋体" w:hAnsi="宋体"/>
                <w:b/>
                <w:color w:val="auto"/>
                <w:szCs w:val="21"/>
                <w:highlight w:val="none"/>
              </w:rPr>
              <w:t>服务内容及要求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248"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auto"/>
                <w:szCs w:val="21"/>
                <w:highlight w:val="none"/>
              </w:rPr>
            </w:pPr>
            <w:r>
              <w:rPr>
                <w:rFonts w:hint="eastAsia" w:ascii="宋体" w:hAnsi="宋体" w:cs="宋体"/>
                <w:b/>
                <w:color w:val="auto"/>
                <w:szCs w:val="21"/>
                <w:highlight w:val="none"/>
              </w:rPr>
              <w:t>1</w:t>
            </w:r>
          </w:p>
        </w:tc>
        <w:tc>
          <w:tcPr>
            <w:tcW w:w="1354"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广西应急管理综合应用平台安全生产风险监测预警系统升级</w:t>
            </w:r>
          </w:p>
        </w:tc>
        <w:tc>
          <w:tcPr>
            <w:tcW w:w="66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1项</w:t>
            </w:r>
          </w:p>
        </w:tc>
        <w:tc>
          <w:tcPr>
            <w:tcW w:w="2736" w:type="pct"/>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ascii="宋体" w:hAnsi="宋体"/>
                <w:color w:val="auto"/>
                <w:szCs w:val="21"/>
                <w:highlight w:val="none"/>
              </w:rPr>
            </w:pPr>
            <w:r>
              <w:rPr>
                <w:rFonts w:hint="eastAsia" w:ascii="宋体" w:hAnsi="宋体"/>
                <w:color w:val="auto"/>
                <w:szCs w:val="21"/>
                <w:highlight w:val="none"/>
              </w:rPr>
              <w:t>一、建设目标</w:t>
            </w:r>
          </w:p>
          <w:p>
            <w:pPr>
              <w:widowControl/>
              <w:spacing w:line="380" w:lineRule="exact"/>
              <w:jc w:val="left"/>
              <w:rPr>
                <w:rFonts w:ascii="宋体" w:hAnsi="宋体"/>
                <w:color w:val="auto"/>
                <w:szCs w:val="21"/>
                <w:highlight w:val="none"/>
              </w:rPr>
            </w:pPr>
            <w:r>
              <w:rPr>
                <w:rFonts w:hint="eastAsia" w:ascii="宋体" w:hAnsi="宋体"/>
                <w:color w:val="auto"/>
                <w:szCs w:val="21"/>
                <w:highlight w:val="none"/>
              </w:rPr>
              <w:t>　　在应急管理部信息化建设规划框架的指导下，紧抓应急管理事业改革发展的重大战略机遇，适应科技信息化发展大势，加快现代信息技术与应急管理业务深度融合，促进体制机制创新、业务流程再造和工作模式创新，逐步实现应急管理模式从被动反应向主动保障转变，从事后处理向事前预防转变，从静态孤立监管向动态连续防控转变，围绕危险化学品高危行业领域，以感知数据为支撑，构建风险监测指标体系和监测预警模型，利用大数据、人工智能等技术手段，实现对高危行业企业安全生产风险的实时监测、智能分析、精准预警、风险研判及趋势分析，为重点监管、精准执法、科学施策提供支撑，有效遏制事故发生。</w:t>
            </w:r>
          </w:p>
          <w:p>
            <w:pPr>
              <w:widowControl/>
              <w:spacing w:line="380" w:lineRule="exact"/>
              <w:jc w:val="left"/>
              <w:rPr>
                <w:rFonts w:ascii="宋体" w:hAnsi="宋体"/>
                <w:color w:val="auto"/>
                <w:szCs w:val="21"/>
                <w:highlight w:val="none"/>
              </w:rPr>
            </w:pPr>
            <w:r>
              <w:rPr>
                <w:rFonts w:hint="eastAsia" w:ascii="宋体" w:hAnsi="宋体"/>
                <w:color w:val="auto"/>
                <w:szCs w:val="21"/>
                <w:highlight w:val="none"/>
              </w:rPr>
              <w:t>二、建设内容</w:t>
            </w:r>
          </w:p>
          <w:p>
            <w:pPr>
              <w:ind w:firstLine="420" w:firstLineChars="200"/>
              <w:jc w:val="left"/>
              <w:rPr>
                <w:rFonts w:ascii="宋体" w:hAnsi="宋体"/>
                <w:color w:val="auto"/>
                <w:szCs w:val="21"/>
                <w:highlight w:val="none"/>
              </w:rPr>
            </w:pPr>
            <w:r>
              <w:rPr>
                <w:rFonts w:hint="eastAsia" w:ascii="宋体" w:hAnsi="宋体"/>
                <w:color w:val="auto"/>
                <w:szCs w:val="21"/>
                <w:highlight w:val="none"/>
              </w:rPr>
              <w:t>按照《危险化学品安全生产风险监测预警系统分级巡查抽查管理办法(试行)》、《危险化学品安全生产风险监测预警系统预警信息处置管理办法(试行)》 、《危险化学品安全生产风险监测预警系统数据质量管理办法(试 行)》、《危险化学品安全生产风险监测预警系统信息通报制度 (试行)》、《危险化学品安全生产风险监测预警系统企业常态化应用规定(试行)》 《广西防范化解尾矿库安全风险工作方案》等制度，对照应急管理部科技和信息化工作领导小组办公室印发的地方应急管理信息化2021、2022年建设任务书要求，结合我区2019、2020和2021年预警系统建设情况，基于现有功能进行升级开发（新开发功能需与原功能实现无缝衔接）（原系统开发商：中国电子系统技术有限公司），扩展接入储存硝酸铵仓库、构成重大危险源的氯酸钾、氯酸钠、硝化棉仓库和涉及重大危险源的危险化学品装卸站台监测监控数据，建设视频监控录像调阅、视频离线信息推送、视频存储监控及视频智能分析等功能，新增抽查、巡查等五项制度落实等政府和企业端功能；建设工矿重点企业安全风险监测监测预警系统，包括工作台子系统、风险综合监测子系统、综合数据采集子系统；综合数据采集子系统实现工贸行业感知数据采集，并实现行业企业基本信息管理和安全管理管理、综合信息管理、网关信息管理、监测设备管理、监测指标管理；风险综合监测子系统通过物联网感知系统采集各类传感器监测数据、视频监控信息、设备运行状态信息，实现工贸行业高危区域风险的实时感知，系统支持实时监测数据的动态展示及日历形式的历史数据展示；根据监测指标的设定阈值系统自动发出报警提醒，并对报警的数据进行分级、分类统计及可视化展示；通过数据资源整合、业务系统建设，为自治区内工矿重点企业提供安全技术服务；扩展工矿商贸、尾矿库监测预警系统和烟花爆竹监测预警系统首页工作台，为用户快速找到常用功能提供便捷的入口，可以管理个人信息、系统消息、待办事项，实现全自治区尾矿库企业感知数据的汇聚；各类数据按照接入标准规范进行数据对接和上报工作，并做好各地市及企业数据接入的技术支撑及联调服务。</w:t>
            </w:r>
          </w:p>
          <w:p>
            <w:pPr>
              <w:jc w:val="left"/>
              <w:rPr>
                <w:rFonts w:ascii="宋体" w:hAnsi="宋体"/>
                <w:color w:val="auto"/>
                <w:szCs w:val="21"/>
                <w:highlight w:val="none"/>
              </w:rPr>
            </w:pPr>
            <w:r>
              <w:rPr>
                <w:rFonts w:hint="eastAsia" w:ascii="宋体" w:hAnsi="宋体"/>
                <w:color w:val="auto"/>
                <w:szCs w:val="21"/>
                <w:highlight w:val="none"/>
              </w:rPr>
              <w:t>三、项目技术要求：</w:t>
            </w:r>
            <w:r>
              <w:rPr>
                <w:rFonts w:hint="eastAsia" w:ascii="宋体" w:hAnsi="宋体"/>
                <w:b/>
                <w:color w:val="auto"/>
                <w:szCs w:val="21"/>
                <w:highlight w:val="none"/>
              </w:rPr>
              <w:t>详见附件</w:t>
            </w:r>
          </w:p>
          <w:p>
            <w:pPr>
              <w:jc w:val="left"/>
              <w:rPr>
                <w:rFonts w:ascii="宋体" w:hAnsi="宋体"/>
                <w:color w:val="auto"/>
                <w:szCs w:val="21"/>
                <w:highlight w:val="none"/>
              </w:rPr>
            </w:pPr>
            <w:r>
              <w:rPr>
                <w:rFonts w:hint="eastAsia" w:ascii="宋体" w:hAnsi="宋体"/>
                <w:color w:val="auto"/>
                <w:szCs w:val="21"/>
                <w:highlight w:val="none"/>
              </w:rPr>
              <w:t>四、人员配置与培训要求</w:t>
            </w:r>
          </w:p>
          <w:p>
            <w:pPr>
              <w:widowControl/>
              <w:spacing w:line="380" w:lineRule="exact"/>
              <w:jc w:val="left"/>
              <w:rPr>
                <w:rFonts w:ascii="宋体" w:hAnsi="宋体"/>
                <w:color w:val="auto"/>
                <w:szCs w:val="21"/>
                <w:highlight w:val="none"/>
              </w:rPr>
            </w:pPr>
            <w:r>
              <w:rPr>
                <w:rFonts w:hint="eastAsia" w:ascii="宋体" w:hAnsi="宋体"/>
                <w:color w:val="auto"/>
                <w:szCs w:val="21"/>
                <w:highlight w:val="none"/>
              </w:rPr>
              <w:t>1、人员配置</w:t>
            </w:r>
          </w:p>
          <w:p>
            <w:pPr>
              <w:widowControl/>
              <w:spacing w:line="380" w:lineRule="exact"/>
              <w:jc w:val="left"/>
              <w:rPr>
                <w:rFonts w:ascii="宋体" w:hAnsi="宋体"/>
                <w:color w:val="auto"/>
                <w:szCs w:val="21"/>
                <w:highlight w:val="none"/>
              </w:rPr>
            </w:pPr>
            <w:r>
              <w:rPr>
                <w:rFonts w:hint="eastAsia" w:ascii="宋体" w:hAnsi="宋体"/>
                <w:color w:val="auto"/>
                <w:szCs w:val="21"/>
                <w:highlight w:val="none"/>
              </w:rPr>
              <w:t>（1）系统开发期：要求成交供应商提供至少3名人员驻场，人员要求具有计算机相关专业全日制本科或以上学历。响应文件提供人员学历证明复印件。</w:t>
            </w:r>
          </w:p>
          <w:p>
            <w:pPr>
              <w:widowControl/>
              <w:spacing w:line="380" w:lineRule="exact"/>
              <w:jc w:val="left"/>
              <w:rPr>
                <w:rFonts w:ascii="宋体" w:hAnsi="宋体"/>
                <w:color w:val="auto"/>
                <w:szCs w:val="21"/>
                <w:highlight w:val="none"/>
              </w:rPr>
            </w:pPr>
            <w:r>
              <w:rPr>
                <w:rFonts w:hint="eastAsia" w:ascii="宋体" w:hAnsi="宋体"/>
                <w:color w:val="auto"/>
                <w:szCs w:val="21"/>
                <w:highlight w:val="none"/>
              </w:rPr>
              <w:t>（2）系统通过验收进入质保期：要求成交供应商提供至少</w:t>
            </w:r>
            <w:r>
              <w:rPr>
                <w:rFonts w:ascii="宋体" w:hAnsi="宋体"/>
                <w:color w:val="auto"/>
                <w:szCs w:val="21"/>
                <w:highlight w:val="none"/>
              </w:rPr>
              <w:t>2</w:t>
            </w:r>
            <w:r>
              <w:rPr>
                <w:rFonts w:hint="eastAsia" w:ascii="宋体" w:hAnsi="宋体"/>
                <w:color w:val="auto"/>
                <w:szCs w:val="21"/>
                <w:highlight w:val="none"/>
              </w:rPr>
              <w:t>名人员驻场，人员要求具有大专或以上学历，负责本项目技术支持和系统维护。人员要求熟悉业务应用及系统使用操作，沟通能力良好。要求建立工作QQ群或微信群进行常态化管理，24小时响应并受理业务处室的问题，如需到场解决的问题应在2小时内到场并解决；系统出现故障时，一般故障解决时间不超过2小时，重大故障解决时间不超过8小时。</w:t>
            </w:r>
          </w:p>
          <w:p>
            <w:pPr>
              <w:widowControl/>
              <w:spacing w:line="380" w:lineRule="exact"/>
              <w:jc w:val="left"/>
              <w:rPr>
                <w:rFonts w:ascii="宋体" w:hAnsi="宋体"/>
                <w:color w:val="auto"/>
                <w:szCs w:val="21"/>
                <w:highlight w:val="none"/>
              </w:rPr>
            </w:pPr>
            <w:r>
              <w:rPr>
                <w:rFonts w:hint="eastAsia" w:ascii="宋体" w:hAnsi="宋体"/>
                <w:color w:val="auto"/>
                <w:szCs w:val="21"/>
                <w:highlight w:val="none"/>
              </w:rPr>
              <w:t>（3）以上人员工作时间按采购人行政班时间，工作场地由采购人提供。接受采购人单位管理，遵守采购人单位工作纪律和保密安全管理要求。合同期内人员不允许随意更换，如必须更换需经采购人同意。人员不按采购人单位要求开展工作的或工作能力达不到要求的，采购人有权要求成交供应商更换。</w:t>
            </w:r>
          </w:p>
          <w:p>
            <w:pPr>
              <w:widowControl/>
              <w:spacing w:line="380" w:lineRule="exact"/>
              <w:jc w:val="left"/>
              <w:rPr>
                <w:rFonts w:ascii="宋体" w:hAnsi="宋体"/>
                <w:color w:val="auto"/>
                <w:szCs w:val="21"/>
                <w:highlight w:val="none"/>
              </w:rPr>
            </w:pPr>
            <w:r>
              <w:rPr>
                <w:rFonts w:hint="eastAsia" w:ascii="宋体" w:hAnsi="宋体"/>
                <w:color w:val="auto"/>
                <w:szCs w:val="21"/>
                <w:highlight w:val="none"/>
              </w:rPr>
              <w:t>2、培训要求</w:t>
            </w:r>
          </w:p>
          <w:p>
            <w:pPr>
              <w:widowControl/>
              <w:spacing w:line="380" w:lineRule="exact"/>
              <w:jc w:val="left"/>
              <w:rPr>
                <w:rFonts w:ascii="宋体" w:hAnsi="宋体"/>
                <w:color w:val="auto"/>
                <w:szCs w:val="21"/>
                <w:highlight w:val="none"/>
              </w:rPr>
            </w:pPr>
            <w:r>
              <w:rPr>
                <w:rFonts w:hint="eastAsia" w:ascii="宋体" w:hAnsi="宋体"/>
                <w:color w:val="auto"/>
                <w:szCs w:val="21"/>
                <w:highlight w:val="none"/>
              </w:rPr>
              <w:t>（1）培训对象</w:t>
            </w:r>
          </w:p>
          <w:p>
            <w:pPr>
              <w:widowControl/>
              <w:spacing w:line="380" w:lineRule="exact"/>
              <w:jc w:val="left"/>
              <w:rPr>
                <w:rFonts w:ascii="宋体" w:hAnsi="宋体"/>
                <w:color w:val="auto"/>
                <w:szCs w:val="21"/>
                <w:highlight w:val="none"/>
              </w:rPr>
            </w:pPr>
            <w:r>
              <w:rPr>
                <w:rFonts w:hint="eastAsia" w:ascii="宋体" w:hAnsi="宋体"/>
                <w:color w:val="auto"/>
                <w:szCs w:val="21"/>
                <w:highlight w:val="none"/>
              </w:rPr>
              <w:t>项目建成后由成交供应商统一组织相关培训，必要环节制作视频用于学习，确保业务处室人员熟悉系统，涉及数据对接层面，制作说明文档。</w:t>
            </w:r>
          </w:p>
          <w:p>
            <w:pPr>
              <w:widowControl/>
              <w:spacing w:line="380" w:lineRule="exact"/>
              <w:jc w:val="left"/>
              <w:rPr>
                <w:rFonts w:ascii="宋体" w:hAnsi="宋体"/>
                <w:color w:val="auto"/>
                <w:szCs w:val="21"/>
                <w:highlight w:val="none"/>
              </w:rPr>
            </w:pPr>
            <w:r>
              <w:rPr>
                <w:rFonts w:hint="eastAsia" w:ascii="宋体" w:hAnsi="宋体"/>
                <w:color w:val="auto"/>
                <w:szCs w:val="21"/>
                <w:highlight w:val="none"/>
              </w:rPr>
              <w:t>培训对象包括负责本项目使用及维护人员。</w:t>
            </w:r>
          </w:p>
          <w:p>
            <w:pPr>
              <w:widowControl/>
              <w:spacing w:line="380" w:lineRule="exact"/>
              <w:jc w:val="left"/>
              <w:rPr>
                <w:rFonts w:ascii="宋体" w:hAnsi="宋体"/>
                <w:color w:val="auto"/>
                <w:szCs w:val="21"/>
                <w:highlight w:val="none"/>
              </w:rPr>
            </w:pPr>
            <w:r>
              <w:rPr>
                <w:rFonts w:hint="eastAsia" w:ascii="宋体" w:hAnsi="宋体"/>
                <w:color w:val="auto"/>
                <w:szCs w:val="21"/>
                <w:highlight w:val="none"/>
              </w:rPr>
              <w:t>1）系统使用、维护人员培训</w:t>
            </w:r>
          </w:p>
          <w:p>
            <w:pPr>
              <w:widowControl/>
              <w:spacing w:line="380" w:lineRule="exact"/>
              <w:jc w:val="left"/>
              <w:rPr>
                <w:rFonts w:ascii="宋体" w:hAnsi="宋体"/>
                <w:color w:val="auto"/>
                <w:szCs w:val="21"/>
                <w:highlight w:val="none"/>
              </w:rPr>
            </w:pPr>
            <w:r>
              <w:rPr>
                <w:rFonts w:hint="eastAsia" w:ascii="宋体" w:hAnsi="宋体"/>
                <w:color w:val="auto"/>
                <w:szCs w:val="21"/>
                <w:highlight w:val="none"/>
              </w:rPr>
              <w:t>工作人员应用培训。通过对相关业务人员、平台维护人员和企业人员进行应用系统培训，使他们尽快熟悉掌握系统，并通过信息系统完成日常监管监察与应急处理工作，提高工作效率和工作质量。</w:t>
            </w:r>
          </w:p>
          <w:p>
            <w:pPr>
              <w:widowControl/>
              <w:spacing w:line="380" w:lineRule="exact"/>
              <w:jc w:val="left"/>
              <w:rPr>
                <w:rFonts w:ascii="宋体" w:hAnsi="宋体"/>
                <w:color w:val="auto"/>
                <w:szCs w:val="21"/>
                <w:highlight w:val="none"/>
              </w:rPr>
            </w:pPr>
            <w:r>
              <w:rPr>
                <w:rFonts w:hint="eastAsia" w:ascii="宋体" w:hAnsi="宋体"/>
                <w:color w:val="auto"/>
                <w:szCs w:val="21"/>
                <w:highlight w:val="none"/>
              </w:rPr>
              <w:t>2）使用人员培训</w:t>
            </w:r>
          </w:p>
          <w:p>
            <w:pPr>
              <w:widowControl/>
              <w:spacing w:line="380" w:lineRule="exact"/>
              <w:jc w:val="left"/>
              <w:rPr>
                <w:rFonts w:ascii="宋体" w:hAnsi="宋体"/>
                <w:color w:val="auto"/>
                <w:szCs w:val="21"/>
                <w:highlight w:val="none"/>
              </w:rPr>
            </w:pPr>
            <w:r>
              <w:rPr>
                <w:rFonts w:hint="eastAsia" w:ascii="宋体" w:hAnsi="宋体"/>
                <w:color w:val="auto"/>
                <w:szCs w:val="21"/>
                <w:highlight w:val="none"/>
              </w:rPr>
              <w:t>相关接口工作人员应用培训。</w:t>
            </w:r>
          </w:p>
          <w:p>
            <w:pPr>
              <w:widowControl/>
              <w:spacing w:line="380" w:lineRule="exact"/>
              <w:jc w:val="left"/>
              <w:rPr>
                <w:rFonts w:ascii="宋体" w:hAnsi="宋体"/>
                <w:color w:val="auto"/>
                <w:szCs w:val="21"/>
                <w:highlight w:val="none"/>
              </w:rPr>
            </w:pPr>
            <w:r>
              <w:rPr>
                <w:rFonts w:hint="eastAsia" w:ascii="宋体" w:hAnsi="宋体"/>
                <w:color w:val="auto"/>
                <w:szCs w:val="21"/>
                <w:highlight w:val="none"/>
              </w:rPr>
              <w:t>（2）培训内容</w:t>
            </w:r>
          </w:p>
          <w:p>
            <w:pPr>
              <w:widowControl/>
              <w:spacing w:line="380" w:lineRule="exact"/>
              <w:jc w:val="left"/>
              <w:rPr>
                <w:rFonts w:ascii="宋体" w:hAnsi="宋体"/>
                <w:color w:val="auto"/>
                <w:szCs w:val="21"/>
                <w:highlight w:val="none"/>
              </w:rPr>
            </w:pPr>
            <w:r>
              <w:rPr>
                <w:rFonts w:hint="eastAsia" w:ascii="宋体" w:hAnsi="宋体"/>
                <w:color w:val="auto"/>
                <w:szCs w:val="21"/>
                <w:highlight w:val="none"/>
              </w:rPr>
              <w:t>1）系统管理培训</w:t>
            </w:r>
          </w:p>
          <w:p>
            <w:pPr>
              <w:widowControl/>
              <w:spacing w:line="380" w:lineRule="exact"/>
              <w:jc w:val="left"/>
              <w:rPr>
                <w:rFonts w:ascii="宋体" w:hAnsi="宋体"/>
                <w:color w:val="auto"/>
                <w:szCs w:val="21"/>
                <w:highlight w:val="none"/>
              </w:rPr>
            </w:pPr>
            <w:r>
              <w:rPr>
                <w:rFonts w:hint="eastAsia" w:ascii="宋体" w:hAnsi="宋体"/>
                <w:color w:val="auto"/>
                <w:szCs w:val="21"/>
                <w:highlight w:val="none"/>
              </w:rPr>
              <w:t>系统管理培训主要面向系统管理人员，其培训内容包括网络基础、系统安全、数据库、存储管理、系统维护等。</w:t>
            </w:r>
          </w:p>
          <w:p>
            <w:pPr>
              <w:widowControl/>
              <w:spacing w:line="380" w:lineRule="exact"/>
              <w:jc w:val="left"/>
              <w:rPr>
                <w:rFonts w:ascii="宋体" w:hAnsi="宋体"/>
                <w:color w:val="auto"/>
                <w:szCs w:val="21"/>
                <w:highlight w:val="none"/>
              </w:rPr>
            </w:pPr>
            <w:r>
              <w:rPr>
                <w:rFonts w:hint="eastAsia" w:ascii="宋体" w:hAnsi="宋体"/>
                <w:color w:val="auto"/>
                <w:szCs w:val="21"/>
                <w:highlight w:val="none"/>
              </w:rPr>
              <w:t>数据库知识培训，了解数据库的运行方法及原理，熟悉数据接入格式要求。</w:t>
            </w:r>
          </w:p>
          <w:p>
            <w:pPr>
              <w:widowControl/>
              <w:spacing w:line="380" w:lineRule="exact"/>
              <w:jc w:val="left"/>
              <w:rPr>
                <w:rFonts w:ascii="宋体" w:hAnsi="宋体"/>
                <w:color w:val="auto"/>
                <w:szCs w:val="21"/>
                <w:highlight w:val="none"/>
              </w:rPr>
            </w:pPr>
            <w:r>
              <w:rPr>
                <w:rFonts w:hint="eastAsia" w:ascii="宋体" w:hAnsi="宋体"/>
                <w:color w:val="auto"/>
                <w:szCs w:val="21"/>
                <w:highlight w:val="none"/>
              </w:rPr>
              <w:t>系统的管理维护人员将通过系统管理培训过程，熟悉掌握系统性能及运行维护知识，更好的进行日后的运维工作。</w:t>
            </w:r>
          </w:p>
          <w:p>
            <w:pPr>
              <w:widowControl/>
              <w:spacing w:line="380" w:lineRule="exact"/>
              <w:jc w:val="left"/>
              <w:rPr>
                <w:rFonts w:ascii="宋体" w:hAnsi="宋体"/>
                <w:color w:val="auto"/>
                <w:szCs w:val="21"/>
                <w:highlight w:val="none"/>
              </w:rPr>
            </w:pPr>
            <w:r>
              <w:rPr>
                <w:rFonts w:hint="eastAsia" w:ascii="宋体" w:hAnsi="宋体"/>
                <w:color w:val="auto"/>
                <w:szCs w:val="21"/>
                <w:highlight w:val="none"/>
              </w:rPr>
              <w:t>2）系统应用培训</w:t>
            </w:r>
          </w:p>
          <w:p>
            <w:pPr>
              <w:widowControl/>
              <w:spacing w:line="380" w:lineRule="exact"/>
              <w:jc w:val="left"/>
              <w:rPr>
                <w:rFonts w:ascii="宋体" w:hAnsi="宋体"/>
                <w:color w:val="auto"/>
                <w:szCs w:val="21"/>
                <w:highlight w:val="none"/>
              </w:rPr>
            </w:pPr>
            <w:r>
              <w:rPr>
                <w:rFonts w:hint="eastAsia" w:ascii="宋体" w:hAnsi="宋体"/>
                <w:color w:val="auto"/>
                <w:szCs w:val="21"/>
                <w:highlight w:val="none"/>
              </w:rPr>
              <w:t>针对系统的使用人员进行的培训，具体内容包括升级系统功能的使用和操作培训。</w:t>
            </w:r>
          </w:p>
          <w:p>
            <w:pPr>
              <w:widowControl/>
              <w:spacing w:line="380" w:lineRule="exact"/>
              <w:jc w:val="left"/>
              <w:rPr>
                <w:rFonts w:ascii="宋体" w:hAnsi="宋体"/>
                <w:color w:val="auto"/>
                <w:szCs w:val="21"/>
                <w:highlight w:val="none"/>
              </w:rPr>
            </w:pPr>
            <w:r>
              <w:rPr>
                <w:rFonts w:hint="eastAsia" w:ascii="宋体" w:hAnsi="宋体"/>
                <w:color w:val="auto"/>
                <w:szCs w:val="21"/>
                <w:highlight w:val="none"/>
              </w:rPr>
              <w:t>（3）培训计划</w:t>
            </w:r>
          </w:p>
          <w:p>
            <w:pPr>
              <w:widowControl/>
              <w:spacing w:line="380" w:lineRule="exact"/>
              <w:jc w:val="left"/>
              <w:rPr>
                <w:rFonts w:ascii="宋体" w:hAnsi="宋体"/>
                <w:color w:val="auto"/>
                <w:szCs w:val="21"/>
                <w:highlight w:val="none"/>
              </w:rPr>
            </w:pPr>
            <w:r>
              <w:rPr>
                <w:rFonts w:hint="eastAsia" w:ascii="宋体" w:hAnsi="宋体"/>
                <w:color w:val="auto"/>
                <w:szCs w:val="21"/>
                <w:highlight w:val="none"/>
              </w:rPr>
              <w:t>业务系统升级功能提供不少于一次集中培训；企业端培训关键功能需录制视频，并提供线上统一培训一次；地市数据对接按需随时开展，确保数据顺利对接。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r>
              <w:rPr>
                <w:rFonts w:hint="eastAsia" w:ascii="宋体" w:hAnsi="宋体"/>
                <w:color w:val="auto"/>
                <w:szCs w:val="21"/>
                <w:highlight w:val="none"/>
              </w:rPr>
              <w:t>▲一、</w:t>
            </w:r>
            <w:r>
              <w:rPr>
                <w:rFonts w:hint="eastAsia" w:ascii="宋体" w:hAnsi="宋体"/>
                <w:b/>
                <w:color w:val="auto"/>
                <w:szCs w:val="21"/>
                <w:highlight w:val="none"/>
              </w:rPr>
              <w:t>商务条款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02"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b/>
                <w:color w:val="auto"/>
                <w:szCs w:val="21"/>
                <w:highlight w:val="none"/>
              </w:rPr>
            </w:pPr>
            <w:r>
              <w:rPr>
                <w:rFonts w:hint="eastAsia" w:ascii="宋体" w:hAnsi="宋体"/>
                <w:color w:val="auto"/>
                <w:szCs w:val="21"/>
                <w:highlight w:val="none"/>
              </w:rPr>
              <w:t>合同签订时间</w:t>
            </w:r>
          </w:p>
        </w:tc>
        <w:tc>
          <w:tcPr>
            <w:tcW w:w="3398" w:type="pct"/>
            <w:gridSpan w:val="2"/>
            <w:tcBorders>
              <w:top w:val="single" w:color="auto" w:sz="4" w:space="0"/>
              <w:left w:val="single" w:color="auto" w:sz="4" w:space="0"/>
              <w:bottom w:val="single" w:color="auto" w:sz="4" w:space="0"/>
              <w:right w:val="single" w:color="auto" w:sz="4" w:space="0"/>
            </w:tcBorders>
          </w:tcPr>
          <w:p>
            <w:pPr>
              <w:spacing w:line="360" w:lineRule="auto"/>
              <w:rPr>
                <w:rFonts w:ascii="宋体" w:hAnsi="宋体"/>
                <w:b/>
                <w:color w:val="auto"/>
                <w:szCs w:val="21"/>
                <w:highlight w:val="none"/>
              </w:rPr>
            </w:pPr>
            <w:r>
              <w:rPr>
                <w:rFonts w:hint="eastAsia" w:ascii="宋体" w:hAnsi="宋体"/>
                <w:color w:val="auto"/>
                <w:szCs w:val="21"/>
                <w:highlight w:val="none"/>
              </w:rPr>
              <w:t>自成交通知书发出之日起</w:t>
            </w:r>
            <w:r>
              <w:rPr>
                <w:rFonts w:hint="eastAsia" w:ascii="宋体" w:hAnsi="宋体"/>
                <w:color w:val="auto"/>
                <w:szCs w:val="21"/>
                <w:highlight w:val="none"/>
                <w:u w:val="single"/>
              </w:rPr>
              <w:t xml:space="preserve"> 25</w:t>
            </w:r>
            <w:r>
              <w:rPr>
                <w:rFonts w:hint="eastAsia" w:ascii="宋体" w:hAnsi="宋体"/>
                <w:color w:val="auto"/>
                <w:szCs w:val="21"/>
                <w:highlight w:val="none"/>
              </w:rPr>
              <w:t>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02"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项目建设期及地点</w:t>
            </w:r>
          </w:p>
        </w:tc>
        <w:tc>
          <w:tcPr>
            <w:tcW w:w="3398" w:type="pct"/>
            <w:gridSpan w:val="2"/>
            <w:tcBorders>
              <w:top w:val="single" w:color="auto" w:sz="4" w:space="0"/>
              <w:left w:val="single" w:color="auto" w:sz="4" w:space="0"/>
              <w:bottom w:val="single" w:color="auto" w:sz="4" w:space="0"/>
              <w:right w:val="single" w:color="auto" w:sz="4" w:space="0"/>
            </w:tcBorders>
            <w:vAlign w:val="center"/>
          </w:tcPr>
          <w:p>
            <w:pPr>
              <w:pStyle w:val="72"/>
              <w:ind w:firstLine="0" w:firstLineChars="0"/>
              <w:rPr>
                <w:rFonts w:ascii="宋体" w:hAnsi="宋体" w:eastAsia="宋体"/>
                <w:color w:val="auto"/>
                <w:szCs w:val="21"/>
                <w:highlight w:val="none"/>
              </w:rPr>
            </w:pPr>
            <w:r>
              <w:rPr>
                <w:rFonts w:hint="eastAsia" w:ascii="宋体" w:hAnsi="宋体" w:eastAsia="宋体"/>
                <w:color w:val="auto"/>
                <w:kern w:val="2"/>
                <w:sz w:val="21"/>
                <w:szCs w:val="21"/>
                <w:highlight w:val="none"/>
              </w:rPr>
              <w:t>项目建设期：本项目总体建设期为3个月（自合同签订之日起计）。</w:t>
            </w:r>
          </w:p>
          <w:p>
            <w:pPr>
              <w:spacing w:line="360" w:lineRule="auto"/>
              <w:jc w:val="left"/>
              <w:rPr>
                <w:rFonts w:ascii="宋体" w:hAnsi="宋体"/>
                <w:color w:val="auto"/>
                <w:highlight w:val="none"/>
              </w:rPr>
            </w:pPr>
            <w:r>
              <w:rPr>
                <w:rFonts w:hint="eastAsia" w:ascii="宋体" w:hAnsi="宋体"/>
                <w:color w:val="auto"/>
                <w:szCs w:val="21"/>
                <w:highlight w:val="none"/>
              </w:rPr>
              <w:t>建设地点：广西南宁市采购人指定地点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02"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highlight w:val="none"/>
              </w:rPr>
            </w:pPr>
            <w:r>
              <w:rPr>
                <w:rFonts w:hint="eastAsia" w:ascii="宋体" w:hAnsi="宋体"/>
                <w:color w:val="auto"/>
                <w:szCs w:val="21"/>
                <w:highlight w:val="none"/>
              </w:rPr>
              <w:t>付款条件</w:t>
            </w:r>
          </w:p>
        </w:tc>
        <w:tc>
          <w:tcPr>
            <w:tcW w:w="3398"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olor w:val="auto"/>
                <w:highlight w:val="none"/>
              </w:rPr>
            </w:pPr>
            <w:r>
              <w:rPr>
                <w:rFonts w:hint="eastAsia" w:ascii="宋体" w:hAnsi="宋体"/>
                <w:color w:val="auto"/>
                <w:szCs w:val="21"/>
                <w:highlight w:val="none"/>
              </w:rPr>
              <w:t>签订合同后采购人支付30%合同款，初步验收通过后支付30%合同款，最终验收通过后支付35%合同款，质保期满后付完余款。采购人每次付款后，成交供应商须开具等额增值税发票给采购人。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02" w:type="pct"/>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bCs/>
                <w:color w:val="auto"/>
                <w:szCs w:val="21"/>
                <w:highlight w:val="none"/>
              </w:rPr>
            </w:pPr>
            <w:r>
              <w:rPr>
                <w:rFonts w:hint="eastAsia" w:ascii="宋体" w:hAnsi="宋体"/>
                <w:color w:val="auto"/>
                <w:szCs w:val="21"/>
                <w:highlight w:val="none"/>
              </w:rPr>
              <w:t>报价要求</w:t>
            </w:r>
          </w:p>
        </w:tc>
        <w:tc>
          <w:tcPr>
            <w:tcW w:w="3398" w:type="pct"/>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auto"/>
                <w:szCs w:val="21"/>
                <w:highlight w:val="none"/>
              </w:rPr>
            </w:pPr>
            <w:r>
              <w:rPr>
                <w:rFonts w:hint="eastAsia" w:ascii="宋体" w:hAnsi="宋体"/>
                <w:color w:val="auto"/>
                <w:szCs w:val="21"/>
                <w:highlight w:val="none"/>
              </w:rPr>
              <w:t>1、磋商报价为采购人指定地点的现场交货使用的包干报价，须以人民币报价，包含：包括货物及服务采购、标准附件、备品备件、专用工具、运输、保管、设计、施工、安装、施工过程所需的安装材料（辅材、配件等）、调试、验收、培训等各种费用和售后服务、税金及其它相关的一切费用等所有成本费用的总和。</w:t>
            </w:r>
          </w:p>
          <w:p>
            <w:pPr>
              <w:spacing w:line="400" w:lineRule="exact"/>
              <w:rPr>
                <w:rFonts w:ascii="宋体" w:hAnsi="宋体"/>
                <w:color w:val="auto"/>
                <w:szCs w:val="21"/>
                <w:highlight w:val="none"/>
              </w:rPr>
            </w:pPr>
            <w:r>
              <w:rPr>
                <w:rFonts w:hint="eastAsia" w:ascii="宋体" w:hAnsi="宋体"/>
                <w:color w:val="auto"/>
                <w:szCs w:val="21"/>
                <w:highlight w:val="none"/>
              </w:rPr>
              <w:t>2、供应商应充分考虑建设期间各类材料的市场价格变化和可能的国家政策性调整，确定风险系数，对本项目的所有内容范围的货物及服务进行总承包报价。</w:t>
            </w:r>
          </w:p>
          <w:p>
            <w:pPr>
              <w:widowControl/>
              <w:spacing w:line="440" w:lineRule="exact"/>
              <w:jc w:val="left"/>
              <w:rPr>
                <w:rFonts w:ascii="宋体" w:hAnsi="宋体"/>
                <w:color w:val="auto"/>
                <w:szCs w:val="21"/>
                <w:highlight w:val="none"/>
              </w:rPr>
            </w:pPr>
            <w:r>
              <w:rPr>
                <w:rFonts w:hint="eastAsia" w:ascii="宋体" w:hAnsi="宋体"/>
                <w:color w:val="auto"/>
                <w:szCs w:val="21"/>
                <w:highlight w:val="none"/>
              </w:rPr>
              <w:t>3、本项目为交钥匙工程，项目需求清单中未列明的但在实际使用中需要用到的辅助材料或设备、仪器、施工、软件开发等均包括在报价中，后续不再考虑增加费用。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02" w:type="pct"/>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bCs/>
                <w:color w:val="auto"/>
                <w:szCs w:val="21"/>
                <w:highlight w:val="none"/>
              </w:rPr>
            </w:pPr>
            <w:r>
              <w:rPr>
                <w:rFonts w:hint="eastAsia" w:ascii="宋体" w:hAnsi="宋体"/>
                <w:color w:val="auto"/>
                <w:szCs w:val="21"/>
                <w:highlight w:val="none"/>
              </w:rPr>
              <w:t>质保期</w:t>
            </w:r>
          </w:p>
        </w:tc>
        <w:tc>
          <w:tcPr>
            <w:tcW w:w="3398" w:type="pct"/>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宋体" w:hAnsi="宋体"/>
                <w:color w:val="auto"/>
                <w:szCs w:val="21"/>
                <w:highlight w:val="none"/>
              </w:rPr>
            </w:pPr>
            <w:r>
              <w:rPr>
                <w:rFonts w:hint="eastAsia" w:ascii="宋体" w:hAnsi="宋体"/>
                <w:color w:val="auto"/>
                <w:szCs w:val="21"/>
                <w:highlight w:val="none"/>
              </w:rPr>
              <w:t>质保期从验收合格之日起计算质保期三年，软件类包含免费升级。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02" w:type="pct"/>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bCs/>
                <w:color w:val="auto"/>
                <w:szCs w:val="21"/>
                <w:highlight w:val="none"/>
              </w:rPr>
            </w:pPr>
            <w:r>
              <w:rPr>
                <w:rFonts w:hint="eastAsia" w:ascii="宋体" w:hAnsi="宋体"/>
                <w:color w:val="auto"/>
                <w:szCs w:val="21"/>
                <w:highlight w:val="none"/>
              </w:rPr>
              <w:t>服务响应要求</w:t>
            </w:r>
          </w:p>
        </w:tc>
        <w:tc>
          <w:tcPr>
            <w:tcW w:w="3398" w:type="pct"/>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auto"/>
                <w:szCs w:val="21"/>
                <w:highlight w:val="none"/>
              </w:rPr>
            </w:pPr>
            <w:r>
              <w:rPr>
                <w:rFonts w:hint="eastAsia" w:ascii="宋体" w:hAnsi="宋体"/>
                <w:color w:val="auto"/>
                <w:szCs w:val="21"/>
                <w:highlight w:val="none"/>
              </w:rPr>
              <w:t>1、成交供应商须提供7×24小时技术支持服务。</w:t>
            </w:r>
          </w:p>
          <w:p>
            <w:pPr>
              <w:widowControl/>
              <w:spacing w:line="440" w:lineRule="exact"/>
              <w:jc w:val="left"/>
              <w:rPr>
                <w:rFonts w:ascii="宋体" w:hAnsi="宋体"/>
                <w:color w:val="auto"/>
                <w:szCs w:val="21"/>
                <w:highlight w:val="none"/>
              </w:rPr>
            </w:pPr>
            <w:r>
              <w:rPr>
                <w:rFonts w:hint="eastAsia" w:ascii="宋体" w:hAnsi="宋体"/>
                <w:color w:val="auto"/>
                <w:szCs w:val="21"/>
                <w:highlight w:val="none"/>
              </w:rPr>
              <w:t>2、接到故障通知，服务人员按采购人要求进行响应处理。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02" w:type="pct"/>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bCs/>
                <w:color w:val="auto"/>
                <w:szCs w:val="21"/>
                <w:highlight w:val="none"/>
              </w:rPr>
            </w:pPr>
            <w:r>
              <w:rPr>
                <w:rFonts w:hint="eastAsia" w:ascii="宋体" w:hAnsi="宋体"/>
                <w:color w:val="auto"/>
                <w:szCs w:val="21"/>
                <w:highlight w:val="none"/>
              </w:rPr>
              <w:t>系统交付要求</w:t>
            </w:r>
          </w:p>
        </w:tc>
        <w:tc>
          <w:tcPr>
            <w:tcW w:w="3398" w:type="pct"/>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auto"/>
                <w:szCs w:val="21"/>
                <w:highlight w:val="none"/>
              </w:rPr>
            </w:pPr>
            <w:r>
              <w:rPr>
                <w:rFonts w:hint="eastAsia" w:ascii="宋体" w:hAnsi="宋体"/>
                <w:color w:val="auto"/>
                <w:szCs w:val="21"/>
                <w:highlight w:val="none"/>
              </w:rPr>
              <w:t>1、系统开发完成后向采购人提交完整源代码（源代码应包含详细的注释说明）、编译及相关说明、第三方组件及使用说明等相关文件，采购人根据这些文件可以独立完成编译并发布。在运维服务期间，任何对系统的修改更新，成交供应商都需要向建设方提交修改更新的源代码。</w:t>
            </w:r>
          </w:p>
          <w:p>
            <w:pPr>
              <w:spacing w:line="400" w:lineRule="exact"/>
              <w:rPr>
                <w:rFonts w:ascii="宋体" w:hAnsi="宋体"/>
                <w:color w:val="auto"/>
                <w:szCs w:val="21"/>
                <w:highlight w:val="none"/>
              </w:rPr>
            </w:pPr>
            <w:r>
              <w:rPr>
                <w:rFonts w:hint="eastAsia" w:ascii="宋体" w:hAnsi="宋体"/>
                <w:color w:val="auto"/>
                <w:szCs w:val="21"/>
                <w:highlight w:val="none"/>
              </w:rPr>
              <w:t>2、成交供应商须提供给采购人的文档有：软件需求规格说明书、数据要求说明书、系统设计说明书（含概要、详细设计及数据库设计）等，经采购人签字确认后实施。文档可以根据实际情况进行增减和调整。</w:t>
            </w:r>
          </w:p>
          <w:p>
            <w:pPr>
              <w:widowControl/>
              <w:spacing w:line="440" w:lineRule="exact"/>
              <w:jc w:val="left"/>
              <w:rPr>
                <w:rFonts w:ascii="宋体" w:hAnsi="宋体"/>
                <w:color w:val="auto"/>
                <w:szCs w:val="21"/>
                <w:highlight w:val="none"/>
              </w:rPr>
            </w:pPr>
            <w:r>
              <w:rPr>
                <w:rFonts w:hint="eastAsia" w:ascii="宋体" w:hAnsi="宋体"/>
                <w:color w:val="auto"/>
                <w:szCs w:val="21"/>
                <w:highlight w:val="none"/>
              </w:rPr>
              <w:t>3、本项目的系统软件、相关接口及其源代码的知识产权归属采购人。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02" w:type="pct"/>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bCs/>
                <w:color w:val="auto"/>
                <w:szCs w:val="21"/>
                <w:highlight w:val="none"/>
              </w:rPr>
            </w:pPr>
            <w:r>
              <w:rPr>
                <w:rFonts w:hint="eastAsia" w:ascii="宋体" w:hAnsi="宋体"/>
                <w:color w:val="auto"/>
                <w:szCs w:val="21"/>
                <w:highlight w:val="none"/>
              </w:rPr>
              <w:t>违约责任</w:t>
            </w:r>
          </w:p>
        </w:tc>
        <w:tc>
          <w:tcPr>
            <w:tcW w:w="3398" w:type="pct"/>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auto"/>
                <w:szCs w:val="21"/>
                <w:highlight w:val="none"/>
              </w:rPr>
            </w:pPr>
            <w:r>
              <w:rPr>
                <w:rFonts w:hint="eastAsia" w:ascii="宋体" w:hAnsi="宋体"/>
                <w:color w:val="auto"/>
                <w:szCs w:val="21"/>
                <w:highlight w:val="none"/>
              </w:rPr>
              <w:t>1、成交供应商必须按响应文件中承诺的人员配置服务本项目。驻场人员出现无故迟到或无故旷工或擅自离岗的视为违约，每次处以合同金额千分之一的违约金，采购人可要求更换人员。罚款累计达到千分之十的，采购人有权解除合同。成交供应商不按响应文件中承诺的人员配置服务本项目的,采购人有权解除合同。</w:t>
            </w:r>
          </w:p>
          <w:p>
            <w:pPr>
              <w:spacing w:line="400" w:lineRule="exact"/>
              <w:rPr>
                <w:rFonts w:ascii="宋体" w:hAnsi="宋体"/>
                <w:b/>
                <w:color w:val="auto"/>
                <w:szCs w:val="21"/>
                <w:highlight w:val="none"/>
              </w:rPr>
            </w:pPr>
            <w:r>
              <w:rPr>
                <w:rFonts w:hint="eastAsia" w:ascii="宋体" w:hAnsi="宋体"/>
                <w:color w:val="auto"/>
                <w:szCs w:val="21"/>
                <w:highlight w:val="none"/>
              </w:rPr>
              <w:t>2、成交供应商违背采购人制定的项目标准开发并实施服务本项目，采购人有权拒绝支付项目费用并要求成交供应商承担项目合同总金额</w:t>
            </w:r>
            <w:r>
              <w:rPr>
                <w:rFonts w:hint="eastAsia" w:ascii="宋体" w:hAnsi="宋体"/>
                <w:color w:val="auto"/>
                <w:szCs w:val="21"/>
                <w:highlight w:val="none"/>
                <w:u w:val="single"/>
              </w:rPr>
              <w:t>10%</w:t>
            </w:r>
            <w:r>
              <w:rPr>
                <w:rFonts w:hint="eastAsia" w:ascii="宋体" w:hAnsi="宋体"/>
                <w:color w:val="auto"/>
                <w:szCs w:val="21"/>
                <w:highlight w:val="none"/>
              </w:rPr>
              <w:t>的违约金，本条款不因合同的变更、解除和终止而失效。</w:t>
            </w:r>
          </w:p>
          <w:p>
            <w:pPr>
              <w:spacing w:line="400" w:lineRule="exact"/>
              <w:rPr>
                <w:rFonts w:ascii="宋体" w:hAnsi="宋体"/>
                <w:color w:val="auto"/>
                <w:szCs w:val="21"/>
                <w:highlight w:val="none"/>
              </w:rPr>
            </w:pPr>
            <w:r>
              <w:rPr>
                <w:rFonts w:hint="eastAsia" w:ascii="宋体" w:hAnsi="宋体"/>
                <w:color w:val="auto"/>
                <w:szCs w:val="21"/>
                <w:highlight w:val="none"/>
              </w:rPr>
              <w:t>3、成交供应商未能按项目开发和实施服务方案和合同规定内容完成项目建设工作，采购人有权要求其按规定采取补救措施，成交供应商不采取补救措施的，采购人有权解除合同并要求成交供应商承担项目合同总金额</w:t>
            </w:r>
            <w:r>
              <w:rPr>
                <w:rFonts w:hint="eastAsia" w:ascii="宋体" w:hAnsi="宋体"/>
                <w:color w:val="auto"/>
                <w:szCs w:val="21"/>
                <w:highlight w:val="none"/>
                <w:u w:val="single"/>
              </w:rPr>
              <w:t>10%</w:t>
            </w:r>
            <w:r>
              <w:rPr>
                <w:rFonts w:hint="eastAsia" w:ascii="宋体" w:hAnsi="宋体"/>
                <w:color w:val="auto"/>
                <w:szCs w:val="21"/>
                <w:highlight w:val="none"/>
              </w:rPr>
              <w:t>的违约金。</w:t>
            </w:r>
          </w:p>
          <w:p>
            <w:pPr>
              <w:spacing w:line="400" w:lineRule="exact"/>
              <w:rPr>
                <w:rFonts w:ascii="宋体" w:hAnsi="宋体"/>
                <w:color w:val="auto"/>
                <w:szCs w:val="21"/>
                <w:highlight w:val="none"/>
              </w:rPr>
            </w:pPr>
            <w:r>
              <w:rPr>
                <w:rFonts w:hint="eastAsia" w:ascii="宋体" w:hAnsi="宋体"/>
                <w:color w:val="auto"/>
                <w:szCs w:val="21"/>
                <w:highlight w:val="none"/>
              </w:rPr>
              <w:t>4、成交供应商未能按照本合同约定提供相应的服务（包括但不限于</w:t>
            </w:r>
            <w:r>
              <w:rPr>
                <w:rFonts w:hint="eastAsia"/>
                <w:color w:val="auto"/>
                <w:highlight w:val="none"/>
              </w:rPr>
              <w:t>驻场和售后人员没有按规定到岗提供服务的</w:t>
            </w:r>
            <w:r>
              <w:rPr>
                <w:rFonts w:hint="eastAsia" w:ascii="宋体" w:hAnsi="宋体"/>
                <w:color w:val="auto"/>
                <w:szCs w:val="21"/>
                <w:highlight w:val="none"/>
              </w:rPr>
              <w:t>），或对采购人软件故障的处理不能满足采购人的工作要求，影响采购人应用和后续维护，成交供应商应承担项目合同总金额</w:t>
            </w:r>
            <w:r>
              <w:rPr>
                <w:rFonts w:hint="eastAsia" w:ascii="宋体" w:hAnsi="宋体"/>
                <w:color w:val="auto"/>
                <w:szCs w:val="21"/>
                <w:highlight w:val="none"/>
                <w:u w:val="single"/>
              </w:rPr>
              <w:t>10%</w:t>
            </w:r>
            <w:r>
              <w:rPr>
                <w:rFonts w:hint="eastAsia" w:ascii="宋体" w:hAnsi="宋体"/>
                <w:color w:val="auto"/>
                <w:szCs w:val="21"/>
                <w:highlight w:val="none"/>
              </w:rPr>
              <w:t>的违约金。</w:t>
            </w:r>
          </w:p>
          <w:p>
            <w:pPr>
              <w:widowControl/>
              <w:spacing w:line="440" w:lineRule="exact"/>
              <w:jc w:val="left"/>
              <w:rPr>
                <w:rFonts w:ascii="宋体" w:hAnsi="宋体"/>
                <w:color w:val="auto"/>
                <w:szCs w:val="21"/>
                <w:highlight w:val="none"/>
              </w:rPr>
            </w:pPr>
            <w:r>
              <w:rPr>
                <w:rFonts w:hint="eastAsia" w:ascii="宋体" w:hAnsi="宋体"/>
                <w:color w:val="auto"/>
                <w:szCs w:val="21"/>
                <w:highlight w:val="none"/>
              </w:rPr>
              <w:t>5、成交供应商违规操作造成采购人系统数据丢失、数据泄密等对采购人工作造成影响的，应按实际损失承担赔偿责任。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tcPr>
          <w:p>
            <w:pPr>
              <w:pStyle w:val="11"/>
              <w:rPr>
                <w:rFonts w:ascii="宋体" w:hAnsi="宋体" w:cs="宋体"/>
                <w:color w:val="auto"/>
                <w:szCs w:val="21"/>
                <w:highlight w:val="none"/>
              </w:rPr>
            </w:pPr>
            <w:r>
              <w:rPr>
                <w:rFonts w:hint="eastAsia" w:ascii="宋体" w:hAnsi="宋体"/>
                <w:b/>
                <w:color w:val="auto"/>
                <w:szCs w:val="21"/>
                <w:highlight w:val="none"/>
              </w:rPr>
              <w:t>二、</w:t>
            </w:r>
            <w:r>
              <w:rPr>
                <w:rFonts w:hint="eastAsia" w:ascii="宋体" w:hAnsi="宋体"/>
                <w:b/>
                <w:bCs/>
                <w:color w:val="auto"/>
                <w:szCs w:val="21"/>
                <w:highlight w:val="none"/>
              </w:rPr>
              <w:t>与实现项目目标相关的其他要求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tcPr>
          <w:p>
            <w:pPr>
              <w:pStyle w:val="11"/>
              <w:rPr>
                <w:rFonts w:ascii="宋体" w:hAnsi="宋体"/>
                <w:b/>
                <w:color w:val="auto"/>
                <w:szCs w:val="21"/>
                <w:highlight w:val="none"/>
              </w:rPr>
            </w:pPr>
            <w:r>
              <w:rPr>
                <w:rFonts w:hint="eastAsia" w:ascii="宋体" w:hAnsi="宋体"/>
                <w:b/>
                <w:color w:val="auto"/>
                <w:szCs w:val="21"/>
                <w:highlight w:val="none"/>
              </w:rPr>
              <w:t>（一）供应商的履约能力要求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1602" w:type="pct"/>
            <w:gridSpan w:val="2"/>
            <w:tcBorders>
              <w:top w:val="single" w:color="auto" w:sz="4" w:space="0"/>
              <w:left w:val="single" w:color="auto" w:sz="4" w:space="0"/>
              <w:bottom w:val="single" w:color="auto" w:sz="4" w:space="0"/>
              <w:right w:val="single" w:color="auto" w:sz="4" w:space="0"/>
            </w:tcBorders>
            <w:vAlign w:val="center"/>
          </w:tcPr>
          <w:p>
            <w:pPr>
              <w:rPr>
                <w:color w:val="auto"/>
                <w:highlight w:val="none"/>
              </w:rPr>
            </w:pPr>
            <w:r>
              <w:rPr>
                <w:rFonts w:hint="eastAsia"/>
                <w:color w:val="auto"/>
                <w:highlight w:val="none"/>
              </w:rPr>
              <w:t>政策性加分条件</w:t>
            </w:r>
          </w:p>
        </w:tc>
        <w:tc>
          <w:tcPr>
            <w:tcW w:w="3398" w:type="pct"/>
            <w:gridSpan w:val="2"/>
            <w:tcBorders>
              <w:top w:val="single" w:color="auto" w:sz="4" w:space="0"/>
              <w:left w:val="single" w:color="auto" w:sz="4" w:space="0"/>
              <w:bottom w:val="single" w:color="auto" w:sz="4" w:space="0"/>
              <w:right w:val="single" w:color="auto" w:sz="4" w:space="0"/>
            </w:tcBorders>
          </w:tcPr>
          <w:p>
            <w:pPr>
              <w:rPr>
                <w:color w:val="auto"/>
                <w:highlight w:val="none"/>
              </w:rPr>
            </w:pPr>
            <w:r>
              <w:rPr>
                <w:rFonts w:hint="eastAsia"/>
                <w:color w:val="auto"/>
                <w:highlight w:val="none"/>
              </w:rPr>
              <w:t>符合节能环保等国家政策要求。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02" w:type="pct"/>
            <w:gridSpan w:val="2"/>
            <w:tcBorders>
              <w:top w:val="single" w:color="auto" w:sz="4" w:space="0"/>
              <w:left w:val="single" w:color="auto" w:sz="4" w:space="0"/>
              <w:bottom w:val="single" w:color="auto" w:sz="4" w:space="0"/>
              <w:right w:val="single" w:color="auto" w:sz="4" w:space="0"/>
            </w:tcBorders>
            <w:vAlign w:val="center"/>
          </w:tcPr>
          <w:p>
            <w:pPr>
              <w:rPr>
                <w:color w:val="auto"/>
                <w:highlight w:val="none"/>
              </w:rPr>
            </w:pPr>
            <w:r>
              <w:rPr>
                <w:rFonts w:hint="eastAsia"/>
                <w:color w:val="auto"/>
                <w:highlight w:val="none"/>
              </w:rPr>
              <w:t>质量管理、企业信用要求</w:t>
            </w:r>
          </w:p>
        </w:tc>
        <w:tc>
          <w:tcPr>
            <w:tcW w:w="3398" w:type="pct"/>
            <w:gridSpan w:val="2"/>
            <w:tcBorders>
              <w:top w:val="single" w:color="auto" w:sz="4" w:space="0"/>
              <w:left w:val="single" w:color="auto" w:sz="4" w:space="0"/>
              <w:bottom w:val="single" w:color="auto" w:sz="4" w:space="0"/>
              <w:right w:val="single" w:color="auto" w:sz="4" w:space="0"/>
            </w:tcBorders>
          </w:tcPr>
          <w:p>
            <w:pPr>
              <w:rPr>
                <w:color w:val="auto"/>
                <w:highlight w:val="none"/>
              </w:rPr>
            </w:pPr>
            <w:r>
              <w:rPr>
                <w:rFonts w:hint="eastAsia"/>
                <w:color w:val="auto"/>
                <w:highlight w:val="none"/>
              </w:rPr>
              <w:t>详见《第四章评标办法及评分标准》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02" w:type="pct"/>
            <w:gridSpan w:val="2"/>
            <w:tcBorders>
              <w:top w:val="single" w:color="auto" w:sz="4" w:space="0"/>
              <w:left w:val="single" w:color="auto" w:sz="4" w:space="0"/>
              <w:bottom w:val="single" w:color="auto" w:sz="4" w:space="0"/>
              <w:right w:val="single" w:color="auto" w:sz="4" w:space="0"/>
            </w:tcBorders>
            <w:vAlign w:val="center"/>
          </w:tcPr>
          <w:p>
            <w:pPr>
              <w:rPr>
                <w:color w:val="auto"/>
                <w:highlight w:val="none"/>
              </w:rPr>
            </w:pPr>
            <w:r>
              <w:rPr>
                <w:rFonts w:hint="eastAsia"/>
                <w:color w:val="auto"/>
                <w:highlight w:val="none"/>
              </w:rPr>
              <w:t>能力或业绩</w:t>
            </w:r>
          </w:p>
          <w:p>
            <w:pPr>
              <w:rPr>
                <w:color w:val="auto"/>
                <w:highlight w:val="none"/>
              </w:rPr>
            </w:pPr>
            <w:r>
              <w:rPr>
                <w:rFonts w:hint="eastAsia"/>
                <w:color w:val="auto"/>
                <w:highlight w:val="none"/>
              </w:rPr>
              <w:t>要求</w:t>
            </w:r>
          </w:p>
        </w:tc>
        <w:tc>
          <w:tcPr>
            <w:tcW w:w="3398" w:type="pct"/>
            <w:gridSpan w:val="2"/>
            <w:tcBorders>
              <w:top w:val="single" w:color="auto" w:sz="4" w:space="0"/>
              <w:left w:val="single" w:color="auto" w:sz="4" w:space="0"/>
              <w:bottom w:val="single" w:color="auto" w:sz="4" w:space="0"/>
              <w:right w:val="single" w:color="auto" w:sz="4" w:space="0"/>
            </w:tcBorders>
          </w:tcPr>
          <w:p>
            <w:pPr>
              <w:rPr>
                <w:color w:val="auto"/>
                <w:highlight w:val="none"/>
              </w:rPr>
            </w:pPr>
            <w:r>
              <w:rPr>
                <w:rFonts w:hint="eastAsia"/>
                <w:color w:val="auto"/>
                <w:highlight w:val="none"/>
              </w:rPr>
              <w:t>详见《第四章评标办法及评分标准》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vAlign w:val="center"/>
          </w:tcPr>
          <w:p>
            <w:pPr>
              <w:rPr>
                <w:color w:val="auto"/>
                <w:highlight w:val="none"/>
              </w:rPr>
            </w:pPr>
            <w:r>
              <w:rPr>
                <w:rFonts w:hint="eastAsia" w:ascii="宋体" w:hAnsi="宋体"/>
                <w:b/>
                <w:color w:val="auto"/>
                <w:szCs w:val="21"/>
                <w:highlight w:val="none"/>
              </w:rPr>
              <w:t>（二）验收标准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02" w:type="pct"/>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auto"/>
                <w:szCs w:val="21"/>
                <w:highlight w:val="none"/>
              </w:rPr>
            </w:pPr>
            <w:r>
              <w:rPr>
                <w:rFonts w:hint="eastAsia" w:ascii="宋体" w:hAnsi="宋体"/>
                <w:color w:val="auto"/>
                <w:szCs w:val="21"/>
                <w:highlight w:val="none"/>
              </w:rPr>
              <w:t>采购标的验收标准</w:t>
            </w:r>
          </w:p>
        </w:tc>
        <w:tc>
          <w:tcPr>
            <w:tcW w:w="3398" w:type="pct"/>
            <w:gridSpan w:val="2"/>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Cs w:val="21"/>
                <w:highlight w:val="none"/>
              </w:rPr>
            </w:pPr>
            <w:r>
              <w:rPr>
                <w:rFonts w:hint="eastAsia" w:ascii="宋体" w:hAnsi="宋体"/>
                <w:color w:val="auto"/>
                <w:szCs w:val="21"/>
                <w:highlight w:val="none"/>
              </w:rPr>
              <w:t>1、验收过程中所产生的一切费用均由成交供应商承担。报价时应考虑相关费用。</w:t>
            </w:r>
          </w:p>
          <w:p>
            <w:pPr>
              <w:spacing w:line="380" w:lineRule="exact"/>
              <w:rPr>
                <w:rFonts w:ascii="宋体" w:hAnsi="宋体"/>
                <w:color w:val="auto"/>
                <w:szCs w:val="21"/>
                <w:highlight w:val="none"/>
              </w:rPr>
            </w:pPr>
            <w:r>
              <w:rPr>
                <w:rFonts w:hint="eastAsia" w:ascii="宋体" w:hAnsi="宋体"/>
                <w:color w:val="auto"/>
                <w:szCs w:val="21"/>
                <w:highlight w:val="none"/>
              </w:rPr>
              <w:t>2、成交供应商在服务验收时由采购单位对照招标文件的功能目标及服务指标全面核对检验，对所有要求出具的证明文件的原件进行核查，如不符合招标文件的服务需求及要求以及提供虚假承诺的，按相关规定做不接受服务处理及违约处理，成交供应商承担所有责任和费用，采购人保留进一步追究责任的权利。</w:t>
            </w:r>
          </w:p>
          <w:p>
            <w:pPr>
              <w:spacing w:line="380" w:lineRule="exact"/>
              <w:rPr>
                <w:rFonts w:ascii="宋体" w:hAnsi="宋体"/>
                <w:color w:val="auto"/>
                <w:szCs w:val="21"/>
                <w:highlight w:val="none"/>
              </w:rPr>
            </w:pPr>
            <w:r>
              <w:rPr>
                <w:rFonts w:hint="eastAsia" w:ascii="宋体" w:hAnsi="宋体"/>
                <w:color w:val="auto"/>
                <w:szCs w:val="21"/>
                <w:highlight w:val="none"/>
              </w:rPr>
              <w:t>3、本项目验收需按采购人验收流程和要求，申请不少于3名专家进行验收。</w:t>
            </w:r>
          </w:p>
          <w:p>
            <w:pPr>
              <w:spacing w:line="380" w:lineRule="exact"/>
              <w:rPr>
                <w:rFonts w:ascii="宋体" w:hAnsi="宋体"/>
                <w:color w:val="auto"/>
                <w:szCs w:val="21"/>
                <w:highlight w:val="none"/>
              </w:rPr>
            </w:pPr>
            <w:r>
              <w:rPr>
                <w:rFonts w:hint="eastAsia" w:ascii="宋体" w:hAnsi="宋体"/>
                <w:color w:val="auto"/>
                <w:szCs w:val="21"/>
                <w:highlight w:val="none"/>
              </w:rPr>
              <w:t>4、合同有其他要求的按其要求。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b/>
                <w:color w:val="auto"/>
                <w:szCs w:val="21"/>
                <w:highlight w:val="none"/>
              </w:rPr>
              <w:t>（三）其他要求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02" w:type="pct"/>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auto"/>
                <w:kern w:val="0"/>
                <w:szCs w:val="21"/>
                <w:highlight w:val="none"/>
              </w:rPr>
            </w:pPr>
            <w:r>
              <w:rPr>
                <w:rFonts w:hint="eastAsia" w:ascii="宋体" w:hAnsi="宋体"/>
                <w:color w:val="auto"/>
                <w:szCs w:val="21"/>
                <w:highlight w:val="none"/>
              </w:rPr>
              <w:t>资料要求</w:t>
            </w:r>
          </w:p>
        </w:tc>
        <w:tc>
          <w:tcPr>
            <w:tcW w:w="3398" w:type="pct"/>
            <w:gridSpan w:val="2"/>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r>
              <w:rPr>
                <w:rFonts w:hint="eastAsia" w:ascii="宋体" w:hAnsi="宋体"/>
                <w:color w:val="auto"/>
                <w:szCs w:val="21"/>
                <w:highlight w:val="none"/>
              </w:rPr>
              <w:t>1、供应商响应文件提供本项目的需求方案和技术方案需求方案至少包括项目软件需求规格说明书；技术方案每一项方案包括详细设计、业务流程图、数据流图、系统构架图等内容。</w:t>
            </w:r>
          </w:p>
          <w:p>
            <w:pPr>
              <w:rPr>
                <w:rFonts w:ascii="宋体" w:hAnsi="宋体"/>
                <w:color w:val="auto"/>
                <w:szCs w:val="21"/>
                <w:highlight w:val="none"/>
              </w:rPr>
            </w:pPr>
            <w:r>
              <w:rPr>
                <w:rFonts w:hint="eastAsia" w:ascii="宋体" w:hAnsi="宋体"/>
                <w:color w:val="auto"/>
                <w:szCs w:val="21"/>
                <w:highlight w:val="none"/>
              </w:rPr>
              <w:t>2、供应商响应文件提供本项目的组织实施方案，方案至少要包含进度计划、人员配置、安装调试测试、验收方案、质量保障方案等内容。</w:t>
            </w:r>
          </w:p>
          <w:p>
            <w:pPr>
              <w:rPr>
                <w:rFonts w:ascii="宋体" w:hAnsi="宋体"/>
                <w:color w:val="auto"/>
                <w:szCs w:val="21"/>
                <w:highlight w:val="none"/>
              </w:rPr>
            </w:pPr>
            <w:r>
              <w:rPr>
                <w:rFonts w:hint="eastAsia" w:ascii="宋体" w:hAnsi="宋体"/>
                <w:color w:val="auto"/>
                <w:szCs w:val="21"/>
                <w:highlight w:val="none"/>
              </w:rPr>
              <w:t>实施方案需保障阶段划分合理、保障措施到位，具备可执行性。</w:t>
            </w:r>
          </w:p>
          <w:p>
            <w:pPr>
              <w:rPr>
                <w:rFonts w:ascii="宋体" w:hAnsi="宋体"/>
                <w:color w:val="auto"/>
                <w:szCs w:val="21"/>
                <w:highlight w:val="none"/>
              </w:rPr>
            </w:pPr>
            <w:r>
              <w:rPr>
                <w:rFonts w:hint="eastAsia" w:ascii="宋体" w:hAnsi="宋体"/>
                <w:color w:val="auto"/>
                <w:szCs w:val="21"/>
                <w:highlight w:val="none"/>
              </w:rPr>
              <w:t>3、供应商响应文件提供售后服务方案，方案中需包括服务原则、服务策略、服务制度规范、服务内容等方面内容。</w:t>
            </w:r>
          </w:p>
          <w:p>
            <w:pPr>
              <w:widowControl/>
              <w:rPr>
                <w:rFonts w:ascii="宋体" w:hAnsi="宋体"/>
                <w:color w:val="auto"/>
                <w:szCs w:val="21"/>
                <w:highlight w:val="none"/>
              </w:rPr>
            </w:pPr>
            <w:r>
              <w:rPr>
                <w:rFonts w:hint="eastAsia" w:ascii="宋体" w:hAnsi="宋体"/>
                <w:color w:val="auto"/>
                <w:szCs w:val="21"/>
                <w:highlight w:val="none"/>
              </w:rPr>
              <w:t>4、供应商响应文件提供培训方案，培训方案中至少包含培训对象分析、培训方式、培训内容、培训计划制定、培训质量保证措施等内容。且培训方案需要具备可操作性，能够保障采购人取得培训效果。</w:t>
            </w:r>
          </w:p>
        </w:tc>
      </w:tr>
    </w:tbl>
    <w:p>
      <w:pPr>
        <w:spacing w:line="360" w:lineRule="auto"/>
        <w:jc w:val="left"/>
        <w:rPr>
          <w:rFonts w:ascii="宋体" w:hAnsi="宋体" w:cs="Arial"/>
          <w:bCs/>
          <w:color w:val="auto"/>
          <w:szCs w:val="21"/>
          <w:highlight w:val="none"/>
          <w:u w:val="single"/>
        </w:rPr>
      </w:pPr>
    </w:p>
    <w:p>
      <w:pPr>
        <w:spacing w:line="360" w:lineRule="auto"/>
        <w:jc w:val="left"/>
        <w:rPr>
          <w:rFonts w:ascii="宋体" w:hAnsi="宋体" w:cs="Arial"/>
          <w:bCs/>
          <w:color w:val="auto"/>
          <w:szCs w:val="21"/>
          <w:highlight w:val="none"/>
          <w:u w:val="single"/>
        </w:rPr>
      </w:pPr>
    </w:p>
    <w:p>
      <w:pPr>
        <w:spacing w:line="360" w:lineRule="auto"/>
        <w:jc w:val="left"/>
        <w:rPr>
          <w:rFonts w:ascii="宋体" w:hAnsi="宋体" w:cs="Arial"/>
          <w:bCs/>
          <w:color w:val="auto"/>
          <w:szCs w:val="21"/>
          <w:highlight w:val="none"/>
          <w:u w:val="single"/>
        </w:rPr>
      </w:pPr>
    </w:p>
    <w:p>
      <w:pPr>
        <w:spacing w:line="360" w:lineRule="auto"/>
        <w:jc w:val="left"/>
        <w:rPr>
          <w:rFonts w:ascii="宋体" w:hAnsi="宋体" w:cs="Arial"/>
          <w:bCs/>
          <w:color w:val="auto"/>
          <w:szCs w:val="21"/>
          <w:highlight w:val="none"/>
          <w:u w:val="single"/>
        </w:rPr>
      </w:pPr>
    </w:p>
    <w:p>
      <w:pPr>
        <w:spacing w:line="360" w:lineRule="auto"/>
        <w:jc w:val="left"/>
        <w:rPr>
          <w:rFonts w:ascii="宋体" w:hAnsi="宋体" w:cs="Arial"/>
          <w:b/>
          <w:bCs/>
          <w:color w:val="auto"/>
          <w:sz w:val="32"/>
          <w:szCs w:val="32"/>
          <w:highlight w:val="none"/>
        </w:rPr>
      </w:pPr>
      <w:r>
        <w:rPr>
          <w:rFonts w:hint="eastAsia" w:ascii="宋体" w:hAnsi="宋体" w:cs="Arial"/>
          <w:b/>
          <w:bCs/>
          <w:color w:val="auto"/>
          <w:sz w:val="32"/>
          <w:szCs w:val="32"/>
          <w:highlight w:val="none"/>
        </w:rPr>
        <w:t>附件：技术要求</w:t>
      </w:r>
    </w:p>
    <w:p>
      <w:pPr>
        <w:pStyle w:val="4"/>
        <w:keepNext w:val="0"/>
        <w:keepLines w:val="0"/>
        <w:widowControl/>
        <w:numPr>
          <w:ilvl w:val="1"/>
          <w:numId w:val="1"/>
        </w:numPr>
        <w:tabs>
          <w:tab w:val="left" w:pos="425"/>
          <w:tab w:val="left" w:pos="600"/>
        </w:tabs>
        <w:spacing w:before="0" w:after="0" w:line="360" w:lineRule="auto"/>
        <w:jc w:val="left"/>
        <w:rPr>
          <w:color w:val="auto"/>
          <w:kern w:val="0"/>
          <w:szCs w:val="24"/>
          <w:highlight w:val="none"/>
        </w:rPr>
      </w:pPr>
      <w:bookmarkStart w:id="75" w:name="_Toc20736"/>
      <w:bookmarkStart w:id="76" w:name="_Toc31642268"/>
      <w:r>
        <w:rPr>
          <w:rFonts w:hint="eastAsia"/>
          <w:color w:val="auto"/>
          <w:highlight w:val="none"/>
        </w:rPr>
        <w:t>危险化学品行业企业端</w:t>
      </w:r>
      <w:bookmarkEnd w:id="75"/>
    </w:p>
    <w:p>
      <w:pPr>
        <w:pStyle w:val="5"/>
        <w:keepNext w:val="0"/>
        <w:keepLines w:val="0"/>
        <w:widowControl/>
        <w:numPr>
          <w:ilvl w:val="2"/>
          <w:numId w:val="1"/>
        </w:numPr>
        <w:tabs>
          <w:tab w:val="left" w:pos="0"/>
          <w:tab w:val="left" w:pos="425"/>
          <w:tab w:val="left" w:pos="709"/>
          <w:tab w:val="left" w:pos="851"/>
        </w:tabs>
        <w:spacing w:before="0" w:after="0" w:line="360" w:lineRule="auto"/>
        <w:ind w:left="709" w:hanging="709"/>
        <w:jc w:val="left"/>
        <w:rPr>
          <w:color w:val="auto"/>
          <w:highlight w:val="none"/>
        </w:rPr>
      </w:pPr>
      <w:bookmarkStart w:id="77" w:name="_Toc20998"/>
      <w:r>
        <w:rPr>
          <w:rFonts w:hint="eastAsia"/>
          <w:color w:val="auto"/>
          <w:highlight w:val="none"/>
        </w:rPr>
        <w:t>综合数据采集子系统</w:t>
      </w:r>
      <w:bookmarkEnd w:id="77"/>
    </w:p>
    <w:p>
      <w:pPr>
        <w:ind w:firstLine="420" w:firstLineChars="200"/>
        <w:rPr>
          <w:color w:val="auto"/>
          <w:highlight w:val="none"/>
        </w:rPr>
      </w:pPr>
      <w:r>
        <w:rPr>
          <w:rFonts w:hint="eastAsia"/>
          <w:color w:val="auto"/>
          <w:highlight w:val="none"/>
        </w:rPr>
        <w:t>数据采集子系统主要功能是实现高风险行业企业的感知数据采集和基本信息管理和安全管理管理、风险要素管理、网关信息管理、监测设备管理、监测指标管理。</w:t>
      </w:r>
    </w:p>
    <w:p>
      <w:pPr>
        <w:pStyle w:val="6"/>
        <w:keepNext w:val="0"/>
        <w:keepLines w:val="0"/>
        <w:widowControl/>
        <w:numPr>
          <w:ilvl w:val="3"/>
          <w:numId w:val="1"/>
        </w:numPr>
        <w:tabs>
          <w:tab w:val="left" w:pos="425"/>
          <w:tab w:val="left" w:pos="709"/>
          <w:tab w:val="left" w:pos="851"/>
          <w:tab w:val="left" w:pos="1080"/>
        </w:tabs>
        <w:spacing w:before="0" w:after="0" w:line="360" w:lineRule="auto"/>
        <w:ind w:left="851" w:right="210" w:rightChars="100" w:hanging="851"/>
        <w:jc w:val="left"/>
        <w:rPr>
          <w:color w:val="auto"/>
          <w:highlight w:val="none"/>
        </w:rPr>
      </w:pPr>
      <w:r>
        <w:rPr>
          <w:rFonts w:hint="eastAsia"/>
          <w:color w:val="auto"/>
          <w:highlight w:val="none"/>
        </w:rPr>
        <w:t>重大危险源</w:t>
      </w:r>
    </w:p>
    <w:p>
      <w:pPr>
        <w:ind w:firstLine="420" w:firstLineChars="200"/>
        <w:rPr>
          <w:color w:val="auto"/>
          <w:highlight w:val="none"/>
        </w:rPr>
      </w:pPr>
      <w:r>
        <w:rPr>
          <w:rFonts w:hint="eastAsia"/>
          <w:color w:val="auto"/>
          <w:highlight w:val="none"/>
        </w:rPr>
        <w:t>新增重大危险源的负责人、主要负责人及技术负责人的姓名及联系方式等信息。针对全部108家企业200多个重大危险源的相关信息进行修正和补充。</w:t>
      </w:r>
    </w:p>
    <w:p>
      <w:pPr>
        <w:pStyle w:val="6"/>
        <w:keepNext w:val="0"/>
        <w:keepLines w:val="0"/>
        <w:widowControl/>
        <w:numPr>
          <w:ilvl w:val="3"/>
          <w:numId w:val="1"/>
        </w:numPr>
        <w:tabs>
          <w:tab w:val="left" w:pos="425"/>
          <w:tab w:val="left" w:pos="709"/>
          <w:tab w:val="left" w:pos="851"/>
          <w:tab w:val="left" w:pos="1080"/>
        </w:tabs>
        <w:spacing w:before="0" w:after="0" w:line="360" w:lineRule="auto"/>
        <w:ind w:left="851" w:right="210" w:rightChars="100" w:hanging="851"/>
        <w:jc w:val="left"/>
        <w:rPr>
          <w:color w:val="auto"/>
          <w:highlight w:val="none"/>
        </w:rPr>
      </w:pPr>
      <w:r>
        <w:rPr>
          <w:rFonts w:hint="eastAsia"/>
          <w:color w:val="auto"/>
          <w:highlight w:val="none"/>
        </w:rPr>
        <w:t>仓库信息</w:t>
      </w:r>
    </w:p>
    <w:p>
      <w:pPr>
        <w:ind w:firstLine="420" w:firstLineChars="200"/>
        <w:rPr>
          <w:color w:val="auto"/>
          <w:highlight w:val="none"/>
        </w:rPr>
      </w:pPr>
      <w:r>
        <w:rPr>
          <w:rFonts w:hint="eastAsia"/>
          <w:color w:val="auto"/>
          <w:highlight w:val="none"/>
        </w:rPr>
        <w:t>新增涉及硝酸铵、氯酸钾、氯酸钠、硝化棉等构成危险化学品重大危险源的仓库的基础信息维护管理功能，包括仓库类型、储量、面积等信息。支持相关数据的增删改查功能。</w:t>
      </w:r>
    </w:p>
    <w:p>
      <w:pPr>
        <w:pStyle w:val="6"/>
        <w:keepNext w:val="0"/>
        <w:keepLines w:val="0"/>
        <w:widowControl/>
        <w:numPr>
          <w:ilvl w:val="3"/>
          <w:numId w:val="1"/>
        </w:numPr>
        <w:tabs>
          <w:tab w:val="left" w:pos="425"/>
          <w:tab w:val="left" w:pos="709"/>
          <w:tab w:val="left" w:pos="851"/>
          <w:tab w:val="left" w:pos="1080"/>
        </w:tabs>
        <w:spacing w:before="0" w:after="0" w:line="360" w:lineRule="auto"/>
        <w:ind w:left="851" w:right="210" w:rightChars="100" w:hanging="851"/>
        <w:jc w:val="left"/>
        <w:rPr>
          <w:color w:val="auto"/>
          <w:highlight w:val="none"/>
        </w:rPr>
      </w:pPr>
      <w:r>
        <w:rPr>
          <w:rFonts w:hint="eastAsia"/>
          <w:color w:val="auto"/>
          <w:highlight w:val="none"/>
        </w:rPr>
        <w:t>装卸区鹤位基础信息</w:t>
      </w:r>
    </w:p>
    <w:p>
      <w:pPr>
        <w:ind w:firstLine="420" w:firstLineChars="200"/>
        <w:rPr>
          <w:color w:val="auto"/>
          <w:highlight w:val="none"/>
        </w:rPr>
      </w:pPr>
      <w:r>
        <w:rPr>
          <w:rFonts w:hint="eastAsia"/>
          <w:color w:val="auto"/>
          <w:highlight w:val="none"/>
        </w:rPr>
        <w:t>新增可燃液体装卸区、液化烃装卸区、液化毒性气体汽车装卸区的基础信息管理维护功能。包括站台类型、投用时间等信息的增删改查功能。</w:t>
      </w:r>
    </w:p>
    <w:p>
      <w:pPr>
        <w:pStyle w:val="6"/>
        <w:keepNext w:val="0"/>
        <w:keepLines w:val="0"/>
        <w:widowControl/>
        <w:numPr>
          <w:ilvl w:val="3"/>
          <w:numId w:val="1"/>
        </w:numPr>
        <w:tabs>
          <w:tab w:val="left" w:pos="425"/>
          <w:tab w:val="left" w:pos="709"/>
          <w:tab w:val="left" w:pos="851"/>
          <w:tab w:val="left" w:pos="1080"/>
        </w:tabs>
        <w:spacing w:before="0" w:after="0" w:line="360" w:lineRule="auto"/>
        <w:ind w:left="851" w:right="210" w:rightChars="100" w:hanging="851"/>
        <w:jc w:val="left"/>
        <w:rPr>
          <w:color w:val="auto"/>
          <w:highlight w:val="none"/>
        </w:rPr>
      </w:pPr>
      <w:r>
        <w:rPr>
          <w:rFonts w:hint="eastAsia"/>
          <w:color w:val="auto"/>
          <w:highlight w:val="none"/>
        </w:rPr>
        <w:t>监测指标</w:t>
      </w:r>
    </w:p>
    <w:p>
      <w:pPr>
        <w:ind w:firstLine="420" w:firstLineChars="200"/>
        <w:rPr>
          <w:color w:val="auto"/>
          <w:highlight w:val="none"/>
        </w:rPr>
      </w:pPr>
      <w:r>
        <w:rPr>
          <w:rFonts w:hint="eastAsia"/>
          <w:color w:val="auto"/>
          <w:highlight w:val="none"/>
        </w:rPr>
        <w:t>企业用户可通过监控指标模块，将本企业监测设备的监测指标信息进行维护管理，并根据实际需要上报至监管单位。包括：指标名称、监测类型、指标类型、上报计量单位、各级报警阈值上下限等信息。新增装卸台和仓库的监测指标类型。</w:t>
      </w:r>
    </w:p>
    <w:p>
      <w:pPr>
        <w:pStyle w:val="6"/>
        <w:keepNext w:val="0"/>
        <w:keepLines w:val="0"/>
        <w:widowControl/>
        <w:numPr>
          <w:ilvl w:val="3"/>
          <w:numId w:val="1"/>
        </w:numPr>
        <w:tabs>
          <w:tab w:val="left" w:pos="425"/>
          <w:tab w:val="left" w:pos="709"/>
          <w:tab w:val="left" w:pos="851"/>
          <w:tab w:val="left" w:pos="1080"/>
        </w:tabs>
        <w:spacing w:before="0" w:after="0" w:line="360" w:lineRule="auto"/>
        <w:ind w:left="851" w:right="210" w:rightChars="100" w:hanging="851"/>
        <w:jc w:val="left"/>
        <w:rPr>
          <w:color w:val="auto"/>
          <w:highlight w:val="none"/>
        </w:rPr>
      </w:pPr>
      <w:r>
        <w:rPr>
          <w:rFonts w:hint="eastAsia"/>
          <w:color w:val="auto"/>
          <w:highlight w:val="none"/>
        </w:rPr>
        <w:t>白名单管理</w:t>
      </w:r>
    </w:p>
    <w:p>
      <w:pPr>
        <w:ind w:firstLine="420" w:firstLineChars="200"/>
        <w:rPr>
          <w:color w:val="auto"/>
          <w:highlight w:val="none"/>
        </w:rPr>
      </w:pPr>
      <w:r>
        <w:rPr>
          <w:rFonts w:hint="eastAsia"/>
          <w:color w:val="auto"/>
          <w:highlight w:val="none"/>
        </w:rPr>
        <w:t>当企业因为特殊原因产生无效数据异常记录时，企业用户可通过白名单来规避这些无效数据。企业用户可同时申请指标和视频的白名单，白名单期间产生的指标离线、报警或视频离线、报警都不纳入统计。新增设置单台设备停产后，附属指标为自动为白名单的逻辑功能。</w:t>
      </w:r>
    </w:p>
    <w:p>
      <w:pPr>
        <w:pStyle w:val="5"/>
        <w:keepNext w:val="0"/>
        <w:keepLines w:val="0"/>
        <w:widowControl/>
        <w:numPr>
          <w:ilvl w:val="2"/>
          <w:numId w:val="1"/>
        </w:numPr>
        <w:tabs>
          <w:tab w:val="left" w:pos="0"/>
          <w:tab w:val="left" w:pos="425"/>
          <w:tab w:val="left" w:pos="709"/>
          <w:tab w:val="left" w:pos="851"/>
        </w:tabs>
        <w:spacing w:before="0" w:after="0" w:line="360" w:lineRule="auto"/>
        <w:ind w:left="709" w:hanging="709"/>
        <w:jc w:val="left"/>
        <w:rPr>
          <w:color w:val="auto"/>
          <w:highlight w:val="none"/>
        </w:rPr>
      </w:pPr>
      <w:bookmarkStart w:id="78" w:name="_Toc27045"/>
      <w:r>
        <w:rPr>
          <w:rFonts w:hint="eastAsia"/>
          <w:color w:val="auto"/>
          <w:highlight w:val="none"/>
        </w:rPr>
        <w:t>风险综合监测子系统</w:t>
      </w:r>
      <w:bookmarkEnd w:id="78"/>
    </w:p>
    <w:p>
      <w:pPr>
        <w:pStyle w:val="6"/>
        <w:keepNext w:val="0"/>
        <w:keepLines w:val="0"/>
        <w:widowControl/>
        <w:numPr>
          <w:ilvl w:val="3"/>
          <w:numId w:val="1"/>
        </w:numPr>
        <w:tabs>
          <w:tab w:val="left" w:pos="425"/>
          <w:tab w:val="left" w:pos="709"/>
          <w:tab w:val="left" w:pos="851"/>
          <w:tab w:val="left" w:pos="1080"/>
        </w:tabs>
        <w:spacing w:before="0" w:after="0" w:line="360" w:lineRule="auto"/>
        <w:ind w:left="851" w:right="210" w:rightChars="100" w:hanging="851"/>
        <w:jc w:val="left"/>
        <w:rPr>
          <w:color w:val="auto"/>
          <w:highlight w:val="none"/>
        </w:rPr>
      </w:pPr>
      <w:r>
        <w:rPr>
          <w:rFonts w:hint="eastAsia"/>
          <w:color w:val="auto"/>
          <w:highlight w:val="none"/>
        </w:rPr>
        <w:t>实时数据监测</w:t>
      </w:r>
    </w:p>
    <w:p>
      <w:pPr>
        <w:ind w:firstLine="420" w:firstLineChars="200"/>
        <w:rPr>
          <w:color w:val="auto"/>
          <w:highlight w:val="none"/>
        </w:rPr>
      </w:pPr>
      <w:r>
        <w:rPr>
          <w:rFonts w:hint="eastAsia"/>
          <w:color w:val="auto"/>
          <w:highlight w:val="none"/>
        </w:rPr>
        <w:t>用户可在本模块查看本企业实时物联网指标数据、指标状态，同时支持查看各指标历史监测值趋势。新增仓库和装卸台相关的物联网监测指标。</w:t>
      </w:r>
    </w:p>
    <w:p>
      <w:pPr>
        <w:pStyle w:val="5"/>
        <w:keepNext w:val="0"/>
        <w:keepLines w:val="0"/>
        <w:widowControl/>
        <w:numPr>
          <w:ilvl w:val="2"/>
          <w:numId w:val="1"/>
        </w:numPr>
        <w:tabs>
          <w:tab w:val="left" w:pos="0"/>
          <w:tab w:val="left" w:pos="425"/>
          <w:tab w:val="left" w:pos="709"/>
          <w:tab w:val="left" w:pos="851"/>
        </w:tabs>
        <w:spacing w:before="0" w:after="0" w:line="360" w:lineRule="auto"/>
        <w:ind w:left="709" w:hanging="709"/>
        <w:jc w:val="left"/>
        <w:rPr>
          <w:color w:val="auto"/>
          <w:highlight w:val="none"/>
        </w:rPr>
      </w:pPr>
      <w:bookmarkStart w:id="79" w:name="_Toc32229"/>
      <w:r>
        <w:rPr>
          <w:rFonts w:hint="eastAsia"/>
          <w:color w:val="auto"/>
          <w:highlight w:val="none"/>
        </w:rPr>
        <w:t>风险精准预警子系统</w:t>
      </w:r>
      <w:bookmarkEnd w:id="79"/>
    </w:p>
    <w:p>
      <w:pPr>
        <w:ind w:firstLine="420" w:firstLineChars="200"/>
        <w:rPr>
          <w:color w:val="auto"/>
          <w:highlight w:val="none"/>
        </w:rPr>
      </w:pPr>
      <w:r>
        <w:rPr>
          <w:rFonts w:hint="eastAsia"/>
          <w:color w:val="auto"/>
          <w:highlight w:val="none"/>
        </w:rPr>
        <w:t>精准预警子系统实现危险化学品生产企业感知监测报警数据的分级预警、分级处置、精准预警、闭环跟踪，实现分级预警的精准提醒、跟踪处置闭环。系统根据分级预警策略、预警消息推送策略将形成安全生产风险预警信息，靶向发送至不同用户，并可针对不同的预警级别设定周期提醒策略，督促企业负责人尽快将预警解除。</w:t>
      </w:r>
    </w:p>
    <w:p>
      <w:pPr>
        <w:pStyle w:val="6"/>
        <w:keepNext w:val="0"/>
        <w:keepLines w:val="0"/>
        <w:widowControl/>
        <w:numPr>
          <w:ilvl w:val="3"/>
          <w:numId w:val="1"/>
        </w:numPr>
        <w:tabs>
          <w:tab w:val="left" w:pos="425"/>
          <w:tab w:val="left" w:pos="709"/>
          <w:tab w:val="left" w:pos="851"/>
          <w:tab w:val="left" w:pos="1080"/>
        </w:tabs>
        <w:spacing w:before="0" w:after="0" w:line="360" w:lineRule="auto"/>
        <w:ind w:left="851" w:right="210" w:rightChars="100" w:hanging="851"/>
        <w:jc w:val="left"/>
        <w:rPr>
          <w:color w:val="auto"/>
          <w:highlight w:val="none"/>
        </w:rPr>
      </w:pPr>
      <w:r>
        <w:rPr>
          <w:rFonts w:hint="eastAsia"/>
          <w:color w:val="auto"/>
          <w:highlight w:val="none"/>
        </w:rPr>
        <w:t>预警推送设置</w:t>
      </w:r>
    </w:p>
    <w:p>
      <w:pPr>
        <w:ind w:firstLine="420" w:firstLineChars="200"/>
        <w:rPr>
          <w:color w:val="auto"/>
          <w:highlight w:val="none"/>
        </w:rPr>
      </w:pPr>
      <w:r>
        <w:rPr>
          <w:rFonts w:hint="eastAsia"/>
          <w:color w:val="auto"/>
          <w:highlight w:val="none"/>
        </w:rPr>
        <w:t>企业用户可设置本企业在分别接收到红色预警、橙色预警、黄色预警和蓝色预警时，接收短信的电话号码和备注说明。增加“安全包保责任人”推送接收人设置功能，升级原有预警模型，增加预警模型层级精确到企业下层的重大危险源级别。</w:t>
      </w:r>
    </w:p>
    <w:p>
      <w:pPr>
        <w:pStyle w:val="6"/>
        <w:keepNext w:val="0"/>
        <w:keepLines w:val="0"/>
        <w:widowControl/>
        <w:numPr>
          <w:ilvl w:val="3"/>
          <w:numId w:val="1"/>
        </w:numPr>
        <w:tabs>
          <w:tab w:val="left" w:pos="425"/>
          <w:tab w:val="left" w:pos="709"/>
          <w:tab w:val="left" w:pos="851"/>
          <w:tab w:val="left" w:pos="1080"/>
        </w:tabs>
        <w:spacing w:before="0" w:after="0" w:line="360" w:lineRule="auto"/>
        <w:ind w:left="851" w:right="210" w:rightChars="100" w:hanging="851"/>
        <w:jc w:val="left"/>
        <w:rPr>
          <w:color w:val="auto"/>
          <w:highlight w:val="none"/>
        </w:rPr>
      </w:pPr>
      <w:r>
        <w:rPr>
          <w:rFonts w:hint="eastAsia"/>
          <w:color w:val="auto"/>
          <w:highlight w:val="none"/>
        </w:rPr>
        <w:t>预警处置</w:t>
      </w:r>
    </w:p>
    <w:p>
      <w:pPr>
        <w:ind w:firstLine="420" w:firstLineChars="200"/>
        <w:rPr>
          <w:color w:val="auto"/>
          <w:highlight w:val="none"/>
        </w:rPr>
      </w:pPr>
      <w:r>
        <w:rPr>
          <w:rFonts w:hint="eastAsia"/>
          <w:color w:val="auto"/>
          <w:highlight w:val="none"/>
        </w:rPr>
        <w:t>企业用户可查看本企业已处理和未处理的预警信息记录及预警单详情，包括该条预警记录的预警等级、预警类型、预警时间、持续时长和处置截止时间等信息。在已处理的预警信息中，可查看预警单的处置时间。</w:t>
      </w:r>
    </w:p>
    <w:p>
      <w:pPr>
        <w:ind w:firstLine="420" w:firstLineChars="200"/>
        <w:rPr>
          <w:color w:val="auto"/>
          <w:highlight w:val="none"/>
        </w:rPr>
      </w:pPr>
      <w:r>
        <w:rPr>
          <w:rFonts w:hint="eastAsia"/>
          <w:color w:val="auto"/>
          <w:highlight w:val="none"/>
        </w:rPr>
        <w:t>新增预警通报相关内容的处置功能。</w:t>
      </w:r>
    </w:p>
    <w:p>
      <w:pPr>
        <w:pStyle w:val="5"/>
        <w:keepNext w:val="0"/>
        <w:keepLines w:val="0"/>
        <w:widowControl/>
        <w:numPr>
          <w:ilvl w:val="2"/>
          <w:numId w:val="1"/>
        </w:numPr>
        <w:tabs>
          <w:tab w:val="left" w:pos="0"/>
          <w:tab w:val="left" w:pos="425"/>
          <w:tab w:val="left" w:pos="709"/>
          <w:tab w:val="left" w:pos="851"/>
        </w:tabs>
        <w:spacing w:before="0" w:after="0" w:line="360" w:lineRule="auto"/>
        <w:ind w:left="709" w:hanging="709"/>
        <w:jc w:val="left"/>
        <w:rPr>
          <w:color w:val="auto"/>
          <w:highlight w:val="none"/>
        </w:rPr>
      </w:pPr>
      <w:bookmarkStart w:id="80" w:name="_Toc28223"/>
      <w:r>
        <w:rPr>
          <w:rFonts w:hint="eastAsia"/>
          <w:color w:val="auto"/>
          <w:highlight w:val="none"/>
        </w:rPr>
        <w:t>安全生产承诺子系统。</w:t>
      </w:r>
      <w:bookmarkEnd w:id="80"/>
    </w:p>
    <w:p>
      <w:pPr>
        <w:pStyle w:val="6"/>
        <w:keepNext w:val="0"/>
        <w:keepLines w:val="0"/>
        <w:widowControl/>
        <w:numPr>
          <w:ilvl w:val="3"/>
          <w:numId w:val="1"/>
        </w:numPr>
        <w:tabs>
          <w:tab w:val="left" w:pos="425"/>
          <w:tab w:val="left" w:pos="709"/>
          <w:tab w:val="left" w:pos="851"/>
          <w:tab w:val="left" w:pos="1080"/>
        </w:tabs>
        <w:spacing w:before="0" w:after="0" w:line="360" w:lineRule="auto"/>
        <w:ind w:left="851" w:right="210" w:rightChars="100" w:hanging="851"/>
        <w:jc w:val="left"/>
        <w:rPr>
          <w:color w:val="auto"/>
          <w:highlight w:val="none"/>
        </w:rPr>
      </w:pPr>
      <w:r>
        <w:rPr>
          <w:rFonts w:hint="eastAsia"/>
          <w:color w:val="auto"/>
          <w:highlight w:val="none"/>
        </w:rPr>
        <w:t>今日安全承诺</w:t>
      </w:r>
    </w:p>
    <w:p>
      <w:pPr>
        <w:ind w:firstLine="420" w:firstLineChars="200"/>
        <w:rPr>
          <w:color w:val="auto"/>
          <w:highlight w:val="none"/>
        </w:rPr>
      </w:pPr>
      <w:r>
        <w:rPr>
          <w:rFonts w:hint="eastAsia"/>
          <w:color w:val="auto"/>
          <w:highlight w:val="none"/>
        </w:rPr>
        <w:t>新增包保责任制及特殊作业详情查看。包括200多个重大危险源的包保责任情况及8大特殊作业详情。</w:t>
      </w:r>
    </w:p>
    <w:p>
      <w:pPr>
        <w:pStyle w:val="6"/>
        <w:keepNext w:val="0"/>
        <w:keepLines w:val="0"/>
        <w:widowControl/>
        <w:numPr>
          <w:ilvl w:val="3"/>
          <w:numId w:val="1"/>
        </w:numPr>
        <w:tabs>
          <w:tab w:val="left" w:pos="425"/>
          <w:tab w:val="left" w:pos="709"/>
          <w:tab w:val="left" w:pos="851"/>
          <w:tab w:val="left" w:pos="1080"/>
        </w:tabs>
        <w:spacing w:before="0" w:after="0" w:line="360" w:lineRule="auto"/>
        <w:ind w:left="851" w:right="210" w:rightChars="100" w:hanging="851"/>
        <w:jc w:val="left"/>
        <w:rPr>
          <w:color w:val="auto"/>
          <w:highlight w:val="none"/>
        </w:rPr>
      </w:pPr>
      <w:r>
        <w:rPr>
          <w:rFonts w:hint="eastAsia"/>
          <w:color w:val="auto"/>
          <w:highlight w:val="none"/>
        </w:rPr>
        <w:t>历史安全承诺</w:t>
      </w:r>
    </w:p>
    <w:p>
      <w:pPr>
        <w:ind w:firstLine="420" w:firstLineChars="200"/>
        <w:rPr>
          <w:color w:val="auto"/>
          <w:highlight w:val="none"/>
        </w:rPr>
      </w:pPr>
      <w:r>
        <w:rPr>
          <w:rFonts w:hint="eastAsia"/>
          <w:color w:val="auto"/>
          <w:highlight w:val="none"/>
        </w:rPr>
        <w:t>历史安全承诺模块以月历形式展现本企业当月每日安全承诺的完成情况，支持切换前一月、后一月，支持查看每日承诺内容，新增包保责任制及特殊作业详情查看。</w:t>
      </w:r>
    </w:p>
    <w:p>
      <w:pPr>
        <w:pStyle w:val="5"/>
        <w:keepNext w:val="0"/>
        <w:keepLines w:val="0"/>
        <w:widowControl/>
        <w:numPr>
          <w:ilvl w:val="2"/>
          <w:numId w:val="1"/>
        </w:numPr>
        <w:tabs>
          <w:tab w:val="left" w:pos="0"/>
          <w:tab w:val="left" w:pos="425"/>
          <w:tab w:val="left" w:pos="709"/>
          <w:tab w:val="left" w:pos="851"/>
        </w:tabs>
        <w:spacing w:before="0" w:after="0" w:line="360" w:lineRule="auto"/>
        <w:ind w:left="709" w:hanging="709"/>
        <w:jc w:val="left"/>
        <w:rPr>
          <w:color w:val="auto"/>
          <w:highlight w:val="none"/>
        </w:rPr>
      </w:pPr>
      <w:bookmarkStart w:id="81" w:name="_Toc6804"/>
      <w:r>
        <w:rPr>
          <w:rFonts w:hint="eastAsia"/>
          <w:color w:val="auto"/>
          <w:highlight w:val="none"/>
        </w:rPr>
        <w:t>通报反馈系统</w:t>
      </w:r>
      <w:bookmarkEnd w:id="81"/>
    </w:p>
    <w:p>
      <w:pPr>
        <w:pStyle w:val="70"/>
        <w:ind w:firstLine="560"/>
        <w:rPr>
          <w:rFonts w:ascii="仿宋" w:hAnsi="仿宋" w:eastAsia="仿宋"/>
          <w:color w:val="auto"/>
          <w:highlight w:val="none"/>
        </w:rPr>
      </w:pPr>
      <w:r>
        <w:rPr>
          <w:rFonts w:hint="eastAsia" w:ascii="仿宋" w:hAnsi="仿宋" w:eastAsia="仿宋"/>
          <w:color w:val="auto"/>
          <w:highlight w:val="none"/>
        </w:rPr>
        <w:t>针对上级监管部门下发的通报内容进行反馈上报。</w:t>
      </w:r>
    </w:p>
    <w:p>
      <w:pPr>
        <w:pStyle w:val="6"/>
        <w:keepNext w:val="0"/>
        <w:keepLines w:val="0"/>
        <w:widowControl/>
        <w:numPr>
          <w:ilvl w:val="3"/>
          <w:numId w:val="1"/>
        </w:numPr>
        <w:tabs>
          <w:tab w:val="left" w:pos="425"/>
          <w:tab w:val="left" w:pos="709"/>
          <w:tab w:val="left" w:pos="851"/>
          <w:tab w:val="left" w:pos="1080"/>
        </w:tabs>
        <w:spacing w:before="0" w:after="0" w:line="360" w:lineRule="auto"/>
        <w:ind w:left="851" w:right="210" w:rightChars="100" w:hanging="851"/>
        <w:jc w:val="left"/>
        <w:rPr>
          <w:rFonts w:ascii="宋体" w:hAnsi="Arial" w:eastAsia="仿宋_GB2312"/>
          <w:color w:val="auto"/>
          <w:highlight w:val="none"/>
        </w:rPr>
      </w:pPr>
      <w:r>
        <w:rPr>
          <w:rFonts w:hint="eastAsia"/>
          <w:color w:val="auto"/>
          <w:highlight w:val="none"/>
        </w:rPr>
        <w:t>每日通报反馈</w:t>
      </w:r>
    </w:p>
    <w:p>
      <w:pPr>
        <w:ind w:firstLine="420"/>
        <w:rPr>
          <w:rFonts w:ascii="仿宋_GB2312" w:hAnsi="仿宋"/>
          <w:color w:val="auto"/>
          <w:highlight w:val="none"/>
        </w:rPr>
      </w:pPr>
      <w:r>
        <w:rPr>
          <w:rFonts w:hint="eastAsia" w:ascii="仿宋_GB2312" w:hAnsi="仿宋"/>
          <w:color w:val="auto"/>
          <w:highlight w:val="none"/>
        </w:rPr>
        <w:t>接收上级应急管理部门下发的每日通报,针对重点情况线上下发改进建议。支持历史通报记录的查询和下载。</w:t>
      </w:r>
    </w:p>
    <w:p>
      <w:pPr>
        <w:pStyle w:val="6"/>
        <w:keepNext w:val="0"/>
        <w:keepLines w:val="0"/>
        <w:widowControl/>
        <w:numPr>
          <w:ilvl w:val="3"/>
          <w:numId w:val="1"/>
        </w:numPr>
        <w:tabs>
          <w:tab w:val="left" w:pos="425"/>
          <w:tab w:val="left" w:pos="709"/>
          <w:tab w:val="left" w:pos="851"/>
          <w:tab w:val="left" w:pos="1080"/>
        </w:tabs>
        <w:spacing w:before="0" w:after="0" w:line="360" w:lineRule="auto"/>
        <w:ind w:left="851" w:right="210" w:rightChars="100" w:hanging="851"/>
        <w:jc w:val="left"/>
        <w:rPr>
          <w:rFonts w:ascii="宋体" w:hAnsi="Arial"/>
          <w:color w:val="auto"/>
          <w:highlight w:val="none"/>
        </w:rPr>
      </w:pPr>
      <w:r>
        <w:rPr>
          <w:rFonts w:hint="eastAsia"/>
          <w:color w:val="auto"/>
          <w:highlight w:val="none"/>
        </w:rPr>
        <w:t>县级部门每周（月、季、年）通报</w:t>
      </w:r>
    </w:p>
    <w:p>
      <w:pPr>
        <w:ind w:firstLine="420"/>
        <w:rPr>
          <w:rFonts w:ascii="仿宋_GB2312" w:hAnsi="仿宋"/>
          <w:color w:val="auto"/>
          <w:highlight w:val="none"/>
        </w:rPr>
      </w:pPr>
      <w:r>
        <w:rPr>
          <w:rFonts w:hint="eastAsia" w:ascii="仿宋_GB2312" w:hAnsi="仿宋"/>
          <w:color w:val="auto"/>
          <w:highlight w:val="none"/>
        </w:rPr>
        <w:t>接收上级应急管理部门下发的每周（月、季、年）通报,针对重点情况线上下发改进建议。支持历史通报记录的查询和下载。</w:t>
      </w:r>
    </w:p>
    <w:p>
      <w:pPr>
        <w:pStyle w:val="4"/>
        <w:keepNext w:val="0"/>
        <w:keepLines w:val="0"/>
        <w:widowControl/>
        <w:numPr>
          <w:ilvl w:val="1"/>
          <w:numId w:val="1"/>
        </w:numPr>
        <w:tabs>
          <w:tab w:val="left" w:pos="425"/>
          <w:tab w:val="left" w:pos="600"/>
        </w:tabs>
        <w:spacing w:before="0" w:after="0" w:line="360" w:lineRule="auto"/>
        <w:jc w:val="left"/>
        <w:rPr>
          <w:rFonts w:ascii="宋体" w:hAnsi="宋体"/>
          <w:color w:val="auto"/>
          <w:highlight w:val="none"/>
        </w:rPr>
      </w:pPr>
      <w:bookmarkStart w:id="82" w:name="_Toc20313"/>
      <w:r>
        <w:rPr>
          <w:rFonts w:hint="eastAsia"/>
          <w:color w:val="auto"/>
          <w:highlight w:val="none"/>
        </w:rPr>
        <w:t>危险化学品行业政府端</w:t>
      </w:r>
      <w:bookmarkEnd w:id="82"/>
    </w:p>
    <w:p>
      <w:pPr>
        <w:pStyle w:val="5"/>
        <w:keepNext w:val="0"/>
        <w:keepLines w:val="0"/>
        <w:widowControl/>
        <w:numPr>
          <w:ilvl w:val="2"/>
          <w:numId w:val="1"/>
        </w:numPr>
        <w:tabs>
          <w:tab w:val="left" w:pos="0"/>
          <w:tab w:val="left" w:pos="425"/>
          <w:tab w:val="left" w:pos="709"/>
          <w:tab w:val="left" w:pos="851"/>
        </w:tabs>
        <w:spacing w:before="0" w:after="0" w:line="360" w:lineRule="auto"/>
        <w:ind w:left="709" w:hanging="709"/>
        <w:jc w:val="left"/>
        <w:rPr>
          <w:color w:val="auto"/>
          <w:highlight w:val="none"/>
        </w:rPr>
      </w:pPr>
      <w:bookmarkStart w:id="83" w:name="_Toc11755"/>
      <w:r>
        <w:rPr>
          <w:rFonts w:hint="eastAsia"/>
          <w:color w:val="auto"/>
          <w:highlight w:val="none"/>
        </w:rPr>
        <w:t>工作台</w:t>
      </w:r>
      <w:bookmarkEnd w:id="83"/>
    </w:p>
    <w:p>
      <w:pPr>
        <w:ind w:firstLine="420"/>
        <w:rPr>
          <w:rFonts w:ascii="仿宋_GB2312" w:hAnsi="仿宋"/>
          <w:color w:val="auto"/>
          <w:highlight w:val="none"/>
        </w:rPr>
      </w:pPr>
      <w:r>
        <w:rPr>
          <w:rFonts w:hint="eastAsia" w:ascii="仿宋_GB2312" w:hAnsi="仿宋"/>
          <w:color w:val="auto"/>
          <w:highlight w:val="none"/>
        </w:rPr>
        <w:t>优化工作台模块，按照2021年任务书要求，增加“巡查、抽查、反馈处置”相关的待办任务提醒和查看功能，系统根据登录用户所关联的监管单位等级当日应完成“巡查、抽查”的区划及企业个数，对完成状态进行动态更新。</w:t>
      </w:r>
    </w:p>
    <w:bookmarkEnd w:id="76"/>
    <w:p>
      <w:pPr>
        <w:pStyle w:val="5"/>
        <w:keepNext w:val="0"/>
        <w:keepLines w:val="0"/>
        <w:widowControl/>
        <w:numPr>
          <w:ilvl w:val="2"/>
          <w:numId w:val="1"/>
        </w:numPr>
        <w:tabs>
          <w:tab w:val="left" w:pos="0"/>
          <w:tab w:val="left" w:pos="425"/>
          <w:tab w:val="left" w:pos="709"/>
          <w:tab w:val="left" w:pos="851"/>
        </w:tabs>
        <w:spacing w:before="0" w:after="0" w:line="360" w:lineRule="auto"/>
        <w:ind w:left="709" w:hanging="709"/>
        <w:jc w:val="left"/>
        <w:rPr>
          <w:rFonts w:ascii="宋体" w:hAnsi="宋体"/>
          <w:color w:val="auto"/>
          <w:highlight w:val="none"/>
        </w:rPr>
      </w:pPr>
      <w:bookmarkStart w:id="84" w:name="_Toc43819094"/>
      <w:bookmarkStart w:id="85" w:name="_Toc23808"/>
      <w:r>
        <w:rPr>
          <w:rFonts w:hint="eastAsia"/>
          <w:color w:val="auto"/>
          <w:highlight w:val="none"/>
        </w:rPr>
        <w:t>综合数据采集子系统</w:t>
      </w:r>
      <w:bookmarkEnd w:id="84"/>
      <w:bookmarkEnd w:id="85"/>
    </w:p>
    <w:p>
      <w:pPr>
        <w:ind w:firstLine="420"/>
        <w:rPr>
          <w:rFonts w:ascii="仿宋_GB2312" w:hAnsi="仿宋"/>
          <w:color w:val="auto"/>
          <w:highlight w:val="none"/>
        </w:rPr>
      </w:pPr>
      <w:r>
        <w:rPr>
          <w:rFonts w:hint="eastAsia" w:ascii="仿宋_GB2312" w:hAnsi="仿宋"/>
          <w:color w:val="auto"/>
          <w:highlight w:val="none"/>
        </w:rPr>
        <w:t>综合数据采集子系统包括危化品行业的感知数据采集，并实现危险化学品企业基本信息管理功能包括新增、删除、修改、导出、查询等功能，为实现风险感知、风险评估等提供数据支撑。</w:t>
      </w:r>
    </w:p>
    <w:p>
      <w:pPr>
        <w:pStyle w:val="6"/>
        <w:keepNext w:val="0"/>
        <w:keepLines w:val="0"/>
        <w:widowControl/>
        <w:numPr>
          <w:ilvl w:val="3"/>
          <w:numId w:val="1"/>
        </w:numPr>
        <w:tabs>
          <w:tab w:val="left" w:pos="425"/>
          <w:tab w:val="left" w:pos="709"/>
          <w:tab w:val="left" w:pos="851"/>
          <w:tab w:val="left" w:pos="1080"/>
        </w:tabs>
        <w:spacing w:before="0" w:after="0" w:line="360" w:lineRule="auto"/>
        <w:ind w:left="851" w:right="210" w:rightChars="100" w:hanging="851"/>
        <w:jc w:val="left"/>
        <w:rPr>
          <w:rFonts w:ascii="宋体" w:hAnsi="Arial"/>
          <w:color w:val="auto"/>
          <w:highlight w:val="none"/>
        </w:rPr>
      </w:pPr>
      <w:r>
        <w:rPr>
          <w:rFonts w:hint="eastAsia"/>
          <w:color w:val="auto"/>
          <w:highlight w:val="none"/>
        </w:rPr>
        <w:t>重大危险源</w:t>
      </w:r>
    </w:p>
    <w:p>
      <w:pPr>
        <w:ind w:firstLine="420"/>
        <w:rPr>
          <w:rFonts w:ascii="仿宋_GB2312" w:hAnsi="仿宋"/>
          <w:color w:val="auto"/>
          <w:highlight w:val="none"/>
        </w:rPr>
      </w:pPr>
      <w:r>
        <w:rPr>
          <w:rFonts w:hint="eastAsia" w:ascii="仿宋_GB2312" w:hAnsi="仿宋"/>
          <w:color w:val="auto"/>
          <w:highlight w:val="none"/>
        </w:rPr>
        <w:t>新增重大危险源的负责人、主要负责人及技术负责人的姓名及联系方式等信息。</w:t>
      </w:r>
    </w:p>
    <w:p>
      <w:pPr>
        <w:pStyle w:val="6"/>
        <w:keepNext w:val="0"/>
        <w:keepLines w:val="0"/>
        <w:widowControl/>
        <w:numPr>
          <w:ilvl w:val="3"/>
          <w:numId w:val="1"/>
        </w:numPr>
        <w:tabs>
          <w:tab w:val="left" w:pos="425"/>
          <w:tab w:val="left" w:pos="709"/>
          <w:tab w:val="left" w:pos="851"/>
          <w:tab w:val="left" w:pos="1080"/>
        </w:tabs>
        <w:spacing w:before="0" w:after="0" w:line="360" w:lineRule="auto"/>
        <w:ind w:left="851" w:right="210" w:rightChars="100" w:hanging="851"/>
        <w:jc w:val="left"/>
        <w:rPr>
          <w:rFonts w:ascii="宋体" w:hAnsi="Arial"/>
          <w:color w:val="auto"/>
          <w:highlight w:val="none"/>
        </w:rPr>
      </w:pPr>
      <w:r>
        <w:rPr>
          <w:rFonts w:hint="eastAsia"/>
          <w:color w:val="auto"/>
          <w:highlight w:val="none"/>
        </w:rPr>
        <w:t>仓库信息</w:t>
      </w:r>
    </w:p>
    <w:p>
      <w:pPr>
        <w:ind w:firstLine="420"/>
        <w:rPr>
          <w:rFonts w:ascii="仿宋_GB2312" w:hAnsi="仿宋"/>
          <w:color w:val="auto"/>
          <w:highlight w:val="none"/>
        </w:rPr>
      </w:pPr>
      <w:r>
        <w:rPr>
          <w:rFonts w:hint="eastAsia" w:ascii="仿宋_GB2312" w:hAnsi="仿宋"/>
          <w:color w:val="auto"/>
          <w:highlight w:val="none"/>
        </w:rPr>
        <w:t>新增涉及硝酸铵、氯酸钾、氯酸钠、硝化棉等构成危险化学品重大危险源的仓库的基础信息维护管理功能，包括仓库类型、储量、面积等信息。支持相关数据的增删改查功能，同时将仓库信息和企业、重大危险源及包保责任制、预警信息接收进行关联。</w:t>
      </w:r>
    </w:p>
    <w:p>
      <w:pPr>
        <w:pStyle w:val="6"/>
        <w:keepNext w:val="0"/>
        <w:keepLines w:val="0"/>
        <w:widowControl/>
        <w:numPr>
          <w:ilvl w:val="3"/>
          <w:numId w:val="1"/>
        </w:numPr>
        <w:tabs>
          <w:tab w:val="left" w:pos="425"/>
          <w:tab w:val="left" w:pos="709"/>
          <w:tab w:val="left" w:pos="851"/>
          <w:tab w:val="left" w:pos="1080"/>
        </w:tabs>
        <w:spacing w:before="0" w:after="0" w:line="360" w:lineRule="auto"/>
        <w:ind w:left="851" w:right="210" w:rightChars="100" w:hanging="851"/>
        <w:jc w:val="left"/>
        <w:rPr>
          <w:rFonts w:ascii="宋体" w:hAnsi="Arial"/>
          <w:color w:val="auto"/>
          <w:highlight w:val="none"/>
        </w:rPr>
      </w:pPr>
      <w:r>
        <w:rPr>
          <w:rFonts w:hint="eastAsia"/>
          <w:color w:val="auto"/>
          <w:highlight w:val="none"/>
        </w:rPr>
        <w:t>装卸区鹤位基础信息</w:t>
      </w:r>
    </w:p>
    <w:p>
      <w:pPr>
        <w:ind w:firstLine="420"/>
        <w:rPr>
          <w:rFonts w:ascii="仿宋_GB2312" w:hAnsi="仿宋"/>
          <w:color w:val="auto"/>
          <w:highlight w:val="none"/>
        </w:rPr>
      </w:pPr>
      <w:r>
        <w:rPr>
          <w:rFonts w:hint="eastAsia" w:ascii="仿宋_GB2312" w:hAnsi="仿宋"/>
          <w:color w:val="auto"/>
          <w:highlight w:val="none"/>
        </w:rPr>
        <w:t>新增可燃液体装卸区、液化烃装卸区、液化毒性气体汽车装卸区的基础信息管理维护功能。包括站台类型、投用时间等信息的增删改查功能，同时将装卸台信息和企业、重大危险源及包保责任制、预警信息接收进行关联。</w:t>
      </w:r>
    </w:p>
    <w:p>
      <w:pPr>
        <w:pStyle w:val="6"/>
        <w:keepNext w:val="0"/>
        <w:keepLines w:val="0"/>
        <w:widowControl/>
        <w:numPr>
          <w:ilvl w:val="3"/>
          <w:numId w:val="1"/>
        </w:numPr>
        <w:tabs>
          <w:tab w:val="left" w:pos="425"/>
          <w:tab w:val="left" w:pos="709"/>
          <w:tab w:val="left" w:pos="851"/>
          <w:tab w:val="left" w:pos="1080"/>
        </w:tabs>
        <w:spacing w:before="0" w:after="0" w:line="360" w:lineRule="auto"/>
        <w:ind w:left="851" w:right="210" w:rightChars="100" w:hanging="851"/>
        <w:jc w:val="left"/>
        <w:rPr>
          <w:rFonts w:ascii="宋体" w:hAnsi="Arial"/>
          <w:color w:val="auto"/>
          <w:highlight w:val="none"/>
        </w:rPr>
      </w:pPr>
      <w:r>
        <w:rPr>
          <w:rFonts w:hint="eastAsia"/>
          <w:color w:val="auto"/>
          <w:highlight w:val="none"/>
        </w:rPr>
        <w:t>监控指标</w:t>
      </w:r>
    </w:p>
    <w:p>
      <w:pPr>
        <w:ind w:firstLine="420"/>
        <w:rPr>
          <w:rFonts w:ascii="仿宋_GB2312" w:hAnsi="仿宋"/>
          <w:color w:val="auto"/>
          <w:highlight w:val="none"/>
        </w:rPr>
      </w:pPr>
      <w:r>
        <w:rPr>
          <w:rFonts w:hint="eastAsia" w:ascii="仿宋_GB2312" w:hAnsi="仿宋"/>
          <w:color w:val="auto"/>
          <w:highlight w:val="none"/>
        </w:rPr>
        <w:t>化工企业生产过程中，往往会伴随着大量的有毒有害气体、易燃易爆物质，当这些物质积累到一定程度时，会形成危险化学品重大危险源。一旦发生泄漏，极易发生气体爆炸、资源污染等问题。通过精细化监控指标的管理，能够将化工企业安全监管通过指标进行量化，合理控制危险源生产源头。新增仓库及装卸区的指标类型管理维护功能，同时将指标信息和企业、重大危险源及包保责任制、预警规则进行关联。</w:t>
      </w:r>
    </w:p>
    <w:p>
      <w:pPr>
        <w:pStyle w:val="5"/>
        <w:keepNext w:val="0"/>
        <w:keepLines w:val="0"/>
        <w:widowControl/>
        <w:numPr>
          <w:ilvl w:val="2"/>
          <w:numId w:val="1"/>
        </w:numPr>
        <w:tabs>
          <w:tab w:val="left" w:pos="0"/>
          <w:tab w:val="left" w:pos="425"/>
          <w:tab w:val="left" w:pos="709"/>
          <w:tab w:val="left" w:pos="851"/>
        </w:tabs>
        <w:spacing w:before="0" w:after="0" w:line="360" w:lineRule="auto"/>
        <w:ind w:left="709" w:hanging="709"/>
        <w:jc w:val="left"/>
        <w:rPr>
          <w:rFonts w:ascii="宋体" w:hAnsi="宋体"/>
          <w:color w:val="auto"/>
          <w:highlight w:val="none"/>
        </w:rPr>
      </w:pPr>
      <w:bookmarkStart w:id="86" w:name="_Toc27407"/>
      <w:r>
        <w:rPr>
          <w:rFonts w:hint="eastAsia"/>
          <w:color w:val="auto"/>
          <w:highlight w:val="none"/>
        </w:rPr>
        <w:t>风险综合监测子系统</w:t>
      </w:r>
      <w:bookmarkEnd w:id="86"/>
    </w:p>
    <w:p>
      <w:pPr>
        <w:pStyle w:val="6"/>
        <w:keepNext w:val="0"/>
        <w:keepLines w:val="0"/>
        <w:widowControl/>
        <w:numPr>
          <w:ilvl w:val="3"/>
          <w:numId w:val="1"/>
        </w:numPr>
        <w:tabs>
          <w:tab w:val="left" w:pos="425"/>
          <w:tab w:val="left" w:pos="709"/>
          <w:tab w:val="left" w:pos="851"/>
          <w:tab w:val="left" w:pos="1080"/>
        </w:tabs>
        <w:spacing w:before="0" w:after="0" w:line="360" w:lineRule="auto"/>
        <w:ind w:left="851" w:right="210" w:rightChars="100" w:hanging="851"/>
        <w:jc w:val="left"/>
        <w:rPr>
          <w:color w:val="auto"/>
          <w:highlight w:val="none"/>
        </w:rPr>
      </w:pPr>
      <w:r>
        <w:rPr>
          <w:rFonts w:hint="eastAsia"/>
          <w:color w:val="auto"/>
          <w:highlight w:val="none"/>
        </w:rPr>
        <w:t>动态监测</w:t>
      </w:r>
    </w:p>
    <w:p>
      <w:pPr>
        <w:ind w:firstLine="420"/>
        <w:rPr>
          <w:rFonts w:ascii="仿宋_GB2312" w:hAnsi="仿宋"/>
          <w:color w:val="auto"/>
          <w:highlight w:val="none"/>
        </w:rPr>
      </w:pPr>
      <w:r>
        <w:rPr>
          <w:rFonts w:hint="eastAsia" w:ascii="仿宋_GB2312" w:hAnsi="仿宋"/>
          <w:color w:val="auto"/>
          <w:highlight w:val="none"/>
        </w:rPr>
        <w:t>用户可在本模块查看其管辖范围内企业实时物联网指标数据、指标状态和视频监控，同时支持查看各指标历史监测值趋势。新增仓库和装卸台相关的监测指标和视频。</w:t>
      </w:r>
    </w:p>
    <w:p>
      <w:pPr>
        <w:pStyle w:val="6"/>
        <w:keepNext w:val="0"/>
        <w:keepLines w:val="0"/>
        <w:widowControl/>
        <w:numPr>
          <w:ilvl w:val="3"/>
          <w:numId w:val="1"/>
        </w:numPr>
        <w:tabs>
          <w:tab w:val="left" w:pos="425"/>
          <w:tab w:val="left" w:pos="709"/>
          <w:tab w:val="left" w:pos="851"/>
          <w:tab w:val="left" w:pos="1080"/>
        </w:tabs>
        <w:spacing w:before="0" w:after="0" w:line="360" w:lineRule="auto"/>
        <w:ind w:left="851" w:right="210" w:rightChars="100" w:hanging="851"/>
        <w:jc w:val="left"/>
        <w:rPr>
          <w:rFonts w:ascii="宋体" w:hAnsi="Arial"/>
          <w:color w:val="auto"/>
          <w:highlight w:val="none"/>
        </w:rPr>
      </w:pPr>
      <w:r>
        <w:rPr>
          <w:rFonts w:hint="eastAsia"/>
          <w:color w:val="auto"/>
          <w:highlight w:val="none"/>
        </w:rPr>
        <w:t>监测质量分析</w:t>
      </w:r>
    </w:p>
    <w:p>
      <w:pPr>
        <w:ind w:firstLine="420"/>
        <w:rPr>
          <w:rFonts w:ascii="仿宋_GB2312" w:hAnsi="仿宋"/>
          <w:color w:val="auto"/>
          <w:highlight w:val="none"/>
        </w:rPr>
      </w:pPr>
      <w:r>
        <w:rPr>
          <w:rFonts w:hint="eastAsia" w:ascii="仿宋_GB2312" w:hAnsi="仿宋"/>
          <w:color w:val="auto"/>
          <w:highlight w:val="none"/>
        </w:rPr>
        <w:t>指标监测值质量分析，同类型指标基于后台算法模型，对罐区温度、液位、可燃、压力、浓度进行对比分析，分析监测指标数据质量是否满足要求或者存在异常等情况。</w:t>
      </w:r>
    </w:p>
    <w:p>
      <w:pPr>
        <w:pStyle w:val="6"/>
        <w:keepNext w:val="0"/>
        <w:keepLines w:val="0"/>
        <w:widowControl/>
        <w:numPr>
          <w:ilvl w:val="3"/>
          <w:numId w:val="1"/>
        </w:numPr>
        <w:tabs>
          <w:tab w:val="left" w:pos="425"/>
          <w:tab w:val="left" w:pos="709"/>
          <w:tab w:val="left" w:pos="851"/>
          <w:tab w:val="left" w:pos="1080"/>
        </w:tabs>
        <w:spacing w:before="0" w:after="0" w:line="360" w:lineRule="auto"/>
        <w:ind w:left="851" w:right="210" w:rightChars="100" w:hanging="851"/>
        <w:jc w:val="left"/>
        <w:rPr>
          <w:rFonts w:ascii="宋体" w:hAnsi="Arial"/>
          <w:color w:val="auto"/>
          <w:highlight w:val="none"/>
        </w:rPr>
      </w:pPr>
      <w:r>
        <w:rPr>
          <w:rFonts w:hint="eastAsia"/>
          <w:color w:val="auto"/>
          <w:highlight w:val="none"/>
        </w:rPr>
        <w:t>视频监测</w:t>
      </w:r>
    </w:p>
    <w:p>
      <w:pPr>
        <w:ind w:firstLine="420"/>
        <w:rPr>
          <w:rFonts w:ascii="仿宋_GB2312" w:hAnsi="仿宋"/>
          <w:color w:val="auto"/>
          <w:highlight w:val="none"/>
        </w:rPr>
      </w:pPr>
      <w:r>
        <w:rPr>
          <w:rFonts w:hint="eastAsia" w:ascii="仿宋_GB2312" w:hAnsi="仿宋"/>
          <w:color w:val="auto"/>
          <w:highlight w:val="none"/>
        </w:rPr>
        <w:t>新增重大危险源的仓库和涉及重大危险源的危险化学品装卸站台视频监控数据，实现监控视频内容的标签化和结构化；制定视频内容标签、视频报警、视频存储、视频调阅的数据。</w:t>
      </w:r>
    </w:p>
    <w:p>
      <w:pPr>
        <w:pStyle w:val="5"/>
        <w:keepNext w:val="0"/>
        <w:keepLines w:val="0"/>
        <w:widowControl/>
        <w:numPr>
          <w:ilvl w:val="2"/>
          <w:numId w:val="1"/>
        </w:numPr>
        <w:tabs>
          <w:tab w:val="left" w:pos="0"/>
          <w:tab w:val="left" w:pos="425"/>
          <w:tab w:val="left" w:pos="709"/>
          <w:tab w:val="left" w:pos="851"/>
        </w:tabs>
        <w:spacing w:before="0" w:after="0" w:line="360" w:lineRule="auto"/>
        <w:ind w:left="709" w:hanging="709"/>
        <w:jc w:val="left"/>
        <w:rPr>
          <w:rFonts w:ascii="宋体" w:hAnsi="宋体"/>
          <w:color w:val="auto"/>
          <w:highlight w:val="none"/>
        </w:rPr>
      </w:pPr>
      <w:bookmarkStart w:id="87" w:name="_Toc15335"/>
      <w:bookmarkStart w:id="88" w:name="_Toc34059565"/>
      <w:bookmarkStart w:id="89" w:name="OLE_LINK2"/>
      <w:r>
        <w:rPr>
          <w:rFonts w:hint="eastAsia"/>
          <w:color w:val="auto"/>
          <w:highlight w:val="none"/>
        </w:rPr>
        <w:t>风险精准预警子系统</w:t>
      </w:r>
      <w:bookmarkEnd w:id="87"/>
      <w:bookmarkEnd w:id="88"/>
    </w:p>
    <w:p>
      <w:pPr>
        <w:ind w:firstLine="420"/>
        <w:rPr>
          <w:rFonts w:ascii="仿宋_GB2312" w:hAnsi="仿宋"/>
          <w:color w:val="auto"/>
          <w:highlight w:val="none"/>
        </w:rPr>
      </w:pPr>
      <w:r>
        <w:rPr>
          <w:rFonts w:hint="eastAsia" w:ascii="仿宋_GB2312" w:hAnsi="仿宋"/>
          <w:color w:val="auto"/>
          <w:highlight w:val="none"/>
        </w:rPr>
        <w:t>精准预警子系统实现危险化学品生产企业感知监测报警数据的分级预警、分级处置、精准预警、闭环跟踪，实现分级预警的精准提醒、跟踪处置闭环。系统根据分级预警策略、预警消息推送策略将形成安全生产风险预警信息，靶向发送至不同用户，并可针对不同的预警级别设定周期提醒策略，督促企业负责人尽快将预警解除。</w:t>
      </w:r>
    </w:p>
    <w:bookmarkEnd w:id="89"/>
    <w:p>
      <w:pPr>
        <w:pStyle w:val="6"/>
        <w:keepNext w:val="0"/>
        <w:keepLines w:val="0"/>
        <w:widowControl/>
        <w:numPr>
          <w:ilvl w:val="3"/>
          <w:numId w:val="1"/>
        </w:numPr>
        <w:tabs>
          <w:tab w:val="left" w:pos="425"/>
          <w:tab w:val="left" w:pos="709"/>
          <w:tab w:val="left" w:pos="851"/>
          <w:tab w:val="left" w:pos="1080"/>
        </w:tabs>
        <w:spacing w:before="0" w:after="0" w:line="360" w:lineRule="auto"/>
        <w:ind w:left="851" w:right="210" w:rightChars="100" w:hanging="851"/>
        <w:jc w:val="left"/>
        <w:rPr>
          <w:rFonts w:ascii="宋体" w:hAnsi="Arial"/>
          <w:color w:val="auto"/>
          <w:highlight w:val="none"/>
        </w:rPr>
      </w:pPr>
      <w:r>
        <w:rPr>
          <w:rFonts w:hint="eastAsia"/>
          <w:color w:val="auto"/>
          <w:highlight w:val="none"/>
        </w:rPr>
        <w:t>预警级别设置</w:t>
      </w:r>
    </w:p>
    <w:p>
      <w:pPr>
        <w:ind w:firstLine="420"/>
        <w:rPr>
          <w:rFonts w:ascii="仿宋_GB2312" w:hAnsi="仿宋"/>
          <w:color w:val="auto"/>
          <w:highlight w:val="none"/>
        </w:rPr>
      </w:pPr>
      <w:r>
        <w:rPr>
          <w:rFonts w:hint="eastAsia" w:ascii="仿宋_GB2312" w:hAnsi="仿宋"/>
          <w:color w:val="auto"/>
          <w:highlight w:val="none"/>
        </w:rPr>
        <w:t>系统管理员分别对红色预警、橙色预警、黄色预警、蓝色预警的预警推送进行配置，包括预警等级、提醒方式、处置时限、是否重复提醒、预警通知政府和技术支持人员电话等信息。优化“预警处置”提醒逻辑，在最大处置时长内执行预警处置提醒机制；增加“预警通报”设置模型：设定预警处置、通报时长及对应的轮询通报机制，针对预警未处置的企业进行通报提醒。</w:t>
      </w:r>
    </w:p>
    <w:p>
      <w:pPr>
        <w:pStyle w:val="6"/>
        <w:keepNext w:val="0"/>
        <w:keepLines w:val="0"/>
        <w:widowControl/>
        <w:numPr>
          <w:ilvl w:val="3"/>
          <w:numId w:val="1"/>
        </w:numPr>
        <w:tabs>
          <w:tab w:val="left" w:pos="425"/>
          <w:tab w:val="left" w:pos="709"/>
          <w:tab w:val="left" w:pos="851"/>
          <w:tab w:val="left" w:pos="1080"/>
        </w:tabs>
        <w:spacing w:before="0" w:after="0" w:line="360" w:lineRule="auto"/>
        <w:ind w:left="851" w:right="210" w:rightChars="100" w:hanging="851"/>
        <w:jc w:val="left"/>
        <w:rPr>
          <w:rFonts w:ascii="宋体" w:hAnsi="Arial"/>
          <w:color w:val="auto"/>
          <w:highlight w:val="none"/>
        </w:rPr>
      </w:pPr>
      <w:r>
        <w:rPr>
          <w:rFonts w:hint="eastAsia"/>
          <w:color w:val="auto"/>
          <w:highlight w:val="none"/>
        </w:rPr>
        <w:t>警示通报</w:t>
      </w:r>
    </w:p>
    <w:p>
      <w:pPr>
        <w:ind w:firstLine="420"/>
        <w:rPr>
          <w:rFonts w:ascii="仿宋_GB2312" w:hAnsi="仿宋"/>
          <w:color w:val="auto"/>
          <w:highlight w:val="none"/>
        </w:rPr>
      </w:pPr>
      <w:r>
        <w:rPr>
          <w:rFonts w:hint="eastAsia" w:ascii="仿宋_GB2312" w:hAnsi="仿宋"/>
          <w:color w:val="auto"/>
          <w:highlight w:val="none"/>
        </w:rPr>
        <w:t>按照应急部下发的警示通报制度要求，新增警示通报流程。政府用户可查看辖区内所有企业的已处理和未处理的警示通报信息记录及预警单详情，包括该条记录的预警等级、企业简称、行政区划、预警类型、预警时间、持续时长、处置截止时间和最近督办时间等信息。在已处理的警示通报信息中，可查看处置时间。</w:t>
      </w:r>
    </w:p>
    <w:p>
      <w:pPr>
        <w:ind w:firstLine="420"/>
        <w:rPr>
          <w:rFonts w:ascii="仿宋_GB2312" w:hAnsi="仿宋"/>
          <w:color w:val="auto"/>
          <w:highlight w:val="none"/>
        </w:rPr>
      </w:pPr>
      <w:r>
        <w:rPr>
          <w:rFonts w:hint="eastAsia" w:ascii="仿宋_GB2312" w:hAnsi="仿宋"/>
          <w:color w:val="auto"/>
          <w:highlight w:val="none"/>
        </w:rPr>
        <w:t>用户可对未处理的通报信息采取线下现场督查。</w:t>
      </w:r>
    </w:p>
    <w:p>
      <w:pPr>
        <w:pStyle w:val="6"/>
        <w:keepNext w:val="0"/>
        <w:keepLines w:val="0"/>
        <w:widowControl/>
        <w:numPr>
          <w:ilvl w:val="3"/>
          <w:numId w:val="1"/>
        </w:numPr>
        <w:tabs>
          <w:tab w:val="left" w:pos="425"/>
          <w:tab w:val="left" w:pos="709"/>
          <w:tab w:val="left" w:pos="851"/>
          <w:tab w:val="left" w:pos="1080"/>
        </w:tabs>
        <w:spacing w:before="0" w:after="0" w:line="360" w:lineRule="auto"/>
        <w:ind w:left="851" w:right="210" w:rightChars="100" w:hanging="851"/>
        <w:jc w:val="left"/>
        <w:rPr>
          <w:rFonts w:ascii="宋体" w:hAnsi="Arial"/>
          <w:color w:val="auto"/>
          <w:highlight w:val="none"/>
        </w:rPr>
      </w:pPr>
      <w:r>
        <w:rPr>
          <w:rFonts w:hint="eastAsia"/>
          <w:color w:val="auto"/>
          <w:highlight w:val="none"/>
        </w:rPr>
        <w:t>用户接收列表</w:t>
      </w:r>
    </w:p>
    <w:p>
      <w:pPr>
        <w:ind w:firstLine="420"/>
        <w:rPr>
          <w:rFonts w:ascii="仿宋_GB2312" w:hAnsi="仿宋"/>
          <w:color w:val="auto"/>
          <w:highlight w:val="none"/>
        </w:rPr>
      </w:pPr>
      <w:r>
        <w:rPr>
          <w:rFonts w:hint="eastAsia" w:ascii="仿宋_GB2312" w:hAnsi="仿宋"/>
          <w:color w:val="auto"/>
          <w:highlight w:val="none"/>
        </w:rPr>
        <w:t>调整支持以重大危险源为维度，展示企业各危险源人员设置情况，综合展示企业各类预警短信机制人员接收列表，政府用户可分别查看本级及下级监管部门，和监管企业的预警短信接收人员，可按照不同预警等级对应查看具体的人员设置情况。</w:t>
      </w:r>
    </w:p>
    <w:p>
      <w:pPr>
        <w:pStyle w:val="6"/>
        <w:keepNext w:val="0"/>
        <w:keepLines w:val="0"/>
        <w:widowControl/>
        <w:numPr>
          <w:ilvl w:val="3"/>
          <w:numId w:val="1"/>
        </w:numPr>
        <w:tabs>
          <w:tab w:val="left" w:pos="425"/>
          <w:tab w:val="left" w:pos="709"/>
          <w:tab w:val="left" w:pos="851"/>
          <w:tab w:val="left" w:pos="1080"/>
        </w:tabs>
        <w:spacing w:before="0" w:after="0" w:line="360" w:lineRule="auto"/>
        <w:ind w:left="851" w:right="210" w:rightChars="100" w:hanging="851"/>
        <w:jc w:val="left"/>
        <w:rPr>
          <w:rFonts w:ascii="宋体" w:hAnsi="Arial"/>
          <w:color w:val="auto"/>
          <w:highlight w:val="none"/>
        </w:rPr>
      </w:pPr>
      <w:r>
        <w:rPr>
          <w:rFonts w:hint="eastAsia"/>
          <w:color w:val="auto"/>
          <w:highlight w:val="none"/>
        </w:rPr>
        <w:t>预警督办</w:t>
      </w:r>
    </w:p>
    <w:p>
      <w:pPr>
        <w:ind w:firstLine="420"/>
        <w:rPr>
          <w:rFonts w:ascii="仿宋_GB2312" w:hAnsi="仿宋"/>
          <w:color w:val="auto"/>
          <w:highlight w:val="none"/>
        </w:rPr>
      </w:pPr>
      <w:r>
        <w:rPr>
          <w:rFonts w:hint="eastAsia" w:ascii="仿宋_GB2312" w:hAnsi="仿宋"/>
          <w:color w:val="auto"/>
          <w:highlight w:val="none"/>
        </w:rPr>
        <w:t>优化督办相关功能，同时对预警单生命周期监控：以预警单发生-处理为闭环，记录预警信息、企业处理信息、政府督办信息、短信提醒信息等全处理流程的详情信息</w:t>
      </w:r>
    </w:p>
    <w:p>
      <w:pPr>
        <w:pStyle w:val="5"/>
        <w:keepNext w:val="0"/>
        <w:keepLines w:val="0"/>
        <w:widowControl/>
        <w:numPr>
          <w:ilvl w:val="2"/>
          <w:numId w:val="1"/>
        </w:numPr>
        <w:tabs>
          <w:tab w:val="left" w:pos="0"/>
          <w:tab w:val="left" w:pos="425"/>
          <w:tab w:val="left" w:pos="709"/>
          <w:tab w:val="left" w:pos="851"/>
        </w:tabs>
        <w:spacing w:before="0" w:after="0" w:line="360" w:lineRule="auto"/>
        <w:ind w:left="709" w:hanging="709"/>
        <w:jc w:val="left"/>
        <w:rPr>
          <w:rFonts w:ascii="宋体" w:hAnsi="宋体"/>
          <w:color w:val="auto"/>
          <w:highlight w:val="none"/>
        </w:rPr>
      </w:pPr>
      <w:bookmarkStart w:id="90" w:name="_Toc34059569"/>
      <w:bookmarkStart w:id="91" w:name="_Toc12675"/>
      <w:r>
        <w:rPr>
          <w:rFonts w:hint="eastAsia"/>
          <w:color w:val="auto"/>
          <w:highlight w:val="none"/>
        </w:rPr>
        <w:t>安全生产承诺子系统</w:t>
      </w:r>
      <w:bookmarkEnd w:id="90"/>
      <w:bookmarkEnd w:id="91"/>
    </w:p>
    <w:p>
      <w:pPr>
        <w:ind w:firstLine="420"/>
        <w:rPr>
          <w:rFonts w:ascii="仿宋_GB2312" w:hAnsi="仿宋"/>
          <w:color w:val="auto"/>
          <w:highlight w:val="none"/>
        </w:rPr>
      </w:pPr>
      <w:r>
        <w:rPr>
          <w:rFonts w:hint="eastAsia" w:ascii="仿宋_GB2312" w:hAnsi="仿宋"/>
          <w:color w:val="auto"/>
          <w:highlight w:val="none"/>
        </w:rPr>
        <w:t>依据《应急管理部关于全面实施危险化学品企业安全风险研判与承诺公告制度的通知》（应急〔2018〕74号）要求。每日收集企业动态风险信息并录入系统。</w:t>
      </w:r>
    </w:p>
    <w:p>
      <w:pPr>
        <w:ind w:firstLine="420"/>
        <w:rPr>
          <w:rFonts w:ascii="仿宋_GB2312" w:hAnsi="仿宋"/>
          <w:color w:val="auto"/>
          <w:highlight w:val="none"/>
        </w:rPr>
      </w:pPr>
      <w:r>
        <w:rPr>
          <w:rFonts w:hint="eastAsia" w:ascii="仿宋_GB2312" w:hAnsi="仿宋"/>
          <w:color w:val="auto"/>
          <w:highlight w:val="none"/>
        </w:rPr>
        <w:t>安全承诺记录页面以列表形式分别展示企业承诺记录和企业未承诺记录。支持查看每条承诺记录详情，包含承诺内容、承诺日期时间、负责人、承诺风险等级等信息。新增包保责任制落实情况详情、特种作业详情、设备使用运行信息详情。</w:t>
      </w:r>
    </w:p>
    <w:p>
      <w:pPr>
        <w:pStyle w:val="5"/>
        <w:keepNext w:val="0"/>
        <w:keepLines w:val="0"/>
        <w:widowControl/>
        <w:numPr>
          <w:ilvl w:val="2"/>
          <w:numId w:val="1"/>
        </w:numPr>
        <w:tabs>
          <w:tab w:val="left" w:pos="0"/>
          <w:tab w:val="left" w:pos="425"/>
          <w:tab w:val="left" w:pos="709"/>
          <w:tab w:val="left" w:pos="851"/>
        </w:tabs>
        <w:spacing w:before="0" w:after="0" w:line="360" w:lineRule="auto"/>
        <w:ind w:left="709" w:hanging="709"/>
        <w:jc w:val="left"/>
        <w:rPr>
          <w:rFonts w:ascii="宋体" w:hAnsi="宋体"/>
          <w:color w:val="auto"/>
          <w:highlight w:val="none"/>
        </w:rPr>
      </w:pPr>
      <w:bookmarkStart w:id="92" w:name="_Toc19640"/>
      <w:r>
        <w:rPr>
          <w:rFonts w:hint="eastAsia"/>
          <w:color w:val="auto"/>
          <w:highlight w:val="none"/>
        </w:rPr>
        <w:t>综合分析系统</w:t>
      </w:r>
      <w:bookmarkEnd w:id="92"/>
    </w:p>
    <w:p>
      <w:pPr>
        <w:ind w:firstLine="420"/>
        <w:rPr>
          <w:rFonts w:ascii="仿宋_GB2312" w:hAnsi="仿宋"/>
          <w:color w:val="auto"/>
          <w:highlight w:val="none"/>
        </w:rPr>
      </w:pPr>
      <w:r>
        <w:rPr>
          <w:rFonts w:hint="eastAsia" w:ascii="仿宋_GB2312" w:hAnsi="仿宋"/>
          <w:color w:val="auto"/>
          <w:highlight w:val="none"/>
        </w:rPr>
        <w:t>将实时监测、企业基础信息、安全承诺、预警处置等结构化、半结构化、非结构化的动静态数据进行汇聚分析，定时批量或实时采集抽取的方式生成通报分析报告，包含安全承诺、系统在线、警情处置等信息。</w:t>
      </w:r>
    </w:p>
    <w:p>
      <w:pPr>
        <w:pStyle w:val="6"/>
        <w:keepNext w:val="0"/>
        <w:keepLines w:val="0"/>
        <w:widowControl/>
        <w:numPr>
          <w:ilvl w:val="3"/>
          <w:numId w:val="1"/>
        </w:numPr>
        <w:tabs>
          <w:tab w:val="left" w:pos="425"/>
          <w:tab w:val="left" w:pos="709"/>
          <w:tab w:val="left" w:pos="851"/>
          <w:tab w:val="left" w:pos="1080"/>
        </w:tabs>
        <w:spacing w:before="0" w:after="0" w:line="360" w:lineRule="auto"/>
        <w:ind w:left="851" w:right="210" w:rightChars="100" w:hanging="851"/>
        <w:jc w:val="left"/>
        <w:rPr>
          <w:rFonts w:ascii="宋体" w:hAnsi="Arial"/>
          <w:color w:val="auto"/>
          <w:highlight w:val="none"/>
        </w:rPr>
      </w:pPr>
      <w:r>
        <w:rPr>
          <w:rFonts w:hint="eastAsia"/>
          <w:color w:val="auto"/>
          <w:highlight w:val="none"/>
        </w:rPr>
        <w:t>系统稳定性分析</w:t>
      </w:r>
    </w:p>
    <w:p>
      <w:pPr>
        <w:ind w:firstLine="420"/>
        <w:rPr>
          <w:rFonts w:ascii="仿宋_GB2312" w:hAnsi="仿宋"/>
          <w:color w:val="auto"/>
          <w:highlight w:val="none"/>
        </w:rPr>
      </w:pPr>
      <w:r>
        <w:rPr>
          <w:rFonts w:hint="eastAsia" w:ascii="仿宋_GB2312" w:hAnsi="仿宋"/>
          <w:color w:val="auto"/>
          <w:highlight w:val="none"/>
        </w:rPr>
        <w:t>通过智能分析各个企业监测数据、网关、视频监控、数据上报完成情况进行监控，定点统计各个地市及企业数据上报稳定性，并定期生成系统运行日报、周报、月报，报表支持导出。</w:t>
      </w:r>
    </w:p>
    <w:p>
      <w:pPr>
        <w:pStyle w:val="6"/>
        <w:keepNext w:val="0"/>
        <w:keepLines w:val="0"/>
        <w:widowControl/>
        <w:numPr>
          <w:ilvl w:val="3"/>
          <w:numId w:val="1"/>
        </w:numPr>
        <w:tabs>
          <w:tab w:val="left" w:pos="425"/>
          <w:tab w:val="left" w:pos="709"/>
          <w:tab w:val="left" w:pos="851"/>
          <w:tab w:val="left" w:pos="1080"/>
        </w:tabs>
        <w:spacing w:before="0" w:after="0" w:line="360" w:lineRule="auto"/>
        <w:ind w:left="851" w:right="210" w:rightChars="100" w:hanging="851"/>
        <w:jc w:val="left"/>
        <w:rPr>
          <w:rFonts w:ascii="宋体" w:hAnsi="Arial"/>
          <w:color w:val="auto"/>
          <w:highlight w:val="none"/>
        </w:rPr>
      </w:pPr>
      <w:r>
        <w:rPr>
          <w:rFonts w:hint="eastAsia"/>
          <w:color w:val="auto"/>
          <w:highlight w:val="none"/>
        </w:rPr>
        <w:t>数据质量分析</w:t>
      </w:r>
    </w:p>
    <w:p>
      <w:pPr>
        <w:ind w:firstLine="420"/>
        <w:rPr>
          <w:rFonts w:ascii="仿宋_GB2312" w:hAnsi="仿宋"/>
          <w:color w:val="auto"/>
          <w:highlight w:val="none"/>
        </w:rPr>
      </w:pPr>
      <w:r>
        <w:rPr>
          <w:rFonts w:hint="eastAsia" w:ascii="仿宋_GB2312" w:hAnsi="仿宋"/>
          <w:color w:val="auto"/>
          <w:highlight w:val="none"/>
        </w:rPr>
        <w:t>通过智能分析各个企业填报信息的完整性、规范性，并结合指标监测值进行企业数据质量分析，定点统计各个地市及企业数据质量，并定期生成数据质量分析日报、周报、月报及趋势报告，报表支持导出。</w:t>
      </w:r>
    </w:p>
    <w:p>
      <w:pPr>
        <w:pStyle w:val="6"/>
        <w:keepNext w:val="0"/>
        <w:keepLines w:val="0"/>
        <w:widowControl/>
        <w:numPr>
          <w:ilvl w:val="3"/>
          <w:numId w:val="1"/>
        </w:numPr>
        <w:tabs>
          <w:tab w:val="left" w:pos="425"/>
          <w:tab w:val="left" w:pos="709"/>
          <w:tab w:val="left" w:pos="851"/>
          <w:tab w:val="left" w:pos="1080"/>
        </w:tabs>
        <w:spacing w:before="0" w:after="0" w:line="360" w:lineRule="auto"/>
        <w:ind w:left="851" w:right="210" w:rightChars="100" w:hanging="851"/>
        <w:jc w:val="left"/>
        <w:rPr>
          <w:rFonts w:ascii="宋体" w:hAnsi="Arial"/>
          <w:color w:val="auto"/>
          <w:highlight w:val="none"/>
        </w:rPr>
      </w:pPr>
      <w:r>
        <w:rPr>
          <w:rFonts w:hint="eastAsia"/>
          <w:color w:val="auto"/>
          <w:highlight w:val="none"/>
        </w:rPr>
        <w:t>动态监测数据分析</w:t>
      </w:r>
    </w:p>
    <w:p>
      <w:pPr>
        <w:ind w:firstLine="420"/>
        <w:rPr>
          <w:rFonts w:ascii="仿宋_GB2312" w:hAnsi="仿宋"/>
          <w:color w:val="auto"/>
          <w:highlight w:val="none"/>
        </w:rPr>
      </w:pPr>
      <w:r>
        <w:rPr>
          <w:rFonts w:hint="eastAsia" w:ascii="仿宋_GB2312" w:hAnsi="仿宋"/>
          <w:color w:val="auto"/>
          <w:highlight w:val="none"/>
        </w:rPr>
        <w:t>通过智能分析各个企业监测指标的量程、报警限、单位，并结合实时及历史指标监测值进行企业数据质量分析，分析统计各个地市及企业监测数据异常情况，并定期生成质量分析日报、周报、月报及趋势报告，报表支持导出。</w:t>
      </w:r>
    </w:p>
    <w:p>
      <w:pPr>
        <w:pStyle w:val="6"/>
        <w:keepNext w:val="0"/>
        <w:keepLines w:val="0"/>
        <w:widowControl/>
        <w:numPr>
          <w:ilvl w:val="3"/>
          <w:numId w:val="1"/>
        </w:numPr>
        <w:tabs>
          <w:tab w:val="left" w:pos="425"/>
          <w:tab w:val="left" w:pos="709"/>
          <w:tab w:val="left" w:pos="851"/>
          <w:tab w:val="left" w:pos="1080"/>
        </w:tabs>
        <w:spacing w:before="0" w:after="0" w:line="360" w:lineRule="auto"/>
        <w:ind w:left="851" w:right="210" w:rightChars="100" w:hanging="851"/>
        <w:jc w:val="left"/>
        <w:rPr>
          <w:rFonts w:ascii="宋体" w:hAnsi="Arial"/>
          <w:color w:val="auto"/>
          <w:highlight w:val="none"/>
        </w:rPr>
      </w:pPr>
      <w:r>
        <w:rPr>
          <w:rFonts w:hint="eastAsia"/>
          <w:color w:val="auto"/>
          <w:highlight w:val="none"/>
        </w:rPr>
        <w:t>接入情况分析</w:t>
      </w:r>
    </w:p>
    <w:p>
      <w:pPr>
        <w:ind w:firstLine="420"/>
        <w:rPr>
          <w:rFonts w:ascii="仿宋_GB2312" w:hAnsi="仿宋"/>
          <w:color w:val="auto"/>
          <w:highlight w:val="none"/>
        </w:rPr>
      </w:pPr>
      <w:r>
        <w:rPr>
          <w:rFonts w:hint="eastAsia" w:ascii="仿宋_GB2312" w:hAnsi="仿宋"/>
          <w:color w:val="auto"/>
          <w:highlight w:val="none"/>
        </w:rPr>
        <w:t>通过智能分析各个地市企业、重大危险源、重点监管工艺、重点监管工艺的数据，进行全自治区的排名分析，并生成对应的趋势图，查看系统上线以来各个地市企业数据接入的情况。</w:t>
      </w:r>
    </w:p>
    <w:p>
      <w:pPr>
        <w:pStyle w:val="6"/>
        <w:keepNext w:val="0"/>
        <w:keepLines w:val="0"/>
        <w:widowControl/>
        <w:numPr>
          <w:ilvl w:val="3"/>
          <w:numId w:val="1"/>
        </w:numPr>
        <w:tabs>
          <w:tab w:val="left" w:pos="425"/>
          <w:tab w:val="left" w:pos="709"/>
          <w:tab w:val="left" w:pos="851"/>
          <w:tab w:val="left" w:pos="1080"/>
        </w:tabs>
        <w:spacing w:before="0" w:after="0" w:line="360" w:lineRule="auto"/>
        <w:ind w:left="851" w:right="210" w:rightChars="100" w:hanging="851"/>
        <w:jc w:val="left"/>
        <w:rPr>
          <w:rFonts w:ascii="宋体" w:hAnsi="Arial"/>
          <w:color w:val="auto"/>
          <w:highlight w:val="none"/>
        </w:rPr>
      </w:pPr>
      <w:r>
        <w:rPr>
          <w:rFonts w:hint="eastAsia"/>
          <w:color w:val="auto"/>
          <w:highlight w:val="none"/>
        </w:rPr>
        <w:t>市级及以上部门每日通报</w:t>
      </w:r>
    </w:p>
    <w:p>
      <w:pPr>
        <w:ind w:firstLine="420"/>
        <w:rPr>
          <w:rFonts w:ascii="仿宋_GB2312" w:hAnsi="仿宋"/>
          <w:color w:val="auto"/>
          <w:highlight w:val="none"/>
        </w:rPr>
      </w:pPr>
      <w:r>
        <w:rPr>
          <w:rFonts w:hint="eastAsia" w:ascii="仿宋_GB2312" w:hAnsi="仿宋"/>
          <w:color w:val="auto"/>
          <w:highlight w:val="none"/>
        </w:rPr>
        <w:t>定时批量或实时采集抽取的方式生成市级及自治区级每日通报，包括下级应急管理部门辖区内企业安全承诺率、系统在线率、视频在线率、离线企业排名、重大危险源包保责任制落实、装置开停车、较大以上安全风险企业、警情及处置、巡查抽查异常等情况,针对重点情况线上下发改进建议。支持历史通报记录的查询和下载。</w:t>
      </w:r>
    </w:p>
    <w:p>
      <w:pPr>
        <w:pStyle w:val="6"/>
        <w:keepNext w:val="0"/>
        <w:keepLines w:val="0"/>
        <w:widowControl/>
        <w:numPr>
          <w:ilvl w:val="3"/>
          <w:numId w:val="1"/>
        </w:numPr>
        <w:tabs>
          <w:tab w:val="left" w:pos="425"/>
          <w:tab w:val="left" w:pos="709"/>
          <w:tab w:val="left" w:pos="851"/>
          <w:tab w:val="left" w:pos="1080"/>
        </w:tabs>
        <w:spacing w:before="0" w:after="0" w:line="360" w:lineRule="auto"/>
        <w:ind w:left="851" w:right="210" w:rightChars="100" w:hanging="851"/>
        <w:jc w:val="left"/>
        <w:rPr>
          <w:rFonts w:ascii="宋体" w:hAnsi="Arial"/>
          <w:color w:val="auto"/>
          <w:highlight w:val="none"/>
        </w:rPr>
      </w:pPr>
      <w:r>
        <w:rPr>
          <w:rFonts w:hint="eastAsia"/>
          <w:color w:val="auto"/>
          <w:highlight w:val="none"/>
        </w:rPr>
        <w:t>市级及以上部门每周（月、季、年）通报</w:t>
      </w:r>
    </w:p>
    <w:p>
      <w:pPr>
        <w:ind w:firstLine="420"/>
        <w:rPr>
          <w:rFonts w:ascii="仿宋_GB2312" w:hAnsi="仿宋"/>
          <w:color w:val="auto"/>
          <w:highlight w:val="none"/>
        </w:rPr>
      </w:pPr>
      <w:r>
        <w:rPr>
          <w:rFonts w:hint="eastAsia" w:ascii="仿宋_GB2312" w:hAnsi="仿宋"/>
          <w:color w:val="auto"/>
          <w:highlight w:val="none"/>
        </w:rPr>
        <w:t>定时批量或实时采集抽取的方式生成市级及自治区级每日通报，包括下级应急管理部门辖区下级应急管理部门安全承诺率周 (月、季、年 )均值及排名、重大危险源企业在线数量与在线率周 (月、季、年 )均值及排名、视频在线企业数量与在线率周 (月、季、年 )均值及排名、较大及以上安全风险企业周 (月、季、年 )变化、较大及以上安全风险周 (月、季、年 )主要分布、周 (月、季、年 )主要警情与处置统计、巡查抽查异常情况统计、重点关注企业清单与问题及以上相关内容的分析等 ,针对重点情况线上下发改进建议。支持历史通报记录的查询和下载。</w:t>
      </w:r>
    </w:p>
    <w:p>
      <w:pPr>
        <w:pStyle w:val="6"/>
        <w:keepNext w:val="0"/>
        <w:keepLines w:val="0"/>
        <w:widowControl/>
        <w:numPr>
          <w:ilvl w:val="3"/>
          <w:numId w:val="1"/>
        </w:numPr>
        <w:tabs>
          <w:tab w:val="left" w:pos="425"/>
          <w:tab w:val="left" w:pos="709"/>
          <w:tab w:val="left" w:pos="851"/>
          <w:tab w:val="left" w:pos="1080"/>
        </w:tabs>
        <w:spacing w:before="0" w:after="0" w:line="360" w:lineRule="auto"/>
        <w:ind w:left="851" w:right="210" w:rightChars="100" w:hanging="851"/>
        <w:jc w:val="left"/>
        <w:rPr>
          <w:rFonts w:ascii="宋体" w:hAnsi="Arial"/>
          <w:color w:val="auto"/>
          <w:highlight w:val="none"/>
        </w:rPr>
      </w:pPr>
      <w:r>
        <w:rPr>
          <w:rFonts w:hint="eastAsia"/>
          <w:color w:val="auto"/>
          <w:highlight w:val="none"/>
        </w:rPr>
        <w:t>县级部门每日通报</w:t>
      </w:r>
    </w:p>
    <w:p>
      <w:pPr>
        <w:ind w:firstLine="420"/>
        <w:rPr>
          <w:rFonts w:ascii="仿宋_GB2312" w:hAnsi="仿宋"/>
          <w:color w:val="auto"/>
          <w:highlight w:val="none"/>
        </w:rPr>
      </w:pPr>
      <w:r>
        <w:rPr>
          <w:rFonts w:hint="eastAsia" w:ascii="仿宋_GB2312" w:hAnsi="仿宋"/>
          <w:color w:val="auto"/>
          <w:highlight w:val="none"/>
        </w:rPr>
        <w:t>定时批量或实时采集抽取的方式生成县级应急管理部门及化工园区内部通报，包括辖区内企业安全承诺率、系统在线率、视频在线率、离线企业排名、重大危险源包保责任制落实、较大以上安全风险预警处置、企业报警消警情及处置、抽查异常等情况,针对重点情况线上下发改进建议。支持历史通报记录的查询和下载。</w:t>
      </w:r>
    </w:p>
    <w:p>
      <w:pPr>
        <w:pStyle w:val="6"/>
        <w:keepNext w:val="0"/>
        <w:keepLines w:val="0"/>
        <w:widowControl/>
        <w:numPr>
          <w:ilvl w:val="3"/>
          <w:numId w:val="1"/>
        </w:numPr>
        <w:tabs>
          <w:tab w:val="left" w:pos="425"/>
          <w:tab w:val="left" w:pos="709"/>
          <w:tab w:val="left" w:pos="851"/>
          <w:tab w:val="left" w:pos="1080"/>
        </w:tabs>
        <w:spacing w:before="0" w:after="0" w:line="360" w:lineRule="auto"/>
        <w:ind w:left="851" w:right="210" w:rightChars="100" w:hanging="851"/>
        <w:jc w:val="left"/>
        <w:rPr>
          <w:rFonts w:ascii="宋体" w:hAnsi="Arial"/>
          <w:color w:val="auto"/>
          <w:highlight w:val="none"/>
        </w:rPr>
      </w:pPr>
      <w:r>
        <w:rPr>
          <w:rFonts w:hint="eastAsia"/>
          <w:color w:val="auto"/>
          <w:highlight w:val="none"/>
        </w:rPr>
        <w:t>县级部门每周（月、季、年）通报</w:t>
      </w:r>
    </w:p>
    <w:p>
      <w:pPr>
        <w:ind w:firstLine="420"/>
        <w:rPr>
          <w:rFonts w:ascii="仿宋_GB2312" w:hAnsi="仿宋"/>
          <w:color w:val="auto"/>
          <w:highlight w:val="none"/>
        </w:rPr>
      </w:pPr>
      <w:r>
        <w:rPr>
          <w:rFonts w:hint="eastAsia" w:ascii="仿宋_GB2312" w:hAnsi="仿宋"/>
          <w:color w:val="auto"/>
          <w:highlight w:val="none"/>
        </w:rPr>
        <w:t>定时批量或实时采集抽取的方式生成县级应急管理部门及化工园区内部通报，包括辖区内企业按时安全承诺次数与排名、较大以上安全风险次数及排名、在线时长与排名、视频在线时长与排名、较大及以上安全风险企业清单、巡查抽查异常情况统计分析、报警预警消警情况分析及数量排名等。针对重点情况线上下发改进建议。支持历史通报记录的查询和下载。</w:t>
      </w:r>
    </w:p>
    <w:p>
      <w:pPr>
        <w:pStyle w:val="5"/>
        <w:keepNext w:val="0"/>
        <w:keepLines w:val="0"/>
        <w:widowControl/>
        <w:numPr>
          <w:ilvl w:val="2"/>
          <w:numId w:val="1"/>
        </w:numPr>
        <w:tabs>
          <w:tab w:val="left" w:pos="0"/>
          <w:tab w:val="left" w:pos="425"/>
          <w:tab w:val="left" w:pos="709"/>
          <w:tab w:val="left" w:pos="851"/>
        </w:tabs>
        <w:spacing w:before="0" w:after="0" w:line="360" w:lineRule="auto"/>
        <w:ind w:left="709" w:hanging="709"/>
        <w:jc w:val="left"/>
        <w:rPr>
          <w:rFonts w:ascii="宋体" w:hAnsi="宋体"/>
          <w:color w:val="auto"/>
          <w:highlight w:val="none"/>
        </w:rPr>
      </w:pPr>
      <w:bookmarkStart w:id="93" w:name="_Toc10668"/>
      <w:r>
        <w:rPr>
          <w:rFonts w:hint="eastAsia"/>
          <w:color w:val="auto"/>
          <w:highlight w:val="none"/>
        </w:rPr>
        <w:t>安全风险一张图子系统</w:t>
      </w:r>
      <w:bookmarkEnd w:id="93"/>
    </w:p>
    <w:p>
      <w:pPr>
        <w:ind w:firstLine="420"/>
        <w:rPr>
          <w:rFonts w:ascii="仿宋_GB2312" w:hAnsi="仿宋"/>
          <w:color w:val="auto"/>
          <w:highlight w:val="none"/>
        </w:rPr>
      </w:pPr>
      <w:r>
        <w:rPr>
          <w:rFonts w:hint="eastAsia" w:ascii="仿宋_GB2312" w:hAnsi="仿宋"/>
          <w:color w:val="auto"/>
          <w:highlight w:val="none"/>
        </w:rPr>
        <w:t>安全风险一张图是安全生产监测预警业务功能的GIS可视化展示，在GIS地图上进行企业的接入情况、报警、预警、连接异常情况的综合监测、主动提醒，进行企业运行情况的实时动态监测。</w:t>
      </w:r>
    </w:p>
    <w:p>
      <w:pPr>
        <w:ind w:firstLine="420"/>
        <w:rPr>
          <w:rFonts w:ascii="仿宋_GB2312" w:hAnsi="仿宋"/>
          <w:color w:val="auto"/>
          <w:highlight w:val="none"/>
        </w:rPr>
      </w:pPr>
      <w:r>
        <w:rPr>
          <w:rFonts w:hint="eastAsia" w:ascii="仿宋_GB2312" w:hAnsi="仿宋"/>
          <w:color w:val="auto"/>
          <w:highlight w:val="none"/>
        </w:rPr>
        <w:t>安全风险一张图功能主要包括：接入情况、安全生产承诺、综合监测、企业监测、企业画像等功能。</w:t>
      </w:r>
    </w:p>
    <w:p>
      <w:pPr>
        <w:pStyle w:val="6"/>
        <w:keepNext w:val="0"/>
        <w:keepLines w:val="0"/>
        <w:widowControl/>
        <w:numPr>
          <w:ilvl w:val="3"/>
          <w:numId w:val="1"/>
        </w:numPr>
        <w:tabs>
          <w:tab w:val="left" w:pos="425"/>
          <w:tab w:val="left" w:pos="709"/>
          <w:tab w:val="left" w:pos="851"/>
          <w:tab w:val="left" w:pos="1080"/>
        </w:tabs>
        <w:spacing w:before="0" w:after="0" w:line="360" w:lineRule="auto"/>
        <w:ind w:left="851" w:right="210" w:rightChars="100" w:hanging="851"/>
        <w:jc w:val="left"/>
        <w:rPr>
          <w:rFonts w:ascii="宋体" w:hAnsi="Arial"/>
          <w:color w:val="auto"/>
          <w:highlight w:val="none"/>
        </w:rPr>
      </w:pPr>
      <w:r>
        <w:rPr>
          <w:rFonts w:hint="eastAsia"/>
          <w:color w:val="auto"/>
          <w:highlight w:val="none"/>
        </w:rPr>
        <w:t>安全承诺一张图</w:t>
      </w:r>
    </w:p>
    <w:p>
      <w:pPr>
        <w:ind w:firstLine="420"/>
        <w:rPr>
          <w:rFonts w:ascii="仿宋_GB2312" w:hAnsi="仿宋"/>
          <w:color w:val="auto"/>
          <w:highlight w:val="none"/>
        </w:rPr>
      </w:pPr>
      <w:r>
        <w:rPr>
          <w:rFonts w:hint="eastAsia" w:ascii="仿宋_GB2312" w:hAnsi="仿宋"/>
          <w:color w:val="auto"/>
          <w:highlight w:val="none"/>
        </w:rPr>
        <w:t>通过GIS地图可分别以企业和辖区维度展示承诺情况，新增企业包保责任制落实及特种作业详情。</w:t>
      </w:r>
    </w:p>
    <w:p>
      <w:pPr>
        <w:pStyle w:val="6"/>
        <w:keepNext w:val="0"/>
        <w:keepLines w:val="0"/>
        <w:widowControl/>
        <w:numPr>
          <w:ilvl w:val="3"/>
          <w:numId w:val="1"/>
        </w:numPr>
        <w:tabs>
          <w:tab w:val="left" w:pos="425"/>
          <w:tab w:val="left" w:pos="709"/>
          <w:tab w:val="left" w:pos="851"/>
          <w:tab w:val="left" w:pos="1080"/>
        </w:tabs>
        <w:spacing w:before="0" w:after="0" w:line="360" w:lineRule="auto"/>
        <w:ind w:left="851" w:right="210" w:rightChars="100" w:hanging="851"/>
        <w:jc w:val="left"/>
        <w:rPr>
          <w:rFonts w:ascii="宋体" w:hAnsi="Arial"/>
          <w:color w:val="auto"/>
          <w:highlight w:val="none"/>
        </w:rPr>
      </w:pPr>
      <w:r>
        <w:rPr>
          <w:rFonts w:hint="eastAsia"/>
          <w:color w:val="auto"/>
          <w:highlight w:val="none"/>
        </w:rPr>
        <w:t>风险预警一张图</w:t>
      </w:r>
    </w:p>
    <w:p>
      <w:pPr>
        <w:ind w:firstLine="420"/>
        <w:rPr>
          <w:rFonts w:ascii="仿宋_GB2312" w:hAnsi="仿宋"/>
          <w:color w:val="auto"/>
          <w:highlight w:val="none"/>
        </w:rPr>
      </w:pPr>
      <w:r>
        <w:rPr>
          <w:rFonts w:hint="eastAsia" w:ascii="仿宋_GB2312" w:hAnsi="仿宋"/>
          <w:color w:val="auto"/>
          <w:highlight w:val="none"/>
        </w:rPr>
        <w:t>省、市、县监管用户可查看辖区内风险研判和预警处置相关情况。新增通报情况统计、超期预警数和已处理预警分布情况；可在未处理的预警单中，分别查看未超期的预警数排名和超期的预警数排名。</w:t>
      </w:r>
    </w:p>
    <w:p>
      <w:pPr>
        <w:pStyle w:val="6"/>
        <w:keepNext w:val="0"/>
        <w:keepLines w:val="0"/>
        <w:widowControl/>
        <w:numPr>
          <w:ilvl w:val="3"/>
          <w:numId w:val="1"/>
        </w:numPr>
        <w:tabs>
          <w:tab w:val="left" w:pos="425"/>
          <w:tab w:val="left" w:pos="709"/>
          <w:tab w:val="left" w:pos="851"/>
          <w:tab w:val="left" w:pos="1080"/>
        </w:tabs>
        <w:spacing w:before="0" w:after="0" w:line="360" w:lineRule="auto"/>
        <w:ind w:left="851" w:right="210" w:rightChars="100" w:hanging="851"/>
        <w:jc w:val="left"/>
        <w:rPr>
          <w:rFonts w:ascii="宋体" w:hAnsi="Arial"/>
          <w:color w:val="auto"/>
          <w:highlight w:val="none"/>
        </w:rPr>
      </w:pPr>
      <w:r>
        <w:rPr>
          <w:rFonts w:hint="eastAsia"/>
          <w:color w:val="auto"/>
          <w:highlight w:val="none"/>
        </w:rPr>
        <w:t>企业监测一张图</w:t>
      </w:r>
    </w:p>
    <w:p>
      <w:pPr>
        <w:ind w:firstLine="420"/>
        <w:rPr>
          <w:rFonts w:ascii="仿宋_GB2312" w:hAnsi="仿宋"/>
          <w:color w:val="auto"/>
          <w:highlight w:val="none"/>
        </w:rPr>
      </w:pPr>
      <w:r>
        <w:rPr>
          <w:rFonts w:hint="eastAsia" w:ascii="仿宋_GB2312" w:hAnsi="仿宋"/>
          <w:color w:val="auto"/>
          <w:highlight w:val="none"/>
        </w:rPr>
        <w:t>企业监测一张图主要展示该企业物联网监测指标、视频、两重点一重大接入情况，以及企业各类风险情况、待处置预警信息。支持查看视频、物联网监测指标联网异常和报警情况。地图以可视化形式展示各装卸台、仓库的实时监测值。支持查看该企业信息详情，新增仓库、装卸台和重大危险源信息。</w:t>
      </w:r>
    </w:p>
    <w:p>
      <w:pPr>
        <w:pStyle w:val="4"/>
        <w:keepNext w:val="0"/>
        <w:keepLines w:val="0"/>
        <w:widowControl/>
        <w:numPr>
          <w:ilvl w:val="1"/>
          <w:numId w:val="1"/>
        </w:numPr>
        <w:tabs>
          <w:tab w:val="left" w:pos="425"/>
          <w:tab w:val="left" w:pos="600"/>
        </w:tabs>
        <w:spacing w:before="0" w:after="0" w:line="360" w:lineRule="auto"/>
        <w:jc w:val="left"/>
        <w:rPr>
          <w:rFonts w:ascii="宋体" w:hAnsi="宋体"/>
          <w:color w:val="auto"/>
          <w:highlight w:val="none"/>
        </w:rPr>
      </w:pPr>
      <w:bookmarkStart w:id="94" w:name="_Toc24321"/>
      <w:r>
        <w:rPr>
          <w:rFonts w:hint="eastAsia"/>
          <w:color w:val="auto"/>
          <w:highlight w:val="none"/>
        </w:rPr>
        <w:t>新增化工园区业务模块</w:t>
      </w:r>
      <w:bookmarkEnd w:id="94"/>
    </w:p>
    <w:p>
      <w:pPr>
        <w:ind w:firstLine="420"/>
        <w:rPr>
          <w:rFonts w:ascii="仿宋_GB2312" w:hAnsi="仿宋"/>
          <w:color w:val="auto"/>
          <w:highlight w:val="none"/>
        </w:rPr>
      </w:pPr>
      <w:r>
        <w:rPr>
          <w:rFonts w:hint="eastAsia" w:ascii="仿宋_GB2312" w:hAnsi="仿宋"/>
          <w:color w:val="auto"/>
          <w:highlight w:val="none"/>
        </w:rPr>
        <w:t>系统中所有功能新增化工园区维度，支持下发预警信息给对应化工园区，按照化工园区统计企业的在线率、预警率、安全承诺率等进行统计。</w:t>
      </w:r>
    </w:p>
    <w:p>
      <w:pPr>
        <w:pStyle w:val="2"/>
        <w:ind w:firstLine="480"/>
        <w:rPr>
          <w:color w:val="auto"/>
          <w:highlight w:val="none"/>
        </w:rPr>
      </w:pPr>
    </w:p>
    <w:p>
      <w:pPr>
        <w:pStyle w:val="4"/>
        <w:keepNext w:val="0"/>
        <w:keepLines w:val="0"/>
        <w:widowControl/>
        <w:numPr>
          <w:ilvl w:val="1"/>
          <w:numId w:val="1"/>
        </w:numPr>
        <w:tabs>
          <w:tab w:val="left" w:pos="425"/>
          <w:tab w:val="left" w:pos="600"/>
        </w:tabs>
        <w:spacing w:before="0" w:after="0" w:line="360" w:lineRule="auto"/>
        <w:jc w:val="left"/>
        <w:rPr>
          <w:color w:val="auto"/>
          <w:highlight w:val="none"/>
        </w:rPr>
      </w:pPr>
      <w:bookmarkStart w:id="95" w:name="_Toc77942736"/>
      <w:bookmarkStart w:id="96" w:name="_Toc4770"/>
      <w:r>
        <w:rPr>
          <w:rFonts w:hint="eastAsia"/>
          <w:color w:val="auto"/>
          <w:highlight w:val="none"/>
        </w:rPr>
        <w:t>烟花爆竹行业系统功能升级</w:t>
      </w:r>
      <w:bookmarkEnd w:id="95"/>
      <w:bookmarkStart w:id="97" w:name="_Toc77942737"/>
      <w:r>
        <w:rPr>
          <w:rFonts w:hint="eastAsia"/>
          <w:color w:val="auto"/>
          <w:highlight w:val="none"/>
        </w:rPr>
        <w:t>-工作台</w:t>
      </w:r>
      <w:bookmarkEnd w:id="96"/>
      <w:bookmarkEnd w:id="97"/>
    </w:p>
    <w:p>
      <w:pPr>
        <w:ind w:firstLine="420" w:firstLineChars="200"/>
        <w:rPr>
          <w:rFonts w:ascii="仿宋" w:hAnsi="仿宋" w:eastAsia="仿宋"/>
          <w:color w:val="auto"/>
          <w:highlight w:val="none"/>
        </w:rPr>
      </w:pPr>
      <w:r>
        <w:rPr>
          <w:rFonts w:hint="eastAsia" w:ascii="仿宋_GB2312" w:hAnsi="仿宋"/>
          <w:color w:val="auto"/>
          <w:highlight w:val="none"/>
        </w:rPr>
        <w:t>首页工作台子系统是用户登录系统的首页，为用户快速找到常用功能提供便捷的入口，可以管理个人信息、系统消息、待办事项，同时将系统的关键数据进行统计分析，包括预警信息列表、联网运行情况等。工作台支持常用功能设置、自定义系统版面设置等功能。功能主要包括：待办信息提醒、预警信息列表、联网运行情况、常用功能设置、自定义系统版面设置等功能。</w:t>
      </w:r>
    </w:p>
    <w:p>
      <w:pPr>
        <w:pStyle w:val="5"/>
        <w:keepNext w:val="0"/>
        <w:keepLines w:val="0"/>
        <w:widowControl/>
        <w:numPr>
          <w:ilvl w:val="2"/>
          <w:numId w:val="1"/>
        </w:numPr>
        <w:tabs>
          <w:tab w:val="left" w:pos="0"/>
          <w:tab w:val="left" w:pos="425"/>
          <w:tab w:val="left" w:pos="709"/>
          <w:tab w:val="left" w:pos="851"/>
        </w:tabs>
        <w:spacing w:before="0" w:after="0" w:line="360" w:lineRule="auto"/>
        <w:ind w:left="709" w:hanging="709"/>
        <w:jc w:val="left"/>
        <w:rPr>
          <w:rFonts w:ascii="宋体" w:hAnsi="宋体" w:eastAsia="仿宋_GB2312"/>
          <w:color w:val="auto"/>
          <w:highlight w:val="none"/>
        </w:rPr>
      </w:pPr>
      <w:bookmarkStart w:id="98" w:name="_Toc5202"/>
      <w:bookmarkStart w:id="99" w:name="_Toc77942738"/>
      <w:r>
        <w:rPr>
          <w:rFonts w:hint="eastAsia"/>
          <w:color w:val="auto"/>
          <w:highlight w:val="none"/>
        </w:rPr>
        <w:t>接入情况</w:t>
      </w:r>
      <w:bookmarkEnd w:id="98"/>
      <w:bookmarkEnd w:id="99"/>
    </w:p>
    <w:p>
      <w:pPr>
        <w:ind w:firstLine="420"/>
        <w:rPr>
          <w:rFonts w:ascii="仿宋_GB2312" w:hAnsi="仿宋"/>
          <w:color w:val="auto"/>
          <w:highlight w:val="none"/>
        </w:rPr>
      </w:pPr>
      <w:r>
        <w:rPr>
          <w:rFonts w:hint="eastAsia" w:ascii="仿宋_GB2312" w:hAnsi="仿宋"/>
          <w:color w:val="auto"/>
          <w:highlight w:val="none"/>
        </w:rPr>
        <w:t>监管用户可在工作台页面快速查看当前直管企业的接入情况，及其监测设备接入情况。</w:t>
      </w:r>
    </w:p>
    <w:p>
      <w:pPr>
        <w:pStyle w:val="5"/>
        <w:keepNext w:val="0"/>
        <w:keepLines w:val="0"/>
        <w:widowControl/>
        <w:numPr>
          <w:ilvl w:val="2"/>
          <w:numId w:val="1"/>
        </w:numPr>
        <w:tabs>
          <w:tab w:val="left" w:pos="0"/>
          <w:tab w:val="left" w:pos="425"/>
          <w:tab w:val="left" w:pos="709"/>
          <w:tab w:val="left" w:pos="851"/>
        </w:tabs>
        <w:spacing w:before="0" w:after="0" w:line="360" w:lineRule="auto"/>
        <w:ind w:left="709" w:hanging="709"/>
        <w:jc w:val="left"/>
        <w:rPr>
          <w:rFonts w:ascii="宋体" w:hAnsi="宋体"/>
          <w:color w:val="auto"/>
          <w:highlight w:val="none"/>
        </w:rPr>
      </w:pPr>
      <w:bookmarkStart w:id="100" w:name="_Toc13113"/>
      <w:bookmarkStart w:id="101" w:name="_Toc77942739"/>
      <w:r>
        <w:rPr>
          <w:rFonts w:hint="eastAsia"/>
          <w:color w:val="auto"/>
          <w:highlight w:val="none"/>
        </w:rPr>
        <w:t>待办任务</w:t>
      </w:r>
      <w:bookmarkEnd w:id="100"/>
      <w:bookmarkEnd w:id="101"/>
    </w:p>
    <w:p>
      <w:pPr>
        <w:ind w:firstLine="420"/>
        <w:rPr>
          <w:rFonts w:ascii="仿宋_GB2312" w:hAnsi="仿宋"/>
          <w:color w:val="auto"/>
          <w:highlight w:val="none"/>
        </w:rPr>
      </w:pPr>
      <w:r>
        <w:rPr>
          <w:rFonts w:hint="eastAsia" w:ascii="仿宋_GB2312" w:hAnsi="仿宋"/>
          <w:color w:val="auto"/>
          <w:highlight w:val="none"/>
        </w:rPr>
        <w:t>监管用户可在工作台页面快速查看并处理当前待办事项，包括直管企业提交的待审核静态数据申请、待审核白名单等。</w:t>
      </w:r>
    </w:p>
    <w:p>
      <w:pPr>
        <w:pStyle w:val="5"/>
        <w:keepNext w:val="0"/>
        <w:keepLines w:val="0"/>
        <w:widowControl/>
        <w:numPr>
          <w:ilvl w:val="2"/>
          <w:numId w:val="1"/>
        </w:numPr>
        <w:tabs>
          <w:tab w:val="left" w:pos="0"/>
          <w:tab w:val="left" w:pos="425"/>
          <w:tab w:val="left" w:pos="709"/>
          <w:tab w:val="left" w:pos="851"/>
        </w:tabs>
        <w:spacing w:before="0" w:after="0" w:line="360" w:lineRule="auto"/>
        <w:ind w:left="709" w:hanging="709"/>
        <w:jc w:val="left"/>
        <w:rPr>
          <w:rFonts w:ascii="宋体" w:hAnsi="宋体"/>
          <w:color w:val="auto"/>
          <w:highlight w:val="none"/>
        </w:rPr>
      </w:pPr>
      <w:bookmarkStart w:id="102" w:name="_Toc15756"/>
      <w:bookmarkStart w:id="103" w:name="_Toc77942740"/>
      <w:r>
        <w:rPr>
          <w:rFonts w:hint="eastAsia"/>
          <w:color w:val="auto"/>
          <w:highlight w:val="none"/>
        </w:rPr>
        <w:t>预警处置</w:t>
      </w:r>
      <w:bookmarkEnd w:id="102"/>
      <w:bookmarkEnd w:id="103"/>
    </w:p>
    <w:p>
      <w:pPr>
        <w:ind w:firstLine="420"/>
        <w:rPr>
          <w:rFonts w:ascii="仿宋_GB2312" w:hAnsi="仿宋"/>
          <w:color w:val="auto"/>
          <w:highlight w:val="none"/>
        </w:rPr>
      </w:pPr>
      <w:r>
        <w:rPr>
          <w:rFonts w:hint="eastAsia" w:ascii="仿宋_GB2312" w:hAnsi="仿宋"/>
          <w:color w:val="auto"/>
          <w:highlight w:val="none"/>
        </w:rPr>
        <w:t>实现政府用户从工作台页面可快速查看当前未处理的预警总数，并支持直接对企业未处理预警进行督办。</w:t>
      </w:r>
    </w:p>
    <w:p>
      <w:pPr>
        <w:pStyle w:val="5"/>
        <w:keepNext w:val="0"/>
        <w:keepLines w:val="0"/>
        <w:widowControl/>
        <w:numPr>
          <w:ilvl w:val="2"/>
          <w:numId w:val="1"/>
        </w:numPr>
        <w:tabs>
          <w:tab w:val="left" w:pos="0"/>
          <w:tab w:val="left" w:pos="425"/>
          <w:tab w:val="left" w:pos="709"/>
          <w:tab w:val="left" w:pos="851"/>
        </w:tabs>
        <w:spacing w:before="0" w:after="0" w:line="360" w:lineRule="auto"/>
        <w:ind w:left="709" w:hanging="709"/>
        <w:jc w:val="left"/>
        <w:rPr>
          <w:rFonts w:ascii="宋体" w:hAnsi="宋体"/>
          <w:color w:val="auto"/>
          <w:highlight w:val="none"/>
        </w:rPr>
      </w:pPr>
      <w:bookmarkStart w:id="104" w:name="_Toc12460"/>
      <w:bookmarkStart w:id="105" w:name="_Toc77942741"/>
      <w:r>
        <w:rPr>
          <w:rFonts w:hint="eastAsia"/>
          <w:color w:val="auto"/>
          <w:highlight w:val="none"/>
        </w:rPr>
        <w:t>监测报警</w:t>
      </w:r>
      <w:bookmarkEnd w:id="104"/>
      <w:bookmarkEnd w:id="105"/>
    </w:p>
    <w:p>
      <w:pPr>
        <w:ind w:firstLine="420"/>
        <w:rPr>
          <w:rFonts w:ascii="仿宋_GB2312" w:hAnsi="仿宋"/>
          <w:color w:val="auto"/>
          <w:highlight w:val="none"/>
        </w:rPr>
      </w:pPr>
      <w:r>
        <w:rPr>
          <w:rFonts w:hint="eastAsia" w:ascii="仿宋_GB2312" w:hAnsi="仿宋"/>
          <w:color w:val="auto"/>
          <w:highlight w:val="none"/>
        </w:rPr>
        <w:t>用户可在工作台页面快速查看今日或实时物联网报警情况，包括报警指标数、报警企业数、物联网指标报警的持续时长分布等。</w:t>
      </w:r>
    </w:p>
    <w:p>
      <w:pPr>
        <w:pStyle w:val="5"/>
        <w:keepNext w:val="0"/>
        <w:keepLines w:val="0"/>
        <w:widowControl/>
        <w:numPr>
          <w:ilvl w:val="2"/>
          <w:numId w:val="1"/>
        </w:numPr>
        <w:tabs>
          <w:tab w:val="left" w:pos="0"/>
          <w:tab w:val="left" w:pos="425"/>
          <w:tab w:val="left" w:pos="709"/>
          <w:tab w:val="left" w:pos="851"/>
        </w:tabs>
        <w:spacing w:before="0" w:after="0" w:line="360" w:lineRule="auto"/>
        <w:ind w:left="709" w:hanging="709"/>
        <w:jc w:val="left"/>
        <w:rPr>
          <w:rFonts w:ascii="宋体" w:hAnsi="宋体"/>
          <w:color w:val="auto"/>
          <w:highlight w:val="none"/>
        </w:rPr>
      </w:pPr>
      <w:bookmarkStart w:id="106" w:name="_Toc2932"/>
      <w:bookmarkStart w:id="107" w:name="_Toc77942742"/>
      <w:r>
        <w:rPr>
          <w:rFonts w:hint="eastAsia"/>
          <w:color w:val="auto"/>
          <w:highlight w:val="none"/>
        </w:rPr>
        <w:t>联网运行情况</w:t>
      </w:r>
      <w:bookmarkEnd w:id="106"/>
      <w:bookmarkEnd w:id="107"/>
    </w:p>
    <w:p>
      <w:pPr>
        <w:ind w:firstLine="420"/>
        <w:rPr>
          <w:rFonts w:ascii="仿宋_GB2312" w:hAnsi="仿宋"/>
          <w:color w:val="auto"/>
          <w:highlight w:val="none"/>
        </w:rPr>
      </w:pPr>
      <w:r>
        <w:rPr>
          <w:rFonts w:hint="eastAsia" w:ascii="仿宋_GB2312" w:hAnsi="仿宋"/>
          <w:color w:val="auto"/>
          <w:highlight w:val="none"/>
        </w:rPr>
        <w:t>监管用户支持查看当前辖区内物联网异常企业，其中包括物联网指标离线企业及占比，视频离线企业及占比。支持查看今日数据上报成功率。</w:t>
      </w:r>
    </w:p>
    <w:p>
      <w:pPr>
        <w:pStyle w:val="5"/>
        <w:keepNext w:val="0"/>
        <w:keepLines w:val="0"/>
        <w:widowControl/>
        <w:numPr>
          <w:ilvl w:val="2"/>
          <w:numId w:val="1"/>
        </w:numPr>
        <w:tabs>
          <w:tab w:val="left" w:pos="0"/>
          <w:tab w:val="left" w:pos="425"/>
          <w:tab w:val="left" w:pos="709"/>
          <w:tab w:val="left" w:pos="851"/>
        </w:tabs>
        <w:spacing w:before="0" w:after="0" w:line="360" w:lineRule="auto"/>
        <w:ind w:left="709" w:hanging="709"/>
        <w:jc w:val="left"/>
        <w:rPr>
          <w:rFonts w:ascii="宋体" w:hAnsi="宋体"/>
          <w:color w:val="auto"/>
          <w:highlight w:val="none"/>
        </w:rPr>
      </w:pPr>
      <w:bookmarkStart w:id="108" w:name="_Toc77942743"/>
      <w:bookmarkStart w:id="109" w:name="_Toc24403"/>
      <w:r>
        <w:rPr>
          <w:rFonts w:hint="eastAsia"/>
          <w:color w:val="auto"/>
          <w:highlight w:val="none"/>
        </w:rPr>
        <w:t>设置工作台</w:t>
      </w:r>
      <w:bookmarkEnd w:id="108"/>
      <w:bookmarkEnd w:id="109"/>
    </w:p>
    <w:p>
      <w:pPr>
        <w:ind w:firstLine="420"/>
        <w:rPr>
          <w:rFonts w:ascii="仿宋_GB2312" w:hAnsi="仿宋"/>
          <w:color w:val="auto"/>
          <w:highlight w:val="none"/>
        </w:rPr>
      </w:pPr>
      <w:r>
        <w:rPr>
          <w:rFonts w:hint="eastAsia" w:ascii="仿宋_GB2312" w:hAnsi="仿宋"/>
          <w:color w:val="auto"/>
          <w:highlight w:val="none"/>
        </w:rPr>
        <w:t>用户可设置个人工作台所展示得模块。可在工作台设置弹窗中开启、关闭联网运行、监测报警等功能模块。</w:t>
      </w:r>
    </w:p>
    <w:p>
      <w:pPr>
        <w:rPr>
          <w:rFonts w:ascii="宋体" w:hAnsi="宋体" w:eastAsia="仿宋_GB2312"/>
          <w:color w:val="auto"/>
          <w:highlight w:val="none"/>
        </w:rPr>
      </w:pPr>
    </w:p>
    <w:p>
      <w:pPr>
        <w:ind w:firstLine="420" w:firstLineChars="200"/>
        <w:rPr>
          <w:rFonts w:ascii="仿宋" w:hAnsi="仿宋" w:eastAsia="仿宋"/>
          <w:color w:val="auto"/>
          <w:highlight w:val="none"/>
        </w:rPr>
      </w:pPr>
    </w:p>
    <w:p>
      <w:pPr>
        <w:pStyle w:val="4"/>
        <w:keepNext w:val="0"/>
        <w:keepLines w:val="0"/>
        <w:widowControl/>
        <w:numPr>
          <w:ilvl w:val="1"/>
          <w:numId w:val="1"/>
        </w:numPr>
        <w:tabs>
          <w:tab w:val="left" w:pos="425"/>
          <w:tab w:val="left" w:pos="600"/>
        </w:tabs>
        <w:spacing w:before="0" w:after="0" w:line="360" w:lineRule="auto"/>
        <w:jc w:val="left"/>
        <w:rPr>
          <w:rFonts w:ascii="仿宋" w:hAnsi="仿宋" w:eastAsia="仿宋"/>
          <w:color w:val="auto"/>
          <w:highlight w:val="none"/>
        </w:rPr>
      </w:pPr>
      <w:bookmarkStart w:id="110" w:name="_Toc77942747"/>
      <w:bookmarkStart w:id="111" w:name="_Toc29953"/>
      <w:r>
        <w:rPr>
          <w:rFonts w:hint="eastAsia"/>
          <w:color w:val="auto"/>
          <w:highlight w:val="none"/>
        </w:rPr>
        <w:t>非煤矿山行业系统功能升级</w:t>
      </w:r>
      <w:bookmarkEnd w:id="110"/>
      <w:bookmarkStart w:id="112" w:name="_Toc77942748"/>
      <w:r>
        <w:rPr>
          <w:rFonts w:hint="eastAsia"/>
          <w:color w:val="auto"/>
          <w:highlight w:val="none"/>
        </w:rPr>
        <w:t>-</w:t>
      </w:r>
      <w:r>
        <w:rPr>
          <w:rFonts w:hint="eastAsia" w:ascii="仿宋" w:hAnsi="仿宋" w:eastAsia="仿宋"/>
          <w:color w:val="auto"/>
          <w:highlight w:val="none"/>
        </w:rPr>
        <w:t>工作台</w:t>
      </w:r>
      <w:bookmarkEnd w:id="111"/>
      <w:bookmarkEnd w:id="112"/>
    </w:p>
    <w:p>
      <w:pPr>
        <w:ind w:firstLine="420" w:firstLineChars="200"/>
        <w:rPr>
          <w:rFonts w:ascii="仿宋_GB2312" w:hAnsi="仿宋"/>
          <w:color w:val="auto"/>
          <w:highlight w:val="none"/>
        </w:rPr>
      </w:pPr>
      <w:r>
        <w:rPr>
          <w:rFonts w:hint="eastAsia" w:ascii="仿宋_GB2312" w:hAnsi="仿宋"/>
          <w:color w:val="auto"/>
          <w:highlight w:val="none"/>
        </w:rPr>
        <w:t>首页工作台子系统是用户登录系统的首页，为用户快速找到常用功能提供便捷的入口，可以管理个人信息、系统消息、待办事项，同时将系统的关键数据进行统计分析，包括预警信息列表、联网运行情况等。工作台支持常用功能设置、自定义系统版面设置等功能。功能主要包括：待办信息提醒、预警信息列表、联网运行情况、常用功能设置、自定义系统版面设置等功能。</w:t>
      </w:r>
    </w:p>
    <w:p>
      <w:pPr>
        <w:pStyle w:val="5"/>
        <w:keepNext w:val="0"/>
        <w:keepLines w:val="0"/>
        <w:widowControl/>
        <w:numPr>
          <w:ilvl w:val="2"/>
          <w:numId w:val="1"/>
        </w:numPr>
        <w:tabs>
          <w:tab w:val="left" w:pos="0"/>
          <w:tab w:val="left" w:pos="425"/>
          <w:tab w:val="left" w:pos="709"/>
          <w:tab w:val="left" w:pos="851"/>
        </w:tabs>
        <w:spacing w:before="0" w:after="0" w:line="360" w:lineRule="auto"/>
        <w:ind w:left="709" w:hanging="709"/>
        <w:jc w:val="left"/>
        <w:rPr>
          <w:rFonts w:ascii="宋体" w:hAnsi="宋体" w:eastAsia="仿宋_GB2312"/>
          <w:color w:val="auto"/>
          <w:highlight w:val="none"/>
        </w:rPr>
      </w:pPr>
      <w:bookmarkStart w:id="113" w:name="_Toc1605"/>
      <w:bookmarkStart w:id="114" w:name="_Toc77942749"/>
      <w:r>
        <w:rPr>
          <w:rFonts w:hint="eastAsia"/>
          <w:color w:val="auto"/>
          <w:highlight w:val="none"/>
        </w:rPr>
        <w:t>接入情况</w:t>
      </w:r>
      <w:bookmarkEnd w:id="113"/>
      <w:bookmarkEnd w:id="114"/>
    </w:p>
    <w:p>
      <w:pPr>
        <w:ind w:firstLine="420" w:firstLineChars="200"/>
        <w:rPr>
          <w:rFonts w:ascii="仿宋_GB2312" w:hAnsi="仿宋"/>
          <w:color w:val="auto"/>
          <w:highlight w:val="none"/>
        </w:rPr>
      </w:pPr>
      <w:r>
        <w:rPr>
          <w:rFonts w:hint="eastAsia" w:ascii="仿宋_GB2312" w:hAnsi="仿宋"/>
          <w:color w:val="auto"/>
          <w:highlight w:val="none"/>
        </w:rPr>
        <w:t>监管用户可在工作台页面快速查看当前直管企业的接入情况，及其监测设备接入情况。</w:t>
      </w:r>
    </w:p>
    <w:p>
      <w:pPr>
        <w:pStyle w:val="5"/>
        <w:keepNext w:val="0"/>
        <w:keepLines w:val="0"/>
        <w:widowControl/>
        <w:numPr>
          <w:ilvl w:val="2"/>
          <w:numId w:val="1"/>
        </w:numPr>
        <w:tabs>
          <w:tab w:val="left" w:pos="0"/>
          <w:tab w:val="left" w:pos="425"/>
          <w:tab w:val="left" w:pos="709"/>
          <w:tab w:val="left" w:pos="851"/>
        </w:tabs>
        <w:spacing w:before="0" w:after="0" w:line="360" w:lineRule="auto"/>
        <w:ind w:left="709" w:hanging="709"/>
        <w:jc w:val="left"/>
        <w:rPr>
          <w:rFonts w:ascii="宋体" w:hAnsi="宋体" w:eastAsia="仿宋_GB2312"/>
          <w:color w:val="auto"/>
          <w:highlight w:val="none"/>
        </w:rPr>
      </w:pPr>
      <w:bookmarkStart w:id="115" w:name="_Toc2307"/>
      <w:bookmarkStart w:id="116" w:name="_Toc77942750"/>
      <w:r>
        <w:rPr>
          <w:rFonts w:hint="eastAsia"/>
          <w:color w:val="auto"/>
          <w:highlight w:val="none"/>
        </w:rPr>
        <w:t>待办任务</w:t>
      </w:r>
      <w:bookmarkEnd w:id="115"/>
      <w:bookmarkEnd w:id="116"/>
    </w:p>
    <w:p>
      <w:pPr>
        <w:ind w:firstLine="420" w:firstLineChars="200"/>
        <w:rPr>
          <w:rFonts w:ascii="仿宋_GB2312" w:hAnsi="仿宋"/>
          <w:color w:val="auto"/>
          <w:highlight w:val="none"/>
        </w:rPr>
      </w:pPr>
      <w:r>
        <w:rPr>
          <w:rFonts w:hint="eastAsia" w:ascii="仿宋_GB2312" w:hAnsi="仿宋"/>
          <w:color w:val="auto"/>
          <w:highlight w:val="none"/>
        </w:rPr>
        <w:t>监管用户可在工作台页面快速查看并处理当前待办事项，包括直管企业提交的待审核静态数据申请、待审核白名单等。</w:t>
      </w:r>
    </w:p>
    <w:p>
      <w:pPr>
        <w:pStyle w:val="5"/>
        <w:keepNext w:val="0"/>
        <w:keepLines w:val="0"/>
        <w:widowControl/>
        <w:numPr>
          <w:ilvl w:val="2"/>
          <w:numId w:val="1"/>
        </w:numPr>
        <w:tabs>
          <w:tab w:val="left" w:pos="0"/>
          <w:tab w:val="left" w:pos="425"/>
          <w:tab w:val="left" w:pos="709"/>
          <w:tab w:val="left" w:pos="851"/>
        </w:tabs>
        <w:spacing w:before="0" w:after="0" w:line="360" w:lineRule="auto"/>
        <w:ind w:left="709" w:hanging="709"/>
        <w:jc w:val="left"/>
        <w:rPr>
          <w:rFonts w:ascii="宋体" w:hAnsi="宋体" w:eastAsia="仿宋_GB2312"/>
          <w:color w:val="auto"/>
          <w:highlight w:val="none"/>
        </w:rPr>
      </w:pPr>
      <w:bookmarkStart w:id="117" w:name="_Toc5337"/>
      <w:bookmarkStart w:id="118" w:name="_Toc77942751"/>
      <w:r>
        <w:rPr>
          <w:rFonts w:hint="eastAsia"/>
          <w:color w:val="auto"/>
          <w:highlight w:val="none"/>
        </w:rPr>
        <w:t>预警处置</w:t>
      </w:r>
      <w:bookmarkEnd w:id="117"/>
      <w:bookmarkEnd w:id="118"/>
    </w:p>
    <w:p>
      <w:pPr>
        <w:ind w:firstLine="420" w:firstLineChars="200"/>
        <w:rPr>
          <w:rFonts w:ascii="仿宋_GB2312" w:hAnsi="仿宋"/>
          <w:color w:val="auto"/>
          <w:highlight w:val="none"/>
        </w:rPr>
      </w:pPr>
      <w:r>
        <w:rPr>
          <w:rFonts w:hint="eastAsia" w:ascii="仿宋_GB2312" w:hAnsi="仿宋"/>
          <w:color w:val="auto"/>
          <w:highlight w:val="none"/>
        </w:rPr>
        <w:t>实现政府用户从工作台页面可快速查看当前未处理的预警总数，并支持直接对企业未处理预警进行督办。</w:t>
      </w:r>
    </w:p>
    <w:p>
      <w:pPr>
        <w:pStyle w:val="5"/>
        <w:keepNext w:val="0"/>
        <w:keepLines w:val="0"/>
        <w:widowControl/>
        <w:numPr>
          <w:ilvl w:val="2"/>
          <w:numId w:val="1"/>
        </w:numPr>
        <w:tabs>
          <w:tab w:val="left" w:pos="0"/>
          <w:tab w:val="left" w:pos="425"/>
          <w:tab w:val="left" w:pos="709"/>
          <w:tab w:val="left" w:pos="851"/>
        </w:tabs>
        <w:spacing w:before="0" w:after="0" w:line="360" w:lineRule="auto"/>
        <w:ind w:left="709" w:hanging="709"/>
        <w:jc w:val="left"/>
        <w:rPr>
          <w:rFonts w:ascii="宋体" w:hAnsi="宋体" w:eastAsia="仿宋_GB2312"/>
          <w:color w:val="auto"/>
          <w:highlight w:val="none"/>
        </w:rPr>
      </w:pPr>
      <w:bookmarkStart w:id="119" w:name="_Toc19987"/>
      <w:bookmarkStart w:id="120" w:name="_Toc77942752"/>
      <w:r>
        <w:rPr>
          <w:rFonts w:hint="eastAsia"/>
          <w:color w:val="auto"/>
          <w:highlight w:val="none"/>
        </w:rPr>
        <w:t>监测报警</w:t>
      </w:r>
      <w:bookmarkEnd w:id="119"/>
      <w:bookmarkEnd w:id="120"/>
    </w:p>
    <w:p>
      <w:pPr>
        <w:ind w:firstLine="420" w:firstLineChars="200"/>
        <w:rPr>
          <w:rFonts w:ascii="仿宋_GB2312" w:hAnsi="仿宋"/>
          <w:color w:val="auto"/>
          <w:highlight w:val="none"/>
        </w:rPr>
      </w:pPr>
      <w:r>
        <w:rPr>
          <w:rFonts w:hint="eastAsia" w:ascii="仿宋_GB2312" w:hAnsi="仿宋"/>
          <w:color w:val="auto"/>
          <w:highlight w:val="none"/>
        </w:rPr>
        <w:t>用户可在工作台页面快速查看今日或实时物联网报警情况，包括报警指标数、报警企业数、物联网指标报警的持续时长分布等。</w:t>
      </w:r>
    </w:p>
    <w:p>
      <w:pPr>
        <w:pStyle w:val="5"/>
        <w:keepNext w:val="0"/>
        <w:keepLines w:val="0"/>
        <w:widowControl/>
        <w:numPr>
          <w:ilvl w:val="2"/>
          <w:numId w:val="1"/>
        </w:numPr>
        <w:tabs>
          <w:tab w:val="left" w:pos="0"/>
          <w:tab w:val="left" w:pos="425"/>
          <w:tab w:val="left" w:pos="709"/>
          <w:tab w:val="left" w:pos="851"/>
        </w:tabs>
        <w:spacing w:before="0" w:after="0" w:line="360" w:lineRule="auto"/>
        <w:ind w:left="709" w:hanging="709"/>
        <w:jc w:val="left"/>
        <w:rPr>
          <w:rFonts w:ascii="宋体" w:hAnsi="宋体" w:eastAsia="仿宋_GB2312"/>
          <w:color w:val="auto"/>
          <w:highlight w:val="none"/>
        </w:rPr>
      </w:pPr>
      <w:bookmarkStart w:id="121" w:name="_Toc77942753"/>
      <w:bookmarkStart w:id="122" w:name="_Toc356"/>
      <w:r>
        <w:rPr>
          <w:rFonts w:hint="eastAsia"/>
          <w:color w:val="auto"/>
          <w:highlight w:val="none"/>
        </w:rPr>
        <w:t>联网运行情况</w:t>
      </w:r>
      <w:bookmarkEnd w:id="121"/>
      <w:bookmarkEnd w:id="122"/>
    </w:p>
    <w:p>
      <w:pPr>
        <w:ind w:firstLine="420" w:firstLineChars="200"/>
        <w:rPr>
          <w:rFonts w:ascii="仿宋_GB2312" w:hAnsi="仿宋"/>
          <w:color w:val="auto"/>
          <w:highlight w:val="none"/>
        </w:rPr>
      </w:pPr>
      <w:r>
        <w:rPr>
          <w:rFonts w:hint="eastAsia" w:ascii="仿宋_GB2312" w:hAnsi="仿宋"/>
          <w:color w:val="auto"/>
          <w:highlight w:val="none"/>
        </w:rPr>
        <w:t>监管用户支持查看当前辖区内物联网异常企业，其中包括物联网指标离线企业及占比，视频离线企业及占比。支持查看今日数据上报成功率。</w:t>
      </w:r>
    </w:p>
    <w:p>
      <w:pPr>
        <w:pStyle w:val="5"/>
        <w:keepNext w:val="0"/>
        <w:keepLines w:val="0"/>
        <w:widowControl/>
        <w:numPr>
          <w:ilvl w:val="2"/>
          <w:numId w:val="1"/>
        </w:numPr>
        <w:tabs>
          <w:tab w:val="left" w:pos="0"/>
          <w:tab w:val="left" w:pos="425"/>
          <w:tab w:val="left" w:pos="709"/>
          <w:tab w:val="left" w:pos="851"/>
        </w:tabs>
        <w:spacing w:before="0" w:after="0" w:line="360" w:lineRule="auto"/>
        <w:ind w:left="709" w:hanging="709"/>
        <w:jc w:val="left"/>
        <w:rPr>
          <w:rFonts w:ascii="宋体" w:hAnsi="宋体" w:eastAsia="仿宋_GB2312"/>
          <w:color w:val="auto"/>
          <w:highlight w:val="none"/>
        </w:rPr>
      </w:pPr>
      <w:bookmarkStart w:id="123" w:name="_Toc10985"/>
      <w:bookmarkStart w:id="124" w:name="_Toc77942754"/>
      <w:r>
        <w:rPr>
          <w:rFonts w:hint="eastAsia"/>
          <w:color w:val="auto"/>
          <w:highlight w:val="none"/>
        </w:rPr>
        <w:t>设置工作台</w:t>
      </w:r>
      <w:bookmarkEnd w:id="123"/>
      <w:bookmarkEnd w:id="124"/>
    </w:p>
    <w:p>
      <w:pPr>
        <w:ind w:firstLine="420" w:firstLineChars="200"/>
        <w:rPr>
          <w:rFonts w:ascii="仿宋_GB2312" w:hAnsi="仿宋"/>
          <w:color w:val="auto"/>
          <w:highlight w:val="none"/>
        </w:rPr>
      </w:pPr>
      <w:r>
        <w:rPr>
          <w:rFonts w:hint="eastAsia" w:ascii="仿宋_GB2312" w:hAnsi="仿宋"/>
          <w:color w:val="auto"/>
          <w:highlight w:val="none"/>
        </w:rPr>
        <w:t>用户可设置个人工作台所展示得模块。可在工作台设置弹窗中开启、关闭联网运行、监测报警等功能模块。</w:t>
      </w:r>
    </w:p>
    <w:p>
      <w:pPr>
        <w:pStyle w:val="4"/>
        <w:keepNext w:val="0"/>
        <w:keepLines w:val="0"/>
        <w:widowControl/>
        <w:numPr>
          <w:ilvl w:val="1"/>
          <w:numId w:val="1"/>
        </w:numPr>
        <w:tabs>
          <w:tab w:val="left" w:pos="425"/>
          <w:tab w:val="left" w:pos="600"/>
        </w:tabs>
        <w:spacing w:before="0" w:after="0" w:line="360" w:lineRule="auto"/>
        <w:jc w:val="left"/>
        <w:rPr>
          <w:rFonts w:ascii="仿宋" w:hAnsi="仿宋" w:eastAsia="仿宋"/>
          <w:color w:val="auto"/>
          <w:highlight w:val="none"/>
        </w:rPr>
      </w:pPr>
      <w:bookmarkStart w:id="125" w:name="_Toc673"/>
      <w:r>
        <w:rPr>
          <w:rFonts w:hint="eastAsia"/>
          <w:color w:val="auto"/>
          <w:highlight w:val="none"/>
        </w:rPr>
        <w:t>工贸行业企业端</w:t>
      </w:r>
      <w:bookmarkEnd w:id="125"/>
    </w:p>
    <w:p>
      <w:pPr>
        <w:ind w:firstLine="420" w:firstLineChars="200"/>
        <w:rPr>
          <w:rFonts w:ascii="仿宋_GB2312" w:hAnsi="仿宋"/>
          <w:color w:val="auto"/>
          <w:highlight w:val="none"/>
        </w:rPr>
      </w:pPr>
      <w:r>
        <w:rPr>
          <w:rFonts w:hint="eastAsia" w:ascii="仿宋_GB2312" w:hAnsi="仿宋"/>
          <w:color w:val="auto"/>
          <w:highlight w:val="none"/>
        </w:rPr>
        <w:t>实现工贸行业的监测预警，功能包括综合数据采集系统、风险综合监测系统等子系统。</w:t>
      </w:r>
    </w:p>
    <w:p>
      <w:pPr>
        <w:pStyle w:val="5"/>
        <w:keepNext w:val="0"/>
        <w:keepLines w:val="0"/>
        <w:widowControl/>
        <w:numPr>
          <w:ilvl w:val="2"/>
          <w:numId w:val="1"/>
        </w:numPr>
        <w:tabs>
          <w:tab w:val="left" w:pos="0"/>
          <w:tab w:val="left" w:pos="425"/>
          <w:tab w:val="left" w:pos="709"/>
          <w:tab w:val="left" w:pos="851"/>
        </w:tabs>
        <w:spacing w:before="0" w:after="0" w:line="360" w:lineRule="auto"/>
        <w:ind w:left="709" w:hanging="709"/>
        <w:jc w:val="left"/>
        <w:rPr>
          <w:rFonts w:ascii="宋体" w:hAnsi="宋体" w:eastAsia="仿宋_GB2312"/>
          <w:color w:val="auto"/>
          <w:highlight w:val="none"/>
        </w:rPr>
      </w:pPr>
      <w:bookmarkStart w:id="126" w:name="_Toc25234"/>
      <w:r>
        <w:rPr>
          <w:rFonts w:hint="eastAsia"/>
          <w:color w:val="auto"/>
          <w:highlight w:val="none"/>
        </w:rPr>
        <w:t>综合数据采集子系统</w:t>
      </w:r>
      <w:bookmarkEnd w:id="126"/>
    </w:p>
    <w:p>
      <w:pPr>
        <w:ind w:firstLine="420"/>
        <w:rPr>
          <w:color w:val="auto"/>
          <w:highlight w:val="none"/>
        </w:rPr>
      </w:pPr>
      <w:r>
        <w:rPr>
          <w:rFonts w:hint="eastAsia"/>
          <w:color w:val="auto"/>
          <w:highlight w:val="none"/>
        </w:rPr>
        <w:t>综合数据采集子系统实现工贸行业感知数据采集，并实现行业企业基本信息管理和安全管理管理、综合信息管理、网关信息管理、监测设备管理、监测指标管理，功能包括新增、删除、修改、导出、查询等功能，为实现风险感知、风险评估等提供数据支撑。</w:t>
      </w:r>
    </w:p>
    <w:p>
      <w:pPr>
        <w:pStyle w:val="6"/>
        <w:keepNext w:val="0"/>
        <w:keepLines w:val="0"/>
        <w:widowControl/>
        <w:numPr>
          <w:ilvl w:val="3"/>
          <w:numId w:val="1"/>
        </w:numPr>
        <w:tabs>
          <w:tab w:val="left" w:pos="425"/>
          <w:tab w:val="left" w:pos="709"/>
          <w:tab w:val="left" w:pos="851"/>
          <w:tab w:val="left" w:pos="1080"/>
        </w:tabs>
        <w:spacing w:before="0" w:after="0" w:line="360" w:lineRule="auto"/>
        <w:ind w:left="851" w:right="210" w:rightChars="100" w:hanging="851"/>
        <w:jc w:val="left"/>
        <w:rPr>
          <w:color w:val="auto"/>
          <w:highlight w:val="none"/>
        </w:rPr>
      </w:pPr>
      <w:r>
        <w:rPr>
          <w:rFonts w:hint="eastAsia"/>
          <w:color w:val="auto"/>
          <w:highlight w:val="none"/>
        </w:rPr>
        <w:t>企业信息总览</w:t>
      </w:r>
    </w:p>
    <w:p>
      <w:pPr>
        <w:ind w:firstLine="420"/>
        <w:rPr>
          <w:color w:val="auto"/>
          <w:highlight w:val="none"/>
        </w:rPr>
      </w:pPr>
      <w:r>
        <w:rPr>
          <w:rFonts w:hint="eastAsia"/>
          <w:color w:val="auto"/>
          <w:highlight w:val="none"/>
        </w:rPr>
        <w:t>企业信息总览包括：企业基本信息、生产信息、风险点、网关、物联监测设备、视频接入点等信息。通过企业信息总览能够全面、查看与掌握管辖范围内企业综合情况。</w:t>
      </w:r>
    </w:p>
    <w:p>
      <w:pPr>
        <w:pStyle w:val="6"/>
        <w:keepNext w:val="0"/>
        <w:keepLines w:val="0"/>
        <w:widowControl/>
        <w:numPr>
          <w:ilvl w:val="3"/>
          <w:numId w:val="1"/>
        </w:numPr>
        <w:tabs>
          <w:tab w:val="left" w:pos="425"/>
          <w:tab w:val="left" w:pos="709"/>
          <w:tab w:val="left" w:pos="851"/>
          <w:tab w:val="left" w:pos="1080"/>
        </w:tabs>
        <w:spacing w:before="0" w:after="0" w:line="360" w:lineRule="auto"/>
        <w:ind w:left="851" w:right="210" w:rightChars="100" w:hanging="851"/>
        <w:jc w:val="left"/>
        <w:rPr>
          <w:color w:val="auto"/>
          <w:highlight w:val="none"/>
        </w:rPr>
      </w:pPr>
      <w:r>
        <w:rPr>
          <w:rFonts w:hint="eastAsia"/>
          <w:color w:val="auto"/>
          <w:highlight w:val="none"/>
        </w:rPr>
        <w:t>生产装置信息</w:t>
      </w:r>
    </w:p>
    <w:p>
      <w:pPr>
        <w:tabs>
          <w:tab w:val="left" w:pos="500"/>
        </w:tabs>
        <w:rPr>
          <w:color w:val="auto"/>
          <w:highlight w:val="none"/>
        </w:rPr>
      </w:pPr>
      <w:r>
        <w:rPr>
          <w:rFonts w:hint="eastAsia"/>
          <w:color w:val="auto"/>
          <w:highlight w:val="none"/>
        </w:rPr>
        <w:tab/>
      </w:r>
      <w:r>
        <w:rPr>
          <w:rFonts w:hint="eastAsia"/>
          <w:color w:val="auto"/>
          <w:highlight w:val="none"/>
        </w:rPr>
        <w:t>生产装置是企业加工生产所使用的机械。生产装置信息管理主要对生产装置的设备编码、生产装置名称、储存介质、生产工艺或存储情况简介、安全措施、装置类型、装置描述等信息进行管理。</w:t>
      </w:r>
    </w:p>
    <w:p>
      <w:pPr>
        <w:pStyle w:val="6"/>
        <w:keepNext w:val="0"/>
        <w:keepLines w:val="0"/>
        <w:widowControl/>
        <w:numPr>
          <w:ilvl w:val="3"/>
          <w:numId w:val="1"/>
        </w:numPr>
        <w:tabs>
          <w:tab w:val="left" w:pos="425"/>
          <w:tab w:val="left" w:pos="709"/>
          <w:tab w:val="left" w:pos="851"/>
          <w:tab w:val="left" w:pos="1080"/>
        </w:tabs>
        <w:spacing w:before="0" w:after="0" w:line="360" w:lineRule="auto"/>
        <w:ind w:left="851" w:right="210" w:rightChars="100" w:hanging="851"/>
        <w:jc w:val="left"/>
        <w:rPr>
          <w:color w:val="auto"/>
          <w:highlight w:val="none"/>
        </w:rPr>
      </w:pPr>
      <w:r>
        <w:rPr>
          <w:rFonts w:hint="eastAsia"/>
          <w:color w:val="auto"/>
          <w:highlight w:val="none"/>
        </w:rPr>
        <w:t>网关信息</w:t>
      </w:r>
    </w:p>
    <w:p>
      <w:pPr>
        <w:ind w:firstLine="420" w:firstLineChars="200"/>
        <w:rPr>
          <w:rFonts w:ascii="仿宋_GB2312" w:hAnsi="仿宋"/>
          <w:color w:val="auto"/>
          <w:highlight w:val="none"/>
        </w:rPr>
      </w:pPr>
      <w:r>
        <w:rPr>
          <w:rFonts w:hint="eastAsia" w:ascii="仿宋_GB2312" w:hAnsi="仿宋"/>
          <w:color w:val="auto"/>
          <w:highlight w:val="none"/>
        </w:rPr>
        <w:t>企业用户可通过网关信息模块来维护本企业的所安装的网关设备信息。包括：设备名称（网关名称）、设备编号（网关型号）、供应商、网关类别、IP地址、访问端口、子网掩码、网关地址、安装位置、安装日期、采集频率等。</w:t>
      </w:r>
    </w:p>
    <w:p>
      <w:pPr>
        <w:pStyle w:val="6"/>
        <w:keepNext w:val="0"/>
        <w:keepLines w:val="0"/>
        <w:widowControl/>
        <w:numPr>
          <w:ilvl w:val="3"/>
          <w:numId w:val="1"/>
        </w:numPr>
        <w:tabs>
          <w:tab w:val="left" w:pos="425"/>
          <w:tab w:val="left" w:pos="709"/>
          <w:tab w:val="left" w:pos="851"/>
          <w:tab w:val="left" w:pos="1080"/>
        </w:tabs>
        <w:spacing w:before="0" w:after="0" w:line="360" w:lineRule="auto"/>
        <w:ind w:left="851" w:right="210" w:rightChars="100" w:hanging="851"/>
        <w:jc w:val="left"/>
        <w:rPr>
          <w:rFonts w:hAnsi="Arial" w:eastAsia="仿宋_GB2312" w:cs="宋体"/>
          <w:color w:val="auto"/>
          <w:sz w:val="32"/>
          <w:szCs w:val="24"/>
          <w:highlight w:val="none"/>
        </w:rPr>
      </w:pPr>
      <w:r>
        <w:rPr>
          <w:rFonts w:hint="eastAsia"/>
          <w:color w:val="auto"/>
          <w:highlight w:val="none"/>
        </w:rPr>
        <w:t>监控视频</w:t>
      </w:r>
    </w:p>
    <w:p>
      <w:pPr>
        <w:ind w:firstLine="420"/>
        <w:rPr>
          <w:color w:val="auto"/>
          <w:highlight w:val="none"/>
        </w:rPr>
      </w:pPr>
      <w:r>
        <w:rPr>
          <w:rFonts w:hint="eastAsia"/>
          <w:color w:val="auto"/>
          <w:highlight w:val="none"/>
        </w:rPr>
        <w:t>企业用户可维护本企业已安装的监控视频设备信息，如：视频设备编号、视频设备名称、视频设备型号、视频通道号、对接参数等信息管理。</w:t>
      </w:r>
    </w:p>
    <w:p>
      <w:pPr>
        <w:pStyle w:val="6"/>
        <w:keepNext w:val="0"/>
        <w:keepLines w:val="0"/>
        <w:widowControl/>
        <w:numPr>
          <w:ilvl w:val="3"/>
          <w:numId w:val="1"/>
        </w:numPr>
        <w:tabs>
          <w:tab w:val="left" w:pos="425"/>
          <w:tab w:val="left" w:pos="709"/>
          <w:tab w:val="left" w:pos="851"/>
          <w:tab w:val="left" w:pos="1080"/>
        </w:tabs>
        <w:spacing w:before="0" w:after="0" w:line="360" w:lineRule="auto"/>
        <w:ind w:left="851" w:right="210" w:rightChars="100" w:hanging="851"/>
        <w:jc w:val="left"/>
        <w:rPr>
          <w:color w:val="auto"/>
          <w:highlight w:val="none"/>
        </w:rPr>
      </w:pPr>
      <w:r>
        <w:rPr>
          <w:rFonts w:hint="eastAsia"/>
          <w:color w:val="auto"/>
          <w:highlight w:val="none"/>
        </w:rPr>
        <w:t>泄漏点监测</w:t>
      </w:r>
    </w:p>
    <w:p>
      <w:pPr>
        <w:ind w:firstLine="420"/>
        <w:rPr>
          <w:color w:val="auto"/>
          <w:highlight w:val="none"/>
        </w:rPr>
      </w:pPr>
      <w:r>
        <w:rPr>
          <w:rFonts w:hint="eastAsia"/>
          <w:color w:val="auto"/>
          <w:highlight w:val="none"/>
        </w:rPr>
        <w:t>系统提供泄漏点监测设备维护功能，对企业泄露点监测设备的基础信息进行管理，泄漏点设备基础信息包括传感器名称、传感器类型、监测物质、传感器描述等信息管理等。</w:t>
      </w:r>
    </w:p>
    <w:p>
      <w:pPr>
        <w:pStyle w:val="6"/>
        <w:keepNext w:val="0"/>
        <w:keepLines w:val="0"/>
        <w:widowControl/>
        <w:numPr>
          <w:ilvl w:val="3"/>
          <w:numId w:val="1"/>
        </w:numPr>
        <w:tabs>
          <w:tab w:val="left" w:pos="425"/>
          <w:tab w:val="left" w:pos="709"/>
          <w:tab w:val="left" w:pos="851"/>
          <w:tab w:val="left" w:pos="1080"/>
        </w:tabs>
        <w:spacing w:before="0" w:after="0" w:line="360" w:lineRule="auto"/>
        <w:ind w:left="851" w:right="210" w:rightChars="100" w:hanging="851"/>
        <w:jc w:val="left"/>
        <w:rPr>
          <w:color w:val="auto"/>
          <w:highlight w:val="none"/>
        </w:rPr>
      </w:pPr>
      <w:r>
        <w:rPr>
          <w:rFonts w:hint="eastAsia"/>
          <w:color w:val="auto"/>
          <w:highlight w:val="none"/>
        </w:rPr>
        <w:t>监控指标</w:t>
      </w:r>
    </w:p>
    <w:p>
      <w:pPr>
        <w:ind w:firstLine="420"/>
        <w:rPr>
          <w:color w:val="auto"/>
          <w:highlight w:val="none"/>
        </w:rPr>
      </w:pPr>
      <w:r>
        <w:rPr>
          <w:rFonts w:hint="eastAsia"/>
          <w:color w:val="auto"/>
          <w:highlight w:val="none"/>
        </w:rPr>
        <w:t>实现工贸重点企业感知数据管理，企业用户可通过监控指标模块，将本企业监测设备的监测指标信息进行维护管理，并根据实际需要上报至监管单位。包括：指标名称、监测类型、指标类型、上报计量单位、各级报警阈值上下限等信息。</w:t>
      </w:r>
    </w:p>
    <w:p>
      <w:pPr>
        <w:pStyle w:val="5"/>
        <w:keepNext w:val="0"/>
        <w:keepLines w:val="0"/>
        <w:widowControl/>
        <w:numPr>
          <w:ilvl w:val="2"/>
          <w:numId w:val="1"/>
        </w:numPr>
        <w:tabs>
          <w:tab w:val="left" w:pos="0"/>
          <w:tab w:val="left" w:pos="425"/>
          <w:tab w:val="left" w:pos="709"/>
          <w:tab w:val="left" w:pos="851"/>
        </w:tabs>
        <w:spacing w:before="0" w:after="0" w:line="360" w:lineRule="auto"/>
        <w:ind w:left="709" w:hanging="709"/>
        <w:jc w:val="left"/>
        <w:rPr>
          <w:color w:val="auto"/>
          <w:highlight w:val="none"/>
        </w:rPr>
      </w:pPr>
      <w:bookmarkStart w:id="127" w:name="_Toc8616"/>
      <w:r>
        <w:rPr>
          <w:rFonts w:hint="eastAsia"/>
          <w:color w:val="auto"/>
          <w:highlight w:val="none"/>
        </w:rPr>
        <w:t>风险综合监测子系统</w:t>
      </w:r>
      <w:bookmarkEnd w:id="127"/>
    </w:p>
    <w:p>
      <w:pPr>
        <w:ind w:firstLine="420" w:firstLineChars="200"/>
        <w:rPr>
          <w:rFonts w:ascii="仿宋_GB2312" w:hAnsi="仿宋"/>
          <w:color w:val="auto"/>
          <w:highlight w:val="none"/>
        </w:rPr>
      </w:pPr>
      <w:r>
        <w:rPr>
          <w:rFonts w:hint="eastAsia" w:ascii="仿宋_GB2312" w:hAnsi="仿宋"/>
          <w:color w:val="auto"/>
          <w:highlight w:val="none"/>
        </w:rPr>
        <w:t>通过物联网感知系统采集各类传感器监测数据、视频监控信息、设备运行状态信息，实现工贸行业高危区域风险的实时感知，系统支持实时监测数据的动态展示及日历形式的历史数据展示；根据监测指标的设定阈值系统自动发出报警提醒，并对报警的数据进行分级、分类统计及可视化展示。</w:t>
      </w:r>
    </w:p>
    <w:p>
      <w:pPr>
        <w:pStyle w:val="6"/>
        <w:keepNext w:val="0"/>
        <w:keepLines w:val="0"/>
        <w:widowControl/>
        <w:numPr>
          <w:ilvl w:val="3"/>
          <w:numId w:val="1"/>
        </w:numPr>
        <w:tabs>
          <w:tab w:val="left" w:pos="425"/>
          <w:tab w:val="left" w:pos="709"/>
          <w:tab w:val="left" w:pos="851"/>
          <w:tab w:val="left" w:pos="1080"/>
        </w:tabs>
        <w:spacing w:before="0" w:after="0" w:line="360" w:lineRule="auto"/>
        <w:ind w:left="851" w:right="210" w:rightChars="100" w:hanging="851"/>
        <w:jc w:val="left"/>
        <w:rPr>
          <w:rFonts w:ascii="宋体" w:hAnsi="Arial" w:eastAsia="仿宋_GB2312"/>
          <w:color w:val="auto"/>
          <w:highlight w:val="none"/>
        </w:rPr>
      </w:pPr>
      <w:r>
        <w:rPr>
          <w:rFonts w:hint="eastAsia"/>
          <w:color w:val="auto"/>
          <w:highlight w:val="none"/>
        </w:rPr>
        <w:t>实时数据监测</w:t>
      </w:r>
    </w:p>
    <w:p>
      <w:pPr>
        <w:ind w:firstLine="420" w:firstLineChars="200"/>
        <w:rPr>
          <w:rFonts w:ascii="仿宋_GB2312" w:hAnsi="仿宋"/>
          <w:color w:val="auto"/>
          <w:highlight w:val="none"/>
        </w:rPr>
      </w:pPr>
      <w:r>
        <w:rPr>
          <w:rFonts w:hint="eastAsia" w:ascii="仿宋_GB2312" w:hAnsi="仿宋"/>
          <w:color w:val="auto"/>
          <w:highlight w:val="none"/>
        </w:rPr>
        <w:t>用户可在本模块查看各企业物联网指标数据，重点显示当前有物联网指标报警企业。支持查看各指标历史监测值趋势。支持查看并导出历史物联网指标报警记录。</w:t>
      </w:r>
    </w:p>
    <w:p>
      <w:pPr>
        <w:pStyle w:val="6"/>
        <w:keepNext w:val="0"/>
        <w:keepLines w:val="0"/>
        <w:widowControl/>
        <w:numPr>
          <w:ilvl w:val="3"/>
          <w:numId w:val="1"/>
        </w:numPr>
        <w:tabs>
          <w:tab w:val="left" w:pos="425"/>
          <w:tab w:val="left" w:pos="709"/>
          <w:tab w:val="left" w:pos="851"/>
          <w:tab w:val="left" w:pos="1080"/>
        </w:tabs>
        <w:spacing w:before="0" w:after="0" w:line="360" w:lineRule="auto"/>
        <w:ind w:left="851" w:right="210" w:rightChars="100" w:hanging="851"/>
        <w:jc w:val="left"/>
        <w:rPr>
          <w:rFonts w:ascii="宋体" w:hAnsi="Arial" w:eastAsia="仿宋_GB2312"/>
          <w:color w:val="auto"/>
          <w:highlight w:val="none"/>
        </w:rPr>
      </w:pPr>
      <w:r>
        <w:rPr>
          <w:rFonts w:hint="eastAsia"/>
          <w:color w:val="auto"/>
          <w:highlight w:val="none"/>
        </w:rPr>
        <w:t>视频监测</w:t>
      </w:r>
    </w:p>
    <w:p>
      <w:pPr>
        <w:ind w:firstLine="420" w:firstLineChars="200"/>
        <w:rPr>
          <w:rFonts w:ascii="仿宋_GB2312" w:hAnsi="仿宋"/>
          <w:color w:val="auto"/>
          <w:highlight w:val="none"/>
        </w:rPr>
      </w:pPr>
      <w:r>
        <w:rPr>
          <w:rFonts w:hint="eastAsia" w:ascii="仿宋_GB2312" w:hAnsi="仿宋"/>
          <w:color w:val="auto"/>
          <w:highlight w:val="none"/>
        </w:rPr>
        <w:t>用户可在本模块进行视频巡查，页面重点显示当前有离线视频的企业。视频监测页面也支持多路视频播放，监管用户可跨企业查看多路视频。</w:t>
      </w:r>
    </w:p>
    <w:p>
      <w:pPr>
        <w:pStyle w:val="4"/>
        <w:keepNext w:val="0"/>
        <w:keepLines w:val="0"/>
        <w:widowControl/>
        <w:numPr>
          <w:ilvl w:val="1"/>
          <w:numId w:val="1"/>
        </w:numPr>
        <w:tabs>
          <w:tab w:val="left" w:pos="425"/>
          <w:tab w:val="left" w:pos="600"/>
        </w:tabs>
        <w:spacing w:before="0" w:after="0" w:line="360" w:lineRule="auto"/>
        <w:jc w:val="left"/>
        <w:rPr>
          <w:rFonts w:ascii="仿宋" w:hAnsi="仿宋" w:eastAsia="仿宋"/>
          <w:color w:val="auto"/>
          <w:highlight w:val="none"/>
        </w:rPr>
      </w:pPr>
      <w:bookmarkStart w:id="128" w:name="_Toc19222"/>
      <w:r>
        <w:rPr>
          <w:rFonts w:hint="eastAsia"/>
          <w:color w:val="auto"/>
          <w:highlight w:val="none"/>
        </w:rPr>
        <w:t>工贸行业政府端</w:t>
      </w:r>
      <w:bookmarkEnd w:id="128"/>
    </w:p>
    <w:p>
      <w:pPr>
        <w:ind w:firstLine="420" w:firstLineChars="200"/>
        <w:rPr>
          <w:rFonts w:ascii="仿宋_GB2312" w:hAnsi="仿宋"/>
          <w:color w:val="auto"/>
          <w:highlight w:val="none"/>
        </w:rPr>
      </w:pPr>
      <w:r>
        <w:rPr>
          <w:rFonts w:hint="eastAsia" w:ascii="仿宋_GB2312" w:hAnsi="仿宋"/>
          <w:color w:val="auto"/>
          <w:highlight w:val="none"/>
        </w:rPr>
        <w:t>实现工贸行业的监测预警，功能包括工作台、综合数据采集系统、风险综合监测系统等子系统。</w:t>
      </w:r>
    </w:p>
    <w:p>
      <w:pPr>
        <w:pStyle w:val="5"/>
        <w:keepNext w:val="0"/>
        <w:keepLines w:val="0"/>
        <w:widowControl/>
        <w:numPr>
          <w:ilvl w:val="2"/>
          <w:numId w:val="1"/>
        </w:numPr>
        <w:tabs>
          <w:tab w:val="left" w:pos="0"/>
          <w:tab w:val="left" w:pos="425"/>
          <w:tab w:val="left" w:pos="709"/>
          <w:tab w:val="left" w:pos="851"/>
        </w:tabs>
        <w:spacing w:before="0" w:after="0" w:line="360" w:lineRule="auto"/>
        <w:ind w:left="709" w:hanging="709"/>
        <w:jc w:val="left"/>
        <w:rPr>
          <w:rFonts w:ascii="宋体" w:hAnsi="宋体" w:eastAsia="仿宋_GB2312"/>
          <w:color w:val="auto"/>
          <w:highlight w:val="none"/>
        </w:rPr>
      </w:pPr>
      <w:bookmarkStart w:id="129" w:name="_Toc20585"/>
      <w:bookmarkStart w:id="130" w:name="_Toc34059562"/>
      <w:bookmarkStart w:id="131" w:name="_Toc43910589"/>
      <w:r>
        <w:rPr>
          <w:rFonts w:hint="eastAsia"/>
          <w:color w:val="auto"/>
          <w:highlight w:val="none"/>
        </w:rPr>
        <w:t>工作台子系统</w:t>
      </w:r>
      <w:bookmarkEnd w:id="129"/>
      <w:bookmarkEnd w:id="130"/>
      <w:bookmarkEnd w:id="131"/>
    </w:p>
    <w:p>
      <w:pPr>
        <w:ind w:firstLine="420" w:firstLineChars="200"/>
        <w:rPr>
          <w:rFonts w:ascii="仿宋_GB2312" w:hAnsi="仿宋"/>
          <w:color w:val="auto"/>
          <w:highlight w:val="none"/>
        </w:rPr>
      </w:pPr>
      <w:r>
        <w:rPr>
          <w:rFonts w:hint="eastAsia" w:ascii="仿宋_GB2312" w:hAnsi="仿宋"/>
          <w:color w:val="auto"/>
          <w:highlight w:val="none"/>
        </w:rPr>
        <w:t>首页工作台子系统是用户登录系统的首页，为用户快速找到常用功能提供便捷的入口，可以管理个人信息、系统消息、待办事项，同时将系统的关键数据进行统计分析。工作台支持常用功能设置、自定义系统版面设置等功能。功能主要包括：待办信息提醒、联网运行情况、常用功能设置、自定义系统版面设置等功能。</w:t>
      </w:r>
    </w:p>
    <w:p>
      <w:pPr>
        <w:pStyle w:val="6"/>
        <w:keepNext w:val="0"/>
        <w:keepLines w:val="0"/>
        <w:widowControl/>
        <w:numPr>
          <w:ilvl w:val="3"/>
          <w:numId w:val="1"/>
        </w:numPr>
        <w:tabs>
          <w:tab w:val="left" w:pos="425"/>
          <w:tab w:val="left" w:pos="709"/>
          <w:tab w:val="left" w:pos="851"/>
          <w:tab w:val="left" w:pos="1080"/>
        </w:tabs>
        <w:spacing w:before="0" w:after="0" w:line="360" w:lineRule="auto"/>
        <w:ind w:left="851" w:right="210" w:rightChars="100" w:hanging="851"/>
        <w:jc w:val="left"/>
        <w:rPr>
          <w:rFonts w:ascii="宋体" w:hAnsi="Arial" w:eastAsia="仿宋_GB2312"/>
          <w:color w:val="auto"/>
          <w:highlight w:val="none"/>
        </w:rPr>
      </w:pPr>
      <w:r>
        <w:rPr>
          <w:rFonts w:hint="eastAsia"/>
          <w:color w:val="auto"/>
          <w:highlight w:val="none"/>
        </w:rPr>
        <w:t>接入情况</w:t>
      </w:r>
    </w:p>
    <w:p>
      <w:pPr>
        <w:ind w:firstLine="420" w:firstLineChars="200"/>
        <w:rPr>
          <w:rFonts w:ascii="仿宋_GB2312" w:hAnsi="仿宋"/>
          <w:color w:val="auto"/>
          <w:highlight w:val="none"/>
        </w:rPr>
      </w:pPr>
      <w:r>
        <w:rPr>
          <w:rFonts w:hint="eastAsia" w:ascii="仿宋_GB2312" w:hAnsi="仿宋"/>
          <w:color w:val="auto"/>
          <w:highlight w:val="none"/>
        </w:rPr>
        <w:t>监管用户可在工作台页面快速查看当前直管企业的接入情况，及其重大危险源、重点监管工艺、监测设备接入情况。</w:t>
      </w:r>
    </w:p>
    <w:p>
      <w:pPr>
        <w:pStyle w:val="6"/>
        <w:keepNext w:val="0"/>
        <w:keepLines w:val="0"/>
        <w:widowControl/>
        <w:numPr>
          <w:ilvl w:val="3"/>
          <w:numId w:val="1"/>
        </w:numPr>
        <w:tabs>
          <w:tab w:val="left" w:pos="425"/>
          <w:tab w:val="left" w:pos="709"/>
          <w:tab w:val="left" w:pos="851"/>
          <w:tab w:val="left" w:pos="1080"/>
        </w:tabs>
        <w:spacing w:before="0" w:after="0" w:line="360" w:lineRule="auto"/>
        <w:ind w:left="851" w:right="210" w:rightChars="100" w:hanging="851"/>
        <w:jc w:val="left"/>
        <w:rPr>
          <w:color w:val="auto"/>
          <w:highlight w:val="none"/>
        </w:rPr>
      </w:pPr>
      <w:r>
        <w:rPr>
          <w:rFonts w:hint="eastAsia"/>
          <w:color w:val="auto"/>
          <w:highlight w:val="none"/>
        </w:rPr>
        <w:t>监测报警</w:t>
      </w:r>
    </w:p>
    <w:p>
      <w:pPr>
        <w:ind w:firstLine="420" w:firstLineChars="200"/>
        <w:rPr>
          <w:rFonts w:ascii="仿宋_GB2312" w:hAnsi="仿宋"/>
          <w:color w:val="auto"/>
          <w:highlight w:val="none"/>
        </w:rPr>
      </w:pPr>
      <w:r>
        <w:rPr>
          <w:rFonts w:hint="eastAsia" w:ascii="仿宋_GB2312" w:hAnsi="仿宋"/>
          <w:color w:val="auto"/>
          <w:highlight w:val="none"/>
        </w:rPr>
        <w:t>用户可在工作台页面快速查看今日或实时物联网报警情况，包括报警指标数、报警企业数、物联网指标报警的持续时长分布等。</w:t>
      </w:r>
    </w:p>
    <w:p>
      <w:pPr>
        <w:pStyle w:val="6"/>
        <w:keepNext w:val="0"/>
        <w:keepLines w:val="0"/>
        <w:widowControl/>
        <w:numPr>
          <w:ilvl w:val="3"/>
          <w:numId w:val="1"/>
        </w:numPr>
        <w:tabs>
          <w:tab w:val="left" w:pos="425"/>
          <w:tab w:val="left" w:pos="709"/>
          <w:tab w:val="left" w:pos="851"/>
          <w:tab w:val="left" w:pos="1080"/>
        </w:tabs>
        <w:spacing w:before="0" w:after="0" w:line="360" w:lineRule="auto"/>
        <w:ind w:left="851" w:right="210" w:rightChars="100" w:hanging="851"/>
        <w:jc w:val="left"/>
        <w:rPr>
          <w:color w:val="auto"/>
          <w:highlight w:val="none"/>
        </w:rPr>
      </w:pPr>
      <w:r>
        <w:rPr>
          <w:rFonts w:hint="eastAsia"/>
          <w:color w:val="auto"/>
          <w:highlight w:val="none"/>
        </w:rPr>
        <w:t>联网运行情况</w:t>
      </w:r>
    </w:p>
    <w:p>
      <w:pPr>
        <w:ind w:firstLine="420"/>
        <w:rPr>
          <w:color w:val="auto"/>
          <w:highlight w:val="none"/>
        </w:rPr>
      </w:pPr>
      <w:r>
        <w:rPr>
          <w:rFonts w:hint="eastAsia"/>
          <w:color w:val="auto"/>
          <w:highlight w:val="none"/>
        </w:rPr>
        <w:t>监管用户支持查看当前辖区内物联网异常企业，其中包括物联网指标离线企业及占比，视频离线企业及占比。支持查看今日数据上报成功率。</w:t>
      </w:r>
    </w:p>
    <w:p>
      <w:pPr>
        <w:pStyle w:val="6"/>
        <w:keepNext w:val="0"/>
        <w:keepLines w:val="0"/>
        <w:widowControl/>
        <w:numPr>
          <w:ilvl w:val="3"/>
          <w:numId w:val="1"/>
        </w:numPr>
        <w:tabs>
          <w:tab w:val="left" w:pos="425"/>
          <w:tab w:val="left" w:pos="709"/>
          <w:tab w:val="left" w:pos="851"/>
          <w:tab w:val="left" w:pos="1080"/>
        </w:tabs>
        <w:spacing w:before="0" w:after="0" w:line="360" w:lineRule="auto"/>
        <w:ind w:left="851" w:right="210" w:rightChars="100" w:hanging="851"/>
        <w:jc w:val="left"/>
        <w:rPr>
          <w:color w:val="auto"/>
          <w:highlight w:val="none"/>
        </w:rPr>
      </w:pPr>
      <w:r>
        <w:rPr>
          <w:rFonts w:hint="eastAsia"/>
          <w:color w:val="auto"/>
          <w:highlight w:val="none"/>
        </w:rPr>
        <w:t>设置工作台</w:t>
      </w:r>
    </w:p>
    <w:p>
      <w:pPr>
        <w:ind w:firstLine="420"/>
        <w:rPr>
          <w:color w:val="auto"/>
          <w:highlight w:val="none"/>
        </w:rPr>
      </w:pPr>
      <w:r>
        <w:rPr>
          <w:rFonts w:hint="eastAsia"/>
          <w:color w:val="auto"/>
          <w:highlight w:val="none"/>
        </w:rPr>
        <w:t>用户可设置个人工作台所展示得模块。可在工作台设置弹窗中开启、关闭联网运行、监测报警、安全承诺等功能模块。</w:t>
      </w:r>
    </w:p>
    <w:p>
      <w:pPr>
        <w:pStyle w:val="5"/>
        <w:keepNext w:val="0"/>
        <w:keepLines w:val="0"/>
        <w:widowControl/>
        <w:numPr>
          <w:ilvl w:val="2"/>
          <w:numId w:val="1"/>
        </w:numPr>
        <w:tabs>
          <w:tab w:val="left" w:pos="0"/>
          <w:tab w:val="left" w:pos="425"/>
          <w:tab w:val="left" w:pos="709"/>
          <w:tab w:val="left" w:pos="851"/>
        </w:tabs>
        <w:spacing w:before="0" w:after="0" w:line="360" w:lineRule="auto"/>
        <w:ind w:left="709" w:hanging="709"/>
        <w:jc w:val="left"/>
        <w:rPr>
          <w:color w:val="auto"/>
          <w:highlight w:val="none"/>
        </w:rPr>
      </w:pPr>
      <w:bookmarkStart w:id="132" w:name="_Toc43910591"/>
      <w:bookmarkStart w:id="133" w:name="_Toc23183"/>
      <w:r>
        <w:rPr>
          <w:rFonts w:hint="eastAsia"/>
          <w:color w:val="auto"/>
          <w:highlight w:val="none"/>
        </w:rPr>
        <w:t>综合数据采集子系统</w:t>
      </w:r>
      <w:bookmarkEnd w:id="132"/>
      <w:bookmarkEnd w:id="133"/>
    </w:p>
    <w:p>
      <w:pPr>
        <w:ind w:firstLine="420"/>
        <w:rPr>
          <w:color w:val="auto"/>
          <w:highlight w:val="none"/>
        </w:rPr>
      </w:pPr>
      <w:r>
        <w:rPr>
          <w:rFonts w:hint="eastAsia"/>
          <w:color w:val="auto"/>
          <w:highlight w:val="none"/>
        </w:rPr>
        <w:t>综合数据采集子系统实现工贸行业感知数据采集，并实现行业企业基本信息管理和安全管理管理、综合信息管理、网关信息管理、监测设备管理、监测指标管理，功能包括新增、删除、修改、导出、查询等功能，为实现风险感知、风险评估等提供数据支撑。</w:t>
      </w:r>
      <w:bookmarkStart w:id="134" w:name="_Toc34059564"/>
    </w:p>
    <w:p>
      <w:pPr>
        <w:pStyle w:val="6"/>
        <w:keepNext w:val="0"/>
        <w:keepLines w:val="0"/>
        <w:widowControl/>
        <w:numPr>
          <w:ilvl w:val="3"/>
          <w:numId w:val="1"/>
        </w:numPr>
        <w:tabs>
          <w:tab w:val="left" w:pos="425"/>
          <w:tab w:val="left" w:pos="709"/>
          <w:tab w:val="left" w:pos="851"/>
          <w:tab w:val="left" w:pos="1080"/>
        </w:tabs>
        <w:spacing w:before="0" w:after="0" w:line="360" w:lineRule="auto"/>
        <w:ind w:left="851" w:right="210" w:rightChars="100" w:hanging="851"/>
        <w:jc w:val="left"/>
        <w:rPr>
          <w:color w:val="auto"/>
          <w:highlight w:val="none"/>
        </w:rPr>
      </w:pPr>
      <w:r>
        <w:rPr>
          <w:rFonts w:hint="eastAsia"/>
          <w:color w:val="auto"/>
          <w:highlight w:val="none"/>
        </w:rPr>
        <w:t>企业信息总览</w:t>
      </w:r>
    </w:p>
    <w:p>
      <w:pPr>
        <w:ind w:firstLine="420"/>
        <w:rPr>
          <w:color w:val="auto"/>
          <w:highlight w:val="none"/>
        </w:rPr>
      </w:pPr>
      <w:r>
        <w:rPr>
          <w:rFonts w:hint="eastAsia"/>
          <w:color w:val="auto"/>
          <w:highlight w:val="none"/>
        </w:rPr>
        <w:t>企业信息总览包括：企业基本信息、生产信息、风险点、网关、物联监测设备、视频接入点等信息。通过企业信息总览能够全面、查看与掌握管辖范围内企业综合情况。</w:t>
      </w:r>
    </w:p>
    <w:p>
      <w:pPr>
        <w:pStyle w:val="6"/>
        <w:keepNext w:val="0"/>
        <w:keepLines w:val="0"/>
        <w:widowControl/>
        <w:numPr>
          <w:ilvl w:val="3"/>
          <w:numId w:val="1"/>
        </w:numPr>
        <w:tabs>
          <w:tab w:val="left" w:pos="425"/>
          <w:tab w:val="left" w:pos="709"/>
          <w:tab w:val="left" w:pos="851"/>
          <w:tab w:val="left" w:pos="1080"/>
        </w:tabs>
        <w:spacing w:before="0" w:after="0" w:line="360" w:lineRule="auto"/>
        <w:ind w:left="851" w:right="210" w:rightChars="100" w:hanging="851"/>
        <w:jc w:val="left"/>
        <w:rPr>
          <w:color w:val="auto"/>
          <w:highlight w:val="none"/>
        </w:rPr>
      </w:pPr>
      <w:r>
        <w:rPr>
          <w:rFonts w:hint="eastAsia"/>
          <w:color w:val="auto"/>
          <w:highlight w:val="none"/>
        </w:rPr>
        <w:t>生产装置信息</w:t>
      </w:r>
    </w:p>
    <w:p>
      <w:pPr>
        <w:tabs>
          <w:tab w:val="left" w:pos="500"/>
        </w:tabs>
        <w:rPr>
          <w:color w:val="auto"/>
          <w:highlight w:val="none"/>
        </w:rPr>
      </w:pPr>
      <w:r>
        <w:rPr>
          <w:rFonts w:hint="eastAsia"/>
          <w:color w:val="auto"/>
          <w:highlight w:val="none"/>
        </w:rPr>
        <w:tab/>
      </w:r>
      <w:r>
        <w:rPr>
          <w:rFonts w:hint="eastAsia"/>
          <w:color w:val="auto"/>
          <w:highlight w:val="none"/>
        </w:rPr>
        <w:t>生产装置是企业加工生产所使用的机械。生产装置信息管理主要对生产装置的设备编码、生产装置名称、储存介质CAS_CODE、储存介质中文名称、生产工艺或存储情况简介、安全措施、装置类型、装置描述等信息进行管理。政府端可以查看所管辖范围内所有生产装置信息。</w:t>
      </w:r>
    </w:p>
    <w:p>
      <w:pPr>
        <w:pStyle w:val="6"/>
        <w:keepNext w:val="0"/>
        <w:keepLines w:val="0"/>
        <w:widowControl/>
        <w:numPr>
          <w:ilvl w:val="3"/>
          <w:numId w:val="1"/>
        </w:numPr>
        <w:tabs>
          <w:tab w:val="left" w:pos="425"/>
          <w:tab w:val="left" w:pos="709"/>
          <w:tab w:val="left" w:pos="851"/>
          <w:tab w:val="left" w:pos="1080"/>
        </w:tabs>
        <w:spacing w:before="0" w:after="0" w:line="360" w:lineRule="auto"/>
        <w:ind w:left="851" w:right="210" w:rightChars="100" w:hanging="851"/>
        <w:jc w:val="left"/>
        <w:rPr>
          <w:color w:val="auto"/>
          <w:highlight w:val="none"/>
        </w:rPr>
      </w:pPr>
      <w:r>
        <w:rPr>
          <w:rFonts w:hint="eastAsia"/>
          <w:color w:val="auto"/>
          <w:highlight w:val="none"/>
        </w:rPr>
        <w:t>网关信息</w:t>
      </w:r>
    </w:p>
    <w:p>
      <w:pPr>
        <w:tabs>
          <w:tab w:val="left" w:pos="500"/>
        </w:tabs>
        <w:ind w:firstLine="420" w:firstLineChars="200"/>
        <w:rPr>
          <w:color w:val="auto"/>
          <w:highlight w:val="none"/>
        </w:rPr>
      </w:pPr>
      <w:r>
        <w:rPr>
          <w:rFonts w:hint="eastAsia"/>
          <w:color w:val="auto"/>
          <w:highlight w:val="none"/>
        </w:rPr>
        <w:t>企业上报实时数据经由网关进行处理，网关信息主要对网关设备本身进行维护，网关信息包括：设备名称（网关名称）、设备编号（网关型号）、供应商、网关类别、IP地址、访问端口、子网掩码、网关地址、安装位置、安装日期、采集频率等。政府端可以查看所管辖范围内所有网关设备信息。</w:t>
      </w:r>
    </w:p>
    <w:p>
      <w:pPr>
        <w:pStyle w:val="6"/>
        <w:keepNext w:val="0"/>
        <w:keepLines w:val="0"/>
        <w:widowControl/>
        <w:numPr>
          <w:ilvl w:val="3"/>
          <w:numId w:val="1"/>
        </w:numPr>
        <w:tabs>
          <w:tab w:val="left" w:pos="425"/>
          <w:tab w:val="left" w:pos="709"/>
          <w:tab w:val="left" w:pos="851"/>
          <w:tab w:val="left" w:pos="1080"/>
        </w:tabs>
        <w:spacing w:before="0" w:after="0" w:line="360" w:lineRule="auto"/>
        <w:ind w:left="851" w:right="210" w:rightChars="100" w:hanging="851"/>
        <w:jc w:val="left"/>
        <w:rPr>
          <w:color w:val="auto"/>
          <w:highlight w:val="none"/>
        </w:rPr>
      </w:pPr>
      <w:r>
        <w:rPr>
          <w:rFonts w:hint="eastAsia"/>
          <w:color w:val="auto"/>
          <w:highlight w:val="none"/>
        </w:rPr>
        <w:t>监控视频</w:t>
      </w:r>
    </w:p>
    <w:p>
      <w:pPr>
        <w:tabs>
          <w:tab w:val="left" w:pos="500"/>
        </w:tabs>
        <w:ind w:firstLine="420" w:firstLineChars="200"/>
        <w:rPr>
          <w:color w:val="auto"/>
          <w:highlight w:val="none"/>
        </w:rPr>
      </w:pPr>
      <w:r>
        <w:rPr>
          <w:rFonts w:hint="eastAsia"/>
          <w:color w:val="auto"/>
          <w:highlight w:val="none"/>
        </w:rPr>
        <w:t>视频监控是通过主机可对企业监控区域范围内的图像进行实时观看、录入、回放、调出及储存等操作，从而实现移动互联的视频监控。监控视频主要对视频设备基础进行维护记录，如：视频设备编号、视频设备名称、视频设备型号、视频通道号、对接参数等信息管理。政府端可以查看所管辖范围内所有监控视频设备信息。</w:t>
      </w:r>
    </w:p>
    <w:p>
      <w:pPr>
        <w:pStyle w:val="6"/>
        <w:keepNext w:val="0"/>
        <w:keepLines w:val="0"/>
        <w:widowControl/>
        <w:numPr>
          <w:ilvl w:val="3"/>
          <w:numId w:val="1"/>
        </w:numPr>
        <w:tabs>
          <w:tab w:val="left" w:pos="425"/>
          <w:tab w:val="left" w:pos="709"/>
          <w:tab w:val="left" w:pos="851"/>
          <w:tab w:val="left" w:pos="1080"/>
        </w:tabs>
        <w:spacing w:before="0" w:after="0" w:line="360" w:lineRule="auto"/>
        <w:ind w:left="851" w:right="210" w:rightChars="100" w:hanging="851"/>
        <w:jc w:val="left"/>
        <w:rPr>
          <w:color w:val="auto"/>
          <w:highlight w:val="none"/>
        </w:rPr>
      </w:pPr>
      <w:r>
        <w:rPr>
          <w:rFonts w:hint="eastAsia"/>
          <w:color w:val="auto"/>
          <w:highlight w:val="none"/>
        </w:rPr>
        <w:t>泄漏点监测</w:t>
      </w:r>
    </w:p>
    <w:p>
      <w:pPr>
        <w:ind w:firstLine="420"/>
        <w:rPr>
          <w:color w:val="auto"/>
          <w:highlight w:val="none"/>
        </w:rPr>
      </w:pPr>
      <w:r>
        <w:rPr>
          <w:rFonts w:hint="eastAsia"/>
          <w:color w:val="auto"/>
          <w:highlight w:val="none"/>
        </w:rPr>
        <w:t>系统提供泄漏点监测设备维护功能，对工贸企业泄露点监测设备的基础信息进行管理，泄漏点设备基础信息包括传感器名称、传感器类型、监测物质、传感器描述等信息管理等。</w:t>
      </w:r>
    </w:p>
    <w:p>
      <w:pPr>
        <w:pStyle w:val="6"/>
        <w:keepNext w:val="0"/>
        <w:keepLines w:val="0"/>
        <w:widowControl/>
        <w:numPr>
          <w:ilvl w:val="3"/>
          <w:numId w:val="1"/>
        </w:numPr>
        <w:tabs>
          <w:tab w:val="left" w:pos="425"/>
          <w:tab w:val="left" w:pos="709"/>
          <w:tab w:val="left" w:pos="851"/>
          <w:tab w:val="left" w:pos="1080"/>
        </w:tabs>
        <w:spacing w:before="0" w:after="0" w:line="360" w:lineRule="auto"/>
        <w:ind w:left="851" w:right="210" w:rightChars="100" w:hanging="851"/>
        <w:jc w:val="left"/>
        <w:rPr>
          <w:color w:val="auto"/>
          <w:highlight w:val="none"/>
        </w:rPr>
      </w:pPr>
      <w:r>
        <w:rPr>
          <w:rFonts w:hint="eastAsia"/>
          <w:color w:val="auto"/>
          <w:highlight w:val="none"/>
        </w:rPr>
        <w:t>监控指标</w:t>
      </w:r>
    </w:p>
    <w:p>
      <w:pPr>
        <w:ind w:firstLine="420"/>
        <w:rPr>
          <w:color w:val="auto"/>
          <w:highlight w:val="none"/>
        </w:rPr>
      </w:pPr>
      <w:r>
        <w:rPr>
          <w:rFonts w:hint="eastAsia"/>
          <w:color w:val="auto"/>
          <w:highlight w:val="none"/>
        </w:rPr>
        <w:t>实现工贸重点企业感知数据管理，通过在企业部署生产数据感知监测设备的采集适配器，获取企业实时监测数据，实现对可燃性粉尘、液氨制冷、金属熔铸、工业煤气、有限空间的气体浓度、泄漏报警、风速、气压、侵入行为、人数、连续工作时限、设备运行状况和安全用电等感知数据的管理，实现指标的查看等功能。</w:t>
      </w:r>
    </w:p>
    <w:p>
      <w:pPr>
        <w:pStyle w:val="6"/>
        <w:keepNext w:val="0"/>
        <w:keepLines w:val="0"/>
        <w:widowControl/>
        <w:numPr>
          <w:ilvl w:val="3"/>
          <w:numId w:val="1"/>
        </w:numPr>
        <w:tabs>
          <w:tab w:val="left" w:pos="425"/>
          <w:tab w:val="left" w:pos="709"/>
          <w:tab w:val="left" w:pos="851"/>
          <w:tab w:val="left" w:pos="1080"/>
        </w:tabs>
        <w:spacing w:before="0" w:after="0" w:line="360" w:lineRule="auto"/>
        <w:ind w:left="851" w:right="210" w:rightChars="100" w:hanging="851"/>
        <w:jc w:val="left"/>
        <w:rPr>
          <w:color w:val="auto"/>
          <w:highlight w:val="none"/>
        </w:rPr>
      </w:pPr>
      <w:r>
        <w:rPr>
          <w:rFonts w:hint="eastAsia"/>
          <w:color w:val="auto"/>
          <w:highlight w:val="none"/>
        </w:rPr>
        <w:t>静态数据审核</w:t>
      </w:r>
    </w:p>
    <w:p>
      <w:pPr>
        <w:ind w:firstLine="420"/>
        <w:rPr>
          <w:color w:val="auto"/>
          <w:highlight w:val="none"/>
        </w:rPr>
      </w:pPr>
      <w:r>
        <w:rPr>
          <w:rFonts w:hint="eastAsia"/>
          <w:color w:val="auto"/>
          <w:highlight w:val="none"/>
        </w:rPr>
        <w:t>企业用户更新企业静态数据后，监管用户对企业提交的静态数据进行审核。审批通过后修改数据生效，审批驳回时企业所更改的数据无效。</w:t>
      </w:r>
    </w:p>
    <w:p>
      <w:pPr>
        <w:pStyle w:val="5"/>
        <w:keepNext w:val="0"/>
        <w:keepLines w:val="0"/>
        <w:widowControl/>
        <w:numPr>
          <w:ilvl w:val="2"/>
          <w:numId w:val="1"/>
        </w:numPr>
        <w:tabs>
          <w:tab w:val="left" w:pos="0"/>
          <w:tab w:val="left" w:pos="425"/>
          <w:tab w:val="left" w:pos="709"/>
          <w:tab w:val="left" w:pos="851"/>
        </w:tabs>
        <w:spacing w:before="0" w:after="0" w:line="360" w:lineRule="auto"/>
        <w:ind w:left="709" w:hanging="709"/>
        <w:jc w:val="left"/>
        <w:rPr>
          <w:color w:val="auto"/>
          <w:highlight w:val="none"/>
        </w:rPr>
      </w:pPr>
      <w:bookmarkStart w:id="135" w:name="_Toc20720"/>
      <w:bookmarkStart w:id="136" w:name="_Toc43910592"/>
      <w:r>
        <w:rPr>
          <w:rFonts w:hint="eastAsia"/>
          <w:color w:val="auto"/>
          <w:highlight w:val="none"/>
        </w:rPr>
        <w:t>风险综合监测子系统</w:t>
      </w:r>
      <w:bookmarkEnd w:id="134"/>
      <w:bookmarkEnd w:id="135"/>
      <w:bookmarkEnd w:id="136"/>
    </w:p>
    <w:p>
      <w:pPr>
        <w:ind w:firstLine="420" w:firstLineChars="200"/>
        <w:rPr>
          <w:rFonts w:ascii="仿宋_GB2312" w:hAnsi="仿宋"/>
          <w:color w:val="auto"/>
          <w:highlight w:val="none"/>
        </w:rPr>
      </w:pPr>
      <w:r>
        <w:rPr>
          <w:rFonts w:hint="eastAsia" w:ascii="仿宋_GB2312" w:hAnsi="仿宋"/>
          <w:color w:val="auto"/>
          <w:highlight w:val="none"/>
        </w:rPr>
        <w:t>通过物联网感知系统采集各类传感器监测数据、视频监控信息、设备运行状态信息，实现工贸行业高危区域风险的实时感知，系统支持实时监测数据的动态展示及日历形式的历史数据展示；根据监测指标的设定阈值系统自动发出报警提醒，并对报警的数据进行分级、分类统计及可视化展示。</w:t>
      </w:r>
    </w:p>
    <w:p>
      <w:pPr>
        <w:pStyle w:val="6"/>
        <w:keepNext w:val="0"/>
        <w:keepLines w:val="0"/>
        <w:widowControl/>
        <w:numPr>
          <w:ilvl w:val="3"/>
          <w:numId w:val="1"/>
        </w:numPr>
        <w:tabs>
          <w:tab w:val="left" w:pos="425"/>
          <w:tab w:val="left" w:pos="709"/>
          <w:tab w:val="left" w:pos="851"/>
          <w:tab w:val="left" w:pos="1080"/>
        </w:tabs>
        <w:spacing w:before="0" w:after="0" w:line="360" w:lineRule="auto"/>
        <w:ind w:left="851" w:right="210" w:rightChars="100" w:hanging="851"/>
        <w:jc w:val="left"/>
        <w:rPr>
          <w:rFonts w:ascii="宋体" w:hAnsi="Arial" w:eastAsia="仿宋_GB2312"/>
          <w:color w:val="auto"/>
          <w:highlight w:val="none"/>
        </w:rPr>
      </w:pPr>
      <w:r>
        <w:rPr>
          <w:rFonts w:hint="eastAsia"/>
          <w:color w:val="auto"/>
          <w:highlight w:val="none"/>
        </w:rPr>
        <w:t>实时数据监测</w:t>
      </w:r>
    </w:p>
    <w:p>
      <w:pPr>
        <w:ind w:firstLine="420" w:firstLineChars="200"/>
        <w:rPr>
          <w:rFonts w:ascii="仿宋_GB2312" w:hAnsi="仿宋"/>
          <w:color w:val="auto"/>
          <w:highlight w:val="none"/>
        </w:rPr>
      </w:pPr>
      <w:r>
        <w:rPr>
          <w:rFonts w:hint="eastAsia" w:ascii="仿宋_GB2312" w:hAnsi="仿宋"/>
          <w:color w:val="auto"/>
          <w:highlight w:val="none"/>
        </w:rPr>
        <w:t>用户可在本模块查看各企业物联网指标数据，重点显示当前有物联网指标报警企业。支持查看各指标历史监测值趋势。支持查看并导出历史物联网指标报警记录。</w:t>
      </w:r>
    </w:p>
    <w:p>
      <w:pPr>
        <w:pStyle w:val="6"/>
        <w:keepNext w:val="0"/>
        <w:keepLines w:val="0"/>
        <w:widowControl/>
        <w:numPr>
          <w:ilvl w:val="3"/>
          <w:numId w:val="1"/>
        </w:numPr>
        <w:tabs>
          <w:tab w:val="left" w:pos="425"/>
          <w:tab w:val="left" w:pos="709"/>
          <w:tab w:val="left" w:pos="851"/>
          <w:tab w:val="left" w:pos="1080"/>
        </w:tabs>
        <w:spacing w:before="0" w:after="0" w:line="360" w:lineRule="auto"/>
        <w:ind w:left="851" w:right="210" w:rightChars="100" w:hanging="851"/>
        <w:jc w:val="left"/>
        <w:rPr>
          <w:rFonts w:ascii="宋体" w:hAnsi="Arial" w:eastAsia="仿宋_GB2312"/>
          <w:color w:val="auto"/>
          <w:highlight w:val="none"/>
        </w:rPr>
      </w:pPr>
      <w:r>
        <w:rPr>
          <w:rFonts w:hint="eastAsia"/>
          <w:color w:val="auto"/>
          <w:highlight w:val="none"/>
        </w:rPr>
        <w:t>视频监测</w:t>
      </w:r>
    </w:p>
    <w:p>
      <w:pPr>
        <w:ind w:firstLine="420" w:firstLineChars="200"/>
        <w:rPr>
          <w:rFonts w:ascii="仿宋_GB2312" w:hAnsi="仿宋"/>
          <w:color w:val="auto"/>
          <w:highlight w:val="none"/>
        </w:rPr>
      </w:pPr>
      <w:r>
        <w:rPr>
          <w:rFonts w:hint="eastAsia" w:ascii="仿宋_GB2312" w:hAnsi="仿宋"/>
          <w:color w:val="auto"/>
          <w:highlight w:val="none"/>
        </w:rPr>
        <w:t>用户可在本模块进行视频巡查，页面重点显示当前有离线视频的企业。视频监测页面也支持多路视频播放，监管用户可跨企业查看多路视频。</w:t>
      </w:r>
    </w:p>
    <w:p>
      <w:pPr>
        <w:pStyle w:val="4"/>
        <w:keepNext w:val="0"/>
        <w:keepLines w:val="0"/>
        <w:widowControl/>
        <w:numPr>
          <w:ilvl w:val="1"/>
          <w:numId w:val="1"/>
        </w:numPr>
        <w:tabs>
          <w:tab w:val="left" w:pos="425"/>
          <w:tab w:val="left" w:pos="600"/>
        </w:tabs>
        <w:spacing w:before="0" w:after="0" w:line="360" w:lineRule="auto"/>
        <w:jc w:val="left"/>
        <w:rPr>
          <w:rFonts w:ascii="宋体" w:hAnsi="宋体" w:eastAsia="仿宋_GB2312"/>
          <w:color w:val="auto"/>
          <w:highlight w:val="none"/>
        </w:rPr>
      </w:pPr>
      <w:bookmarkStart w:id="137" w:name="_Toc60060247"/>
      <w:bookmarkStart w:id="138" w:name="_Toc17860"/>
      <w:r>
        <w:rPr>
          <w:rFonts w:hint="eastAsia"/>
          <w:color w:val="auto"/>
          <w:highlight w:val="none"/>
        </w:rPr>
        <w:t>平台纵向互联互通对接方案</w:t>
      </w:r>
      <w:bookmarkEnd w:id="137"/>
      <w:bookmarkEnd w:id="138"/>
    </w:p>
    <w:p>
      <w:pPr>
        <w:ind w:firstLine="420"/>
        <w:rPr>
          <w:rFonts w:ascii="仿宋_GB2312" w:hAnsi="仿宋"/>
          <w:color w:val="auto"/>
          <w:highlight w:val="none"/>
        </w:rPr>
      </w:pPr>
      <w:r>
        <w:rPr>
          <w:rFonts w:hint="eastAsia" w:ascii="仿宋_GB2312" w:hAnsi="仿宋"/>
          <w:color w:val="auto"/>
          <w:highlight w:val="none"/>
        </w:rPr>
        <w:t>包括互联互通的数据内容，数据汇聚整理方式方法，地市与自治区对接方式，自治区与应急管理部对接等内容。</w:t>
      </w:r>
    </w:p>
    <w:p>
      <w:pPr>
        <w:pStyle w:val="5"/>
        <w:keepNext w:val="0"/>
        <w:keepLines w:val="0"/>
        <w:widowControl/>
        <w:numPr>
          <w:ilvl w:val="2"/>
          <w:numId w:val="1"/>
        </w:numPr>
        <w:tabs>
          <w:tab w:val="left" w:pos="0"/>
          <w:tab w:val="left" w:pos="425"/>
          <w:tab w:val="left" w:pos="709"/>
          <w:tab w:val="left" w:pos="851"/>
        </w:tabs>
        <w:spacing w:before="0" w:after="0" w:line="360" w:lineRule="auto"/>
        <w:ind w:left="709" w:hanging="709"/>
        <w:jc w:val="left"/>
        <w:rPr>
          <w:rFonts w:ascii="宋体" w:hAnsi="宋体"/>
          <w:color w:val="auto"/>
          <w:highlight w:val="none"/>
        </w:rPr>
      </w:pPr>
      <w:bookmarkStart w:id="139" w:name="_Toc23568"/>
      <w:bookmarkStart w:id="140" w:name="_Toc60060248"/>
      <w:r>
        <w:rPr>
          <w:rFonts w:hint="eastAsia"/>
          <w:color w:val="auto"/>
          <w:highlight w:val="none"/>
        </w:rPr>
        <w:t>接入数据分类</w:t>
      </w:r>
      <w:bookmarkEnd w:id="139"/>
      <w:bookmarkEnd w:id="140"/>
    </w:p>
    <w:p>
      <w:pPr>
        <w:pStyle w:val="6"/>
        <w:keepNext w:val="0"/>
        <w:keepLines w:val="0"/>
        <w:widowControl/>
        <w:numPr>
          <w:ilvl w:val="3"/>
          <w:numId w:val="1"/>
        </w:numPr>
        <w:tabs>
          <w:tab w:val="left" w:pos="425"/>
          <w:tab w:val="left" w:pos="709"/>
          <w:tab w:val="left" w:pos="851"/>
          <w:tab w:val="left" w:pos="1080"/>
        </w:tabs>
        <w:spacing w:before="0" w:after="0" w:line="360" w:lineRule="auto"/>
        <w:ind w:left="851" w:right="210" w:rightChars="100" w:hanging="851"/>
        <w:jc w:val="left"/>
        <w:rPr>
          <w:color w:val="auto"/>
          <w:highlight w:val="none"/>
        </w:rPr>
      </w:pPr>
      <w:r>
        <w:rPr>
          <w:rFonts w:hint="eastAsia"/>
          <w:color w:val="auto"/>
          <w:highlight w:val="none"/>
        </w:rPr>
        <w:t>基础数据</w:t>
      </w:r>
    </w:p>
    <w:p>
      <w:pPr>
        <w:ind w:firstLine="420"/>
        <w:rPr>
          <w:rFonts w:ascii="仿宋_GB2312" w:hAnsi="仿宋"/>
          <w:color w:val="auto"/>
          <w:highlight w:val="none"/>
        </w:rPr>
      </w:pPr>
      <w:r>
        <w:rPr>
          <w:rFonts w:hint="eastAsia" w:ascii="仿宋_GB2312" w:hAnsi="仿宋"/>
          <w:color w:val="auto"/>
          <w:highlight w:val="none"/>
        </w:rPr>
        <w:t>新增危险化学品行业基础数据主要包括重大危险源信息、仓库和装卸台设施信息、监测指标基础信息等。</w:t>
      </w:r>
    </w:p>
    <w:p>
      <w:pPr>
        <w:ind w:firstLine="420"/>
        <w:rPr>
          <w:rFonts w:ascii="宋体" w:hAnsi="宋体" w:eastAsiaTheme="minorEastAsia"/>
          <w:color w:val="auto"/>
          <w:highlight w:val="none"/>
        </w:rPr>
      </w:pPr>
      <w:r>
        <w:rPr>
          <w:rFonts w:hint="eastAsia" w:ascii="仿宋_GB2312" w:hAnsi="仿宋"/>
          <w:color w:val="auto"/>
          <w:highlight w:val="none"/>
        </w:rPr>
        <w:t>新增工贸行业基础数据主要包括企业信息、生产装置设施信息、监测指标、视频基础信息等。</w:t>
      </w:r>
    </w:p>
    <w:p>
      <w:pPr>
        <w:pStyle w:val="6"/>
        <w:keepNext w:val="0"/>
        <w:keepLines w:val="0"/>
        <w:widowControl/>
        <w:numPr>
          <w:ilvl w:val="3"/>
          <w:numId w:val="1"/>
        </w:numPr>
        <w:tabs>
          <w:tab w:val="left" w:pos="425"/>
          <w:tab w:val="left" w:pos="709"/>
          <w:tab w:val="left" w:pos="851"/>
          <w:tab w:val="left" w:pos="1080"/>
        </w:tabs>
        <w:spacing w:before="0" w:after="0" w:line="360" w:lineRule="auto"/>
        <w:ind w:left="851" w:right="210" w:rightChars="100" w:hanging="851"/>
        <w:jc w:val="left"/>
        <w:rPr>
          <w:rFonts w:eastAsia="仿宋_GB2312"/>
          <w:color w:val="auto"/>
          <w:highlight w:val="none"/>
        </w:rPr>
      </w:pPr>
      <w:r>
        <w:rPr>
          <w:rFonts w:hint="eastAsia"/>
          <w:color w:val="auto"/>
          <w:highlight w:val="none"/>
        </w:rPr>
        <w:t>实时感知数据</w:t>
      </w:r>
    </w:p>
    <w:p>
      <w:pPr>
        <w:ind w:firstLine="420"/>
        <w:rPr>
          <w:rFonts w:ascii="仿宋_GB2312" w:hAnsi="仿宋"/>
          <w:color w:val="auto"/>
          <w:highlight w:val="none"/>
        </w:rPr>
      </w:pPr>
      <w:r>
        <w:rPr>
          <w:rFonts w:hint="eastAsia" w:ascii="仿宋_GB2312" w:hAnsi="仿宋"/>
          <w:color w:val="auto"/>
          <w:highlight w:val="none"/>
        </w:rPr>
        <w:t>新增化工行业感知数据主要包括涉及可燃液体装卸区、液化烃装卸区、液化毒性气体汽车装卸区的可燃有毒有害气体泄漏监测数据，液化烃装卸区车辆静电接地断开报警数据和满溢报警数据。</w:t>
      </w:r>
    </w:p>
    <w:p>
      <w:pPr>
        <w:ind w:firstLine="420"/>
        <w:rPr>
          <w:rFonts w:ascii="仿宋_GB2312" w:hAnsi="仿宋"/>
          <w:color w:val="auto"/>
          <w:highlight w:val="none"/>
        </w:rPr>
      </w:pPr>
      <w:r>
        <w:rPr>
          <w:rFonts w:hint="eastAsia" w:ascii="仿宋_GB2312" w:hAnsi="仿宋"/>
          <w:color w:val="auto"/>
          <w:highlight w:val="none"/>
        </w:rPr>
        <w:t>工贸行业感知数据主要包括</w:t>
      </w:r>
      <w:r>
        <w:rPr>
          <w:rFonts w:hint="eastAsia"/>
          <w:color w:val="auto"/>
          <w:highlight w:val="none"/>
        </w:rPr>
        <w:t>可燃性粉尘、液氨制冷、金属熔铸、工业煤气、有限空间的气体浓度、泄漏报警、风速、气压、侵入行为、人数、连续工作时限、设备运行状况和安全用电等感知数据的管理</w:t>
      </w:r>
      <w:r>
        <w:rPr>
          <w:rFonts w:hint="eastAsia" w:ascii="仿宋_GB2312" w:hAnsi="仿宋"/>
          <w:color w:val="auto"/>
          <w:highlight w:val="none"/>
        </w:rPr>
        <w:t>报警数据。</w:t>
      </w:r>
    </w:p>
    <w:p>
      <w:pPr>
        <w:pStyle w:val="6"/>
        <w:keepNext w:val="0"/>
        <w:keepLines w:val="0"/>
        <w:widowControl/>
        <w:numPr>
          <w:ilvl w:val="3"/>
          <w:numId w:val="1"/>
        </w:numPr>
        <w:tabs>
          <w:tab w:val="left" w:pos="425"/>
          <w:tab w:val="left" w:pos="709"/>
          <w:tab w:val="left" w:pos="851"/>
          <w:tab w:val="left" w:pos="1080"/>
        </w:tabs>
        <w:spacing w:before="0" w:after="0" w:line="360" w:lineRule="auto"/>
        <w:ind w:left="851" w:right="210" w:rightChars="100" w:hanging="851"/>
        <w:jc w:val="left"/>
        <w:rPr>
          <w:rFonts w:ascii="宋体" w:hAnsi="Arial"/>
          <w:color w:val="auto"/>
          <w:highlight w:val="none"/>
        </w:rPr>
      </w:pPr>
      <w:r>
        <w:rPr>
          <w:rFonts w:hint="eastAsia"/>
          <w:color w:val="auto"/>
          <w:highlight w:val="none"/>
        </w:rPr>
        <w:t>视频数据</w:t>
      </w:r>
    </w:p>
    <w:p>
      <w:pPr>
        <w:ind w:firstLine="420"/>
        <w:rPr>
          <w:rFonts w:ascii="仿宋_GB2312" w:hAnsi="仿宋"/>
          <w:color w:val="auto"/>
          <w:highlight w:val="none"/>
        </w:rPr>
      </w:pPr>
      <w:r>
        <w:rPr>
          <w:rFonts w:hint="eastAsia" w:ascii="仿宋_GB2312" w:hAnsi="仿宋"/>
          <w:color w:val="auto"/>
          <w:highlight w:val="none"/>
        </w:rPr>
        <w:t>新增重点接入以下区域的视频: 危险化学品装卸区域的及企业全景视频，获取智能分析预警的视频结果数据。</w:t>
      </w:r>
    </w:p>
    <w:p>
      <w:pPr>
        <w:pStyle w:val="5"/>
        <w:keepNext w:val="0"/>
        <w:keepLines w:val="0"/>
        <w:widowControl/>
        <w:numPr>
          <w:ilvl w:val="2"/>
          <w:numId w:val="1"/>
        </w:numPr>
        <w:tabs>
          <w:tab w:val="left" w:pos="0"/>
          <w:tab w:val="left" w:pos="425"/>
          <w:tab w:val="left" w:pos="709"/>
          <w:tab w:val="left" w:pos="851"/>
        </w:tabs>
        <w:spacing w:before="0" w:after="0" w:line="360" w:lineRule="auto"/>
        <w:ind w:left="709" w:hanging="709"/>
        <w:jc w:val="left"/>
        <w:rPr>
          <w:rFonts w:ascii="宋体" w:hAnsi="宋体"/>
          <w:color w:val="auto"/>
          <w:highlight w:val="none"/>
        </w:rPr>
      </w:pPr>
      <w:bookmarkStart w:id="141" w:name="_Toc60060249"/>
      <w:bookmarkStart w:id="142" w:name="_Toc1217"/>
      <w:r>
        <w:rPr>
          <w:rFonts w:hint="eastAsia"/>
          <w:color w:val="auto"/>
          <w:highlight w:val="none"/>
        </w:rPr>
        <w:t>数据汇聚整理策略</w:t>
      </w:r>
      <w:bookmarkEnd w:id="141"/>
      <w:bookmarkEnd w:id="142"/>
    </w:p>
    <w:p>
      <w:pPr>
        <w:pStyle w:val="6"/>
        <w:keepNext w:val="0"/>
        <w:keepLines w:val="0"/>
        <w:widowControl/>
        <w:numPr>
          <w:ilvl w:val="3"/>
          <w:numId w:val="1"/>
        </w:numPr>
        <w:tabs>
          <w:tab w:val="left" w:pos="425"/>
          <w:tab w:val="left" w:pos="709"/>
          <w:tab w:val="left" w:pos="851"/>
          <w:tab w:val="left" w:pos="1080"/>
        </w:tabs>
        <w:spacing w:before="0" w:after="0" w:line="360" w:lineRule="auto"/>
        <w:ind w:left="851" w:right="210" w:rightChars="100" w:hanging="851"/>
        <w:jc w:val="left"/>
        <w:rPr>
          <w:color w:val="auto"/>
          <w:highlight w:val="none"/>
        </w:rPr>
      </w:pPr>
      <w:r>
        <w:rPr>
          <w:rFonts w:hint="eastAsia"/>
          <w:color w:val="auto"/>
          <w:highlight w:val="none"/>
        </w:rPr>
        <w:t>数据格式统一标准化</w:t>
      </w:r>
    </w:p>
    <w:p>
      <w:pPr>
        <w:ind w:firstLine="420"/>
        <w:rPr>
          <w:rFonts w:ascii="仿宋_GB2312" w:hAnsi="仿宋"/>
          <w:color w:val="auto"/>
          <w:highlight w:val="none"/>
        </w:rPr>
      </w:pPr>
      <w:r>
        <w:rPr>
          <w:rFonts w:hint="eastAsia" w:ascii="仿宋_GB2312" w:hAnsi="仿宋"/>
          <w:color w:val="auto"/>
          <w:highlight w:val="none"/>
        </w:rPr>
        <w:t>数据来自多种不同类型的设备和系统，数据采集方式也存在着较大的差异化，导致获取到的原始数据格式是多种多样的，因此数据汇聚层首先将原始数据按照平台规定的数据格式，进行统一标准化处理。</w:t>
      </w:r>
    </w:p>
    <w:p>
      <w:pPr>
        <w:pStyle w:val="6"/>
        <w:keepNext w:val="0"/>
        <w:keepLines w:val="0"/>
        <w:widowControl/>
        <w:numPr>
          <w:ilvl w:val="3"/>
          <w:numId w:val="1"/>
        </w:numPr>
        <w:tabs>
          <w:tab w:val="left" w:pos="425"/>
          <w:tab w:val="left" w:pos="709"/>
          <w:tab w:val="left" w:pos="851"/>
          <w:tab w:val="left" w:pos="1080"/>
        </w:tabs>
        <w:spacing w:before="0" w:after="0" w:line="360" w:lineRule="auto"/>
        <w:ind w:left="851" w:right="210" w:rightChars="100" w:hanging="851"/>
        <w:jc w:val="left"/>
        <w:rPr>
          <w:rFonts w:ascii="宋体" w:hAnsi="Arial"/>
          <w:color w:val="auto"/>
          <w:highlight w:val="none"/>
        </w:rPr>
      </w:pPr>
      <w:r>
        <w:rPr>
          <w:rFonts w:hint="eastAsia"/>
          <w:color w:val="auto"/>
          <w:highlight w:val="none"/>
        </w:rPr>
        <w:t>数据归并</w:t>
      </w:r>
    </w:p>
    <w:p>
      <w:pPr>
        <w:ind w:firstLine="420"/>
        <w:rPr>
          <w:rFonts w:ascii="仿宋_GB2312" w:hAnsi="仿宋"/>
          <w:color w:val="auto"/>
          <w:highlight w:val="none"/>
        </w:rPr>
      </w:pPr>
      <w:r>
        <w:rPr>
          <w:rFonts w:hint="eastAsia" w:ascii="仿宋_GB2312" w:hAnsi="仿宋"/>
          <w:color w:val="auto"/>
          <w:highlight w:val="none"/>
        </w:rPr>
        <w:t>其次平台考虑异构数据转换问题，针对海量的原始数据，数据汇聚层会按照事件的类型、事件发生的时间、事件出现的次数等条件进行信息数据的归并，从而能够有效完成数据查询、存取等具体功能。</w:t>
      </w:r>
    </w:p>
    <w:p>
      <w:pPr>
        <w:pStyle w:val="6"/>
        <w:keepNext w:val="0"/>
        <w:keepLines w:val="0"/>
        <w:widowControl/>
        <w:numPr>
          <w:ilvl w:val="3"/>
          <w:numId w:val="1"/>
        </w:numPr>
        <w:tabs>
          <w:tab w:val="left" w:pos="425"/>
          <w:tab w:val="left" w:pos="709"/>
          <w:tab w:val="left" w:pos="851"/>
          <w:tab w:val="left" w:pos="1080"/>
        </w:tabs>
        <w:spacing w:before="0" w:after="0" w:line="360" w:lineRule="auto"/>
        <w:ind w:left="851" w:right="210" w:rightChars="100" w:hanging="851"/>
        <w:jc w:val="left"/>
        <w:rPr>
          <w:rFonts w:ascii="宋体" w:hAnsi="Arial"/>
          <w:color w:val="auto"/>
          <w:highlight w:val="none"/>
        </w:rPr>
      </w:pPr>
      <w:r>
        <w:rPr>
          <w:rFonts w:hint="eastAsia"/>
          <w:color w:val="auto"/>
          <w:highlight w:val="none"/>
        </w:rPr>
        <w:t>数据传输</w:t>
      </w:r>
    </w:p>
    <w:p>
      <w:pPr>
        <w:ind w:firstLine="420"/>
        <w:rPr>
          <w:rFonts w:ascii="仿宋_GB2312" w:hAnsi="仿宋"/>
          <w:color w:val="auto"/>
          <w:highlight w:val="none"/>
        </w:rPr>
      </w:pPr>
      <w:r>
        <w:rPr>
          <w:rFonts w:hint="eastAsia" w:ascii="仿宋_GB2312" w:hAnsi="仿宋"/>
          <w:color w:val="auto"/>
          <w:highlight w:val="none"/>
        </w:rPr>
        <w:t>当大量的数据在网络中传输时，势必会造成网络拥挤，影响正常的业务应用。为了保证网络传输的畅通，数据汇聚层对原始数据一定的压缩处理，再将数据发送到接收方。</w:t>
      </w:r>
    </w:p>
    <w:p>
      <w:pPr>
        <w:pStyle w:val="5"/>
        <w:keepNext w:val="0"/>
        <w:keepLines w:val="0"/>
        <w:widowControl/>
        <w:numPr>
          <w:ilvl w:val="2"/>
          <w:numId w:val="1"/>
        </w:numPr>
        <w:tabs>
          <w:tab w:val="left" w:pos="0"/>
          <w:tab w:val="left" w:pos="425"/>
          <w:tab w:val="left" w:pos="709"/>
          <w:tab w:val="left" w:pos="851"/>
        </w:tabs>
        <w:spacing w:before="0" w:after="0" w:line="360" w:lineRule="auto"/>
        <w:ind w:left="709" w:hanging="709"/>
        <w:jc w:val="left"/>
        <w:rPr>
          <w:rFonts w:ascii="宋体" w:hAnsi="宋体"/>
          <w:color w:val="auto"/>
          <w:highlight w:val="none"/>
        </w:rPr>
      </w:pPr>
      <w:bookmarkStart w:id="143" w:name="_Toc10790"/>
      <w:bookmarkStart w:id="144" w:name="_Toc60060250"/>
      <w:r>
        <w:rPr>
          <w:rFonts w:hint="eastAsia"/>
          <w:color w:val="auto"/>
          <w:highlight w:val="none"/>
        </w:rPr>
        <w:t>向上与应急管理部平台联调对接</w:t>
      </w:r>
      <w:bookmarkEnd w:id="143"/>
      <w:bookmarkEnd w:id="144"/>
    </w:p>
    <w:p>
      <w:pPr>
        <w:ind w:firstLine="420"/>
        <w:rPr>
          <w:rFonts w:ascii="仿宋_GB2312" w:hAnsi="仿宋"/>
          <w:color w:val="auto"/>
          <w:highlight w:val="none"/>
        </w:rPr>
      </w:pPr>
      <w:r>
        <w:rPr>
          <w:rFonts w:hint="eastAsia" w:ascii="仿宋_GB2312" w:hAnsi="仿宋"/>
          <w:color w:val="auto"/>
          <w:highlight w:val="none"/>
        </w:rPr>
        <w:t>根据最新数据接入规范要求，通过数据交换共享系统，实现地方与上级系统的数据交换，并最终推送到应急管理部系统。</w:t>
      </w:r>
    </w:p>
    <w:p>
      <w:pPr>
        <w:ind w:firstLine="420"/>
        <w:rPr>
          <w:rFonts w:ascii="仿宋_GB2312" w:hAnsi="仿宋"/>
          <w:color w:val="auto"/>
          <w:highlight w:val="none"/>
        </w:rPr>
      </w:pPr>
      <w:r>
        <w:rPr>
          <w:rFonts w:hint="eastAsia" w:ascii="仿宋_GB2312" w:hAnsi="仿宋"/>
          <w:color w:val="auto"/>
          <w:highlight w:val="none"/>
        </w:rPr>
        <w:t>（1）从上级获取数据</w:t>
      </w:r>
    </w:p>
    <w:p>
      <w:pPr>
        <w:ind w:firstLine="420"/>
        <w:rPr>
          <w:rFonts w:ascii="仿宋_GB2312" w:hAnsi="仿宋"/>
          <w:color w:val="auto"/>
          <w:highlight w:val="none"/>
        </w:rPr>
      </w:pPr>
      <w:r>
        <w:rPr>
          <w:rFonts w:hint="eastAsia" w:ascii="仿宋_GB2312" w:hAnsi="仿宋"/>
          <w:color w:val="auto"/>
          <w:highlight w:val="none"/>
        </w:rPr>
        <w:t>通过交换共享系统，对接本级和上级的企业基础数据和感知数据的数据库，获取危化企业的静态数据。</w:t>
      </w:r>
    </w:p>
    <w:p>
      <w:pPr>
        <w:ind w:firstLine="420"/>
        <w:rPr>
          <w:rFonts w:ascii="仿宋_GB2312" w:hAnsi="仿宋"/>
          <w:color w:val="auto"/>
          <w:highlight w:val="none"/>
        </w:rPr>
      </w:pPr>
      <w:r>
        <w:rPr>
          <w:rFonts w:hint="eastAsia" w:ascii="仿宋_GB2312" w:hAnsi="仿宋"/>
          <w:color w:val="auto"/>
          <w:highlight w:val="none"/>
        </w:rPr>
        <w:t>基础数据获取——利用对接接口方式进获取危化企业静态数据，并存储在中间数据库中。</w:t>
      </w:r>
    </w:p>
    <w:p>
      <w:pPr>
        <w:ind w:firstLine="420"/>
        <w:rPr>
          <w:rFonts w:ascii="仿宋_GB2312" w:hAnsi="仿宋"/>
          <w:color w:val="auto"/>
          <w:highlight w:val="none"/>
        </w:rPr>
      </w:pPr>
      <w:r>
        <w:rPr>
          <w:rFonts w:hint="eastAsia" w:ascii="仿宋_GB2312" w:hAnsi="仿宋"/>
          <w:color w:val="auto"/>
          <w:highlight w:val="none"/>
        </w:rPr>
        <w:t>数据库建设——按照危化企业感知数据接入规范建设数据库表，包括危化企业基础信息、设备信息、数据采集设备基础数据等。</w:t>
      </w:r>
    </w:p>
    <w:p>
      <w:pPr>
        <w:ind w:firstLine="420"/>
        <w:rPr>
          <w:rFonts w:ascii="仿宋_GB2312" w:hAnsi="仿宋"/>
          <w:color w:val="auto"/>
          <w:highlight w:val="none"/>
        </w:rPr>
      </w:pPr>
      <w:r>
        <w:rPr>
          <w:rFonts w:hint="eastAsia" w:ascii="仿宋_GB2312" w:hAnsi="仿宋"/>
          <w:color w:val="auto"/>
          <w:highlight w:val="none"/>
        </w:rPr>
        <w:t>（2）数据推送</w:t>
      </w:r>
    </w:p>
    <w:p>
      <w:pPr>
        <w:ind w:firstLine="420"/>
        <w:rPr>
          <w:rFonts w:ascii="仿宋_GB2312" w:hAnsi="仿宋"/>
          <w:color w:val="auto"/>
          <w:highlight w:val="none"/>
        </w:rPr>
      </w:pPr>
      <w:r>
        <w:rPr>
          <w:rFonts w:hint="eastAsia" w:ascii="仿宋_GB2312" w:hAnsi="仿宋"/>
          <w:color w:val="auto"/>
          <w:highlight w:val="none"/>
        </w:rPr>
        <w:t>利用交换共享系统，将本级获取静态数据、动态数据、监控视频推送到上级系统，最终汇聚到应急管理部。</w:t>
      </w:r>
    </w:p>
    <w:p>
      <w:pPr>
        <w:ind w:firstLine="420"/>
        <w:rPr>
          <w:rFonts w:ascii="仿宋_GB2312" w:hAnsi="仿宋"/>
          <w:color w:val="auto"/>
          <w:highlight w:val="none"/>
        </w:rPr>
      </w:pPr>
      <w:r>
        <w:rPr>
          <w:rFonts w:hint="eastAsia" w:ascii="仿宋_GB2312" w:hAnsi="仿宋"/>
          <w:color w:val="auto"/>
          <w:highlight w:val="none"/>
        </w:rPr>
        <w:t>静态数据推送——建设数据推送接口，建设中间数据库，从静态数据库中获取数据转存到中间数据库，再按照一定的频率推送到上级中间数据库中进行更新。</w:t>
      </w:r>
    </w:p>
    <w:p>
      <w:pPr>
        <w:ind w:firstLine="420"/>
        <w:rPr>
          <w:rFonts w:ascii="仿宋_GB2312" w:hAnsi="仿宋"/>
          <w:color w:val="auto"/>
          <w:highlight w:val="none"/>
        </w:rPr>
      </w:pPr>
      <w:r>
        <w:rPr>
          <w:rFonts w:hint="eastAsia" w:ascii="仿宋_GB2312" w:hAnsi="仿宋"/>
          <w:color w:val="auto"/>
          <w:highlight w:val="none"/>
        </w:rPr>
        <w:t>动态数据推送——包括报警数据和指标实时数据，通过统一的TCP Socket传输接口进行上报，上报数据通过AES加密。</w:t>
      </w:r>
    </w:p>
    <w:p>
      <w:pPr>
        <w:ind w:firstLine="420"/>
        <w:rPr>
          <w:rFonts w:ascii="仿宋_GB2312" w:hAnsi="仿宋"/>
          <w:color w:val="auto"/>
          <w:highlight w:val="none"/>
        </w:rPr>
      </w:pPr>
      <w:r>
        <w:rPr>
          <w:rFonts w:hint="eastAsia" w:ascii="仿宋_GB2312" w:hAnsi="仿宋"/>
          <w:color w:val="auto"/>
          <w:highlight w:val="none"/>
        </w:rPr>
        <w:t>监控视频推送——遵循GB/T28181-2016国标协议，实现接入监控视频的协议转换，与上下级监控系统实现逐级级联。企业离线原因</w:t>
      </w:r>
    </w:p>
    <w:p>
      <w:pPr>
        <w:ind w:firstLine="420"/>
        <w:rPr>
          <w:rFonts w:ascii="仿宋_GB2312" w:hAnsi="仿宋"/>
          <w:color w:val="auto"/>
          <w:highlight w:val="none"/>
        </w:rPr>
      </w:pPr>
      <w:r>
        <w:rPr>
          <w:rFonts w:hint="eastAsia" w:ascii="仿宋_GB2312" w:hAnsi="仿宋"/>
          <w:color w:val="auto"/>
          <w:highlight w:val="none"/>
        </w:rPr>
        <w:t>新增危险源离线原因、设备离线原因、指标离线原因、视频监控点离线原因等离线原因数据推送接口的开发。</w:t>
      </w:r>
    </w:p>
    <w:p>
      <w:pPr>
        <w:ind w:firstLine="420"/>
        <w:rPr>
          <w:rFonts w:ascii="仿宋_GB2312" w:hAnsi="仿宋"/>
          <w:color w:val="auto"/>
          <w:highlight w:val="none"/>
        </w:rPr>
      </w:pPr>
      <w:r>
        <w:rPr>
          <w:rFonts w:hint="eastAsia" w:ascii="仿宋_GB2312" w:hAnsi="仿宋"/>
          <w:color w:val="auto"/>
          <w:highlight w:val="none"/>
        </w:rPr>
        <w:t>针对巡查、抽查、预警及反馈情况等五项制度相关信息建立库表及对应推送接口开发。</w:t>
      </w:r>
    </w:p>
    <w:p>
      <w:pPr>
        <w:pStyle w:val="5"/>
        <w:keepNext w:val="0"/>
        <w:keepLines w:val="0"/>
        <w:widowControl/>
        <w:numPr>
          <w:ilvl w:val="2"/>
          <w:numId w:val="1"/>
        </w:numPr>
        <w:tabs>
          <w:tab w:val="left" w:pos="0"/>
          <w:tab w:val="left" w:pos="425"/>
          <w:tab w:val="left" w:pos="709"/>
          <w:tab w:val="left" w:pos="851"/>
        </w:tabs>
        <w:spacing w:before="0" w:after="0" w:line="360" w:lineRule="auto"/>
        <w:ind w:left="709" w:hanging="709"/>
        <w:jc w:val="left"/>
        <w:rPr>
          <w:color w:val="auto"/>
          <w:highlight w:val="none"/>
        </w:rPr>
      </w:pPr>
      <w:bookmarkStart w:id="145" w:name="_Toc29952"/>
      <w:bookmarkStart w:id="146" w:name="_Toc60060251"/>
      <w:r>
        <w:rPr>
          <w:rFonts w:hint="eastAsia"/>
          <w:color w:val="auto"/>
          <w:highlight w:val="none"/>
        </w:rPr>
        <w:t>应急厅内部系统的衔接与对接</w:t>
      </w:r>
    </w:p>
    <w:p>
      <w:pPr>
        <w:pStyle w:val="5"/>
        <w:keepNext w:val="0"/>
        <w:keepLines w:val="0"/>
        <w:widowControl/>
        <w:tabs>
          <w:tab w:val="left" w:pos="0"/>
          <w:tab w:val="left" w:pos="425"/>
          <w:tab w:val="left" w:pos="709"/>
          <w:tab w:val="left" w:pos="851"/>
        </w:tabs>
        <w:spacing w:before="0" w:after="0" w:line="360" w:lineRule="auto"/>
        <w:ind w:firstLine="420" w:firstLineChars="200"/>
        <w:jc w:val="left"/>
        <w:rPr>
          <w:rFonts w:ascii="仿宋_GB2312" w:hAnsi="仿宋"/>
          <w:b w:val="0"/>
          <w:bCs w:val="0"/>
          <w:color w:val="auto"/>
          <w:sz w:val="21"/>
          <w:szCs w:val="24"/>
          <w:highlight w:val="none"/>
        </w:rPr>
      </w:pPr>
      <w:r>
        <w:rPr>
          <w:rFonts w:hint="eastAsia" w:ascii="仿宋_GB2312" w:hAnsi="仿宋"/>
          <w:b w:val="0"/>
          <w:bCs w:val="0"/>
          <w:color w:val="auto"/>
          <w:sz w:val="21"/>
          <w:szCs w:val="24"/>
          <w:highlight w:val="none"/>
        </w:rPr>
        <w:t>此次升级建设需基于原有的广西安全生产风险监测监测预警系统中相关功能进行开发，并实现与原系统的无缝对接；实现与数据治理系统、应急管理专项应用系统等系统的互联互通；系统所接入及产生的各类数据，需根据相应的数据标准全量接入广西应急管理数据治理系统。</w:t>
      </w:r>
    </w:p>
    <w:p>
      <w:pPr>
        <w:pStyle w:val="5"/>
        <w:keepNext w:val="0"/>
        <w:keepLines w:val="0"/>
        <w:widowControl/>
        <w:numPr>
          <w:ilvl w:val="2"/>
          <w:numId w:val="1"/>
        </w:numPr>
        <w:tabs>
          <w:tab w:val="left" w:pos="0"/>
          <w:tab w:val="left" w:pos="425"/>
          <w:tab w:val="left" w:pos="709"/>
          <w:tab w:val="left" w:pos="851"/>
        </w:tabs>
        <w:spacing w:before="0" w:after="0" w:line="360" w:lineRule="auto"/>
        <w:ind w:left="709" w:hanging="709"/>
        <w:jc w:val="left"/>
        <w:rPr>
          <w:rFonts w:ascii="宋体" w:hAnsi="宋体"/>
          <w:color w:val="auto"/>
          <w:highlight w:val="none"/>
        </w:rPr>
      </w:pPr>
      <w:r>
        <w:rPr>
          <w:rFonts w:hint="eastAsia"/>
          <w:color w:val="auto"/>
          <w:highlight w:val="none"/>
        </w:rPr>
        <w:t>向下与各地市汇聚平台联调对接</w:t>
      </w:r>
      <w:bookmarkEnd w:id="145"/>
      <w:bookmarkEnd w:id="146"/>
    </w:p>
    <w:p>
      <w:pPr>
        <w:ind w:firstLine="420"/>
        <w:rPr>
          <w:rFonts w:ascii="仿宋_GB2312" w:hAnsi="仿宋"/>
          <w:color w:val="auto"/>
          <w:highlight w:val="none"/>
        </w:rPr>
      </w:pPr>
      <w:r>
        <w:rPr>
          <w:rFonts w:hint="eastAsia" w:ascii="仿宋_GB2312" w:hAnsi="仿宋"/>
          <w:color w:val="auto"/>
          <w:highlight w:val="none"/>
        </w:rPr>
        <w:t>市汇聚平台与自治区应急厅平台对接主要工作包括：</w:t>
      </w:r>
    </w:p>
    <w:p>
      <w:pPr>
        <w:ind w:firstLine="420"/>
        <w:rPr>
          <w:rFonts w:ascii="仿宋_GB2312" w:hAnsi="仿宋"/>
          <w:color w:val="auto"/>
          <w:highlight w:val="none"/>
        </w:rPr>
      </w:pPr>
      <w:r>
        <w:rPr>
          <w:rFonts w:hint="eastAsia" w:ascii="仿宋_GB2312" w:hAnsi="仿宋"/>
          <w:color w:val="auto"/>
          <w:highlight w:val="none"/>
        </w:rPr>
        <w:t>（1）市汇聚平台与自自治区应急厅平台接口联调；</w:t>
      </w:r>
    </w:p>
    <w:p>
      <w:pPr>
        <w:ind w:firstLine="420"/>
        <w:rPr>
          <w:rFonts w:ascii="仿宋_GB2312" w:hAnsi="仿宋"/>
          <w:color w:val="auto"/>
          <w:highlight w:val="none"/>
        </w:rPr>
      </w:pPr>
      <w:r>
        <w:rPr>
          <w:rFonts w:hint="eastAsia" w:ascii="仿宋_GB2312" w:hAnsi="仿宋"/>
          <w:color w:val="auto"/>
          <w:highlight w:val="none"/>
        </w:rPr>
        <w:t>（2）自治区应急厅平台中企业基础数据及监测预警数据库建设；</w:t>
      </w:r>
    </w:p>
    <w:p>
      <w:pPr>
        <w:ind w:firstLine="420"/>
        <w:rPr>
          <w:rFonts w:ascii="仿宋_GB2312" w:hAnsi="仿宋"/>
          <w:color w:val="auto"/>
          <w:highlight w:val="none"/>
        </w:rPr>
      </w:pPr>
      <w:r>
        <w:rPr>
          <w:rFonts w:hint="eastAsia" w:ascii="仿宋_GB2312" w:hAnsi="仿宋"/>
          <w:color w:val="auto"/>
          <w:highlight w:val="none"/>
        </w:rPr>
        <w:t>联调的工作包括：企业基本信息、监测设备数据、监测指标数据、视频级联及编码、企业安全承诺等静态数据的采集、清洗、标准化建库、上报；实时监测、视频、智能分析、预警处置跟踪、五项制度落实等动态数据的对接，数据核对和上报。</w:t>
      </w:r>
    </w:p>
    <w:p>
      <w:pPr>
        <w:spacing w:line="360" w:lineRule="auto"/>
        <w:jc w:val="left"/>
        <w:rPr>
          <w:rFonts w:ascii="宋体" w:hAnsi="宋体" w:cs="Arial"/>
          <w:bCs/>
          <w:color w:val="auto"/>
          <w:szCs w:val="21"/>
          <w:highlight w:val="none"/>
          <w:u w:val="single"/>
        </w:rPr>
      </w:pPr>
    </w:p>
    <w:p>
      <w:pPr>
        <w:spacing w:line="360" w:lineRule="auto"/>
        <w:jc w:val="left"/>
        <w:rPr>
          <w:rFonts w:ascii="宋体" w:hAnsi="宋体" w:cs="Arial"/>
          <w:bCs/>
          <w:color w:val="auto"/>
          <w:szCs w:val="21"/>
          <w:highlight w:val="none"/>
          <w:u w:val="single"/>
        </w:rPr>
      </w:pPr>
    </w:p>
    <w:p>
      <w:pPr>
        <w:spacing w:line="360" w:lineRule="auto"/>
        <w:jc w:val="left"/>
        <w:rPr>
          <w:rFonts w:ascii="宋体" w:hAnsi="宋体" w:cs="Arial"/>
          <w:bCs/>
          <w:color w:val="auto"/>
          <w:szCs w:val="21"/>
          <w:highlight w:val="none"/>
          <w:u w:val="single"/>
        </w:rPr>
      </w:pPr>
    </w:p>
    <w:p>
      <w:pPr>
        <w:pStyle w:val="3"/>
        <w:jc w:val="center"/>
        <w:rPr>
          <w:color w:val="auto"/>
          <w:highlight w:val="none"/>
        </w:rPr>
      </w:pPr>
      <w:r>
        <w:rPr>
          <w:rFonts w:ascii="宋体" w:hAnsi="宋体" w:cs="宋体"/>
          <w:color w:val="auto"/>
          <w:sz w:val="20"/>
          <w:szCs w:val="20"/>
          <w:highlight w:val="none"/>
        </w:rPr>
        <w:br w:type="page"/>
      </w:r>
      <w:bookmarkStart w:id="147" w:name="_Toc74323459"/>
      <w:r>
        <w:rPr>
          <w:rFonts w:hint="eastAsia"/>
          <w:color w:val="auto"/>
          <w:highlight w:val="none"/>
        </w:rPr>
        <w:t>第四章评审程序、评审方法和评审标准</w:t>
      </w:r>
      <w:bookmarkEnd w:id="147"/>
    </w:p>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一、评审程序和评审方法</w:t>
      </w:r>
    </w:p>
    <w:p>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.资格审查</w:t>
      </w:r>
    </w:p>
    <w:p>
      <w:pPr>
        <w:snapToGrid w:val="0"/>
        <w:spacing w:line="360" w:lineRule="auto"/>
        <w:ind w:firstLine="420" w:firstLineChars="200"/>
        <w:rPr>
          <w:rFonts w:ascii="宋体" w:hAns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hint="eastAsia" w:ascii="宋体" w:hAnsi="宋体"/>
          <w:color w:val="auto"/>
          <w:szCs w:val="21"/>
          <w:highlight w:val="none"/>
        </w:rPr>
        <w:t>响应文件开启后，磋商小组依法对供应商的资格证明文件进行审查。</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w:t>
      </w:r>
      <w:r>
        <w:rPr>
          <w:rFonts w:hint="eastAsia"/>
          <w:color w:val="auto"/>
          <w:highlight w:val="none"/>
        </w:rPr>
        <w:t>磋商小组</w:t>
      </w:r>
      <w:r>
        <w:rPr>
          <w:rFonts w:hint="eastAsia" w:ascii="宋体" w:hAnsi="宋体" w:cs="宋体"/>
          <w:color w:val="auto"/>
          <w:szCs w:val="21"/>
          <w:highlight w:val="none"/>
        </w:rPr>
        <w:t>在资格审查结束前，对供应商进行信用查询。</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（1）查询渠道：“政采云”平台“信用中国”网站(www.creditchina.gov.cn)、中国政府采购网(www.ccgp.gov.cn)链接入口。</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w:t>
      </w:r>
      <w:r>
        <w:rPr>
          <w:rFonts w:hint="eastAsia" w:ascii="宋体" w:hAnsi="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被列入失信被执行人、重大税收违法案件当事人名单、政府采购严重违法失信行为记录名单及其他不符合《中华人民共和国政府采购法》第二十二条规定条件的供应商）的，视同联合体存在不良信用记录</w:t>
      </w:r>
      <w:r>
        <w:rPr>
          <w:rFonts w:hint="eastAsia" w:ascii="宋体" w:hAnsi="宋体" w:cs="宋体"/>
          <w:color w:val="auto"/>
          <w:szCs w:val="21"/>
          <w:highlight w:val="none"/>
        </w:rPr>
        <w:t>。</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.2资格审查标准为本磋商文件中载明对供应商资格要求的条件。资格审查采用合格制，凡符合磋商文件规定的供应商资格要求的响应文件均通过资格审查。</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.3供应商有下列情形之一的，资格审查不通过，其响应文件按无效响应处理：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）不具备磋商文件中规定的资格要求的；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（2）未按磋商文件规定的方式获取本磋商文件的供应商；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）响应文件的资格证明文件缺少任一项“供应商须知前附表”资格证明文件规定的“必须提供”的文件资料的；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）响应文件中的资格证明文件出现任一项不符合“供应商须知前附表”资格证明文件规定的“必须提供”的文件资料要求或者无效的；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）同一合同项下的不同供应商，单位负责人为同一人或者存在直接控股、管理关系的；为本项目提供过整体设计、规范编制或者项目管理、监理、检测等服务的供应商，再参加该采购项目的其他采购活动的。</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.4通过资格审查的合格供应商不足3家的，不得进入符合性审查环节，</w:t>
      </w:r>
      <w:r>
        <w:rPr>
          <w:rFonts w:hint="eastAsia" w:ascii="宋体" w:hAnsi="宋体"/>
          <w:color w:val="auto"/>
          <w:szCs w:val="21"/>
          <w:highlight w:val="none"/>
        </w:rPr>
        <w:t>采购人或者采购代理机构应当重新开展采购活动。</w:t>
      </w:r>
    </w:p>
    <w:p>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.符合性审查</w:t>
      </w:r>
    </w:p>
    <w:p>
      <w:pPr>
        <w:spacing w:line="360" w:lineRule="auto"/>
        <w:ind w:firstLine="420" w:firstLineChars="200"/>
        <w:rPr>
          <w:rFonts w:ascii="宋体" w:hAnsi="宋体" w:cs="宋体"/>
          <w:color w:val="auto"/>
          <w:szCs w:val="21"/>
          <w:highlight w:val="none"/>
        </w:rPr>
      </w:pPr>
      <w:bookmarkStart w:id="148" w:name="_Hlk42528882"/>
      <w:r>
        <w:rPr>
          <w:rFonts w:ascii="宋体" w:hAnsi="宋体" w:cs="宋体"/>
          <w:color w:val="auto"/>
          <w:szCs w:val="21"/>
          <w:highlight w:val="none"/>
        </w:rPr>
        <w:t>2.1</w:t>
      </w:r>
      <w:r>
        <w:rPr>
          <w:rFonts w:hint="eastAsia" w:ascii="宋体" w:hAnsi="宋体" w:cs="宋体"/>
          <w:color w:val="auto"/>
          <w:szCs w:val="21"/>
          <w:highlight w:val="none"/>
        </w:rPr>
        <w:t>由磋商小组对</w:t>
      </w:r>
      <w:r>
        <w:rPr>
          <w:rFonts w:hint="eastAsia" w:ascii="宋体" w:hAnsi="宋体"/>
          <w:color w:val="auto"/>
          <w:szCs w:val="21"/>
          <w:highlight w:val="none"/>
        </w:rPr>
        <w:t>通过资格审查的合格供应商</w:t>
      </w:r>
      <w:r>
        <w:rPr>
          <w:rFonts w:hint="eastAsia" w:ascii="宋体" w:hAnsi="宋体" w:cs="宋体"/>
          <w:color w:val="auto"/>
          <w:szCs w:val="21"/>
          <w:highlight w:val="none"/>
        </w:rPr>
        <w:t>的响应文件的竞标报价、商务、技术等实质性要求进行符合性审查，以确定其是否满足磋商文件的实质性要求。</w:t>
      </w:r>
    </w:p>
    <w:bookmarkEnd w:id="148"/>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0" w:firstLineChars="200"/>
        <w:rPr>
          <w:rFonts w:ascii="宋体" w:hAnsi="宋体" w:cs="宋体"/>
          <w:color w:val="auto"/>
          <w:spacing w:val="-6"/>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color w:val="auto"/>
          <w:highlight w:val="none"/>
        </w:rPr>
        <w:t>签章</w:t>
      </w:r>
      <w:r>
        <w:rPr>
          <w:rFonts w:hint="eastAsia" w:ascii="宋体" w:hAnsi="宋体" w:cs="宋体"/>
          <w:color w:val="auto"/>
          <w:spacing w:val="-6"/>
          <w:szCs w:val="21"/>
          <w:highlight w:val="none"/>
        </w:rPr>
        <w:t>。</w:t>
      </w:r>
    </w:p>
    <w:p>
      <w:pPr>
        <w:spacing w:line="360" w:lineRule="auto"/>
        <w:ind w:firstLine="420" w:firstLineChars="200"/>
        <w:rPr>
          <w:rFonts w:ascii="宋体" w:hAnsi="宋体" w:cs="宋体"/>
          <w:color w:val="auto"/>
          <w:spacing w:val="-6"/>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pPr>
        <w:spacing w:line="360" w:lineRule="auto"/>
        <w:ind w:firstLine="396" w:firstLineChars="200"/>
        <w:rPr>
          <w:rFonts w:ascii="宋体" w:hAnsi="宋体" w:cs="宋体"/>
          <w:color w:val="auto"/>
          <w:szCs w:val="21"/>
          <w:highlight w:val="none"/>
        </w:rPr>
      </w:pPr>
      <w:r>
        <w:rPr>
          <w:rFonts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1）提供响应文件正、副本数量不足；</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2）响应文件未按磋商文件要求签署、盖章；</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3）委托代理人未能出具有效身份证或者出具的身份证与授权委托书中的信息不符的；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4）提交的磋商保证金无效的或者未按照磋商文件的规定提交磋商保证金；</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）商务要求允许负偏离的条款数超过“供应商须知前附表”规定项数的；</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rPr>
        <w:t>）未对竞标有效期作出响应或者响应文件承诺的竞标有效期不满足磋商文件要求；</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8</w:t>
      </w:r>
      <w:r>
        <w:rPr>
          <w:rFonts w:hint="eastAsia" w:ascii="宋体" w:hAnsi="宋体" w:cs="宋体"/>
          <w:color w:val="auto"/>
          <w:szCs w:val="21"/>
          <w:highlight w:val="none"/>
        </w:rPr>
        <w:t>）响应文件的实质性内容未使用中文表述、使用计量单位不符合磋商文件要求；</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9</w:t>
      </w:r>
      <w:r>
        <w:rPr>
          <w:rFonts w:hint="eastAsia" w:ascii="宋体" w:hAnsi="宋体" w:cs="宋体"/>
          <w:color w:val="auto"/>
          <w:szCs w:val="21"/>
          <w:highlight w:val="none"/>
        </w:rPr>
        <w:t>）响应文件中的文件资料因填写不齐全或者内容虚假或者出现其他情形而导致被磋商小组认定无效；</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10</w:t>
      </w:r>
      <w:r>
        <w:rPr>
          <w:rFonts w:hint="eastAsia" w:ascii="宋体" w:hAnsi="宋体" w:cs="宋体"/>
          <w:color w:val="auto"/>
          <w:szCs w:val="21"/>
          <w:highlight w:val="none"/>
        </w:rPr>
        <w:t>）响应文件含有采购人不能接受的附加条件；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1</w:t>
      </w:r>
      <w:r>
        <w:rPr>
          <w:rFonts w:hint="eastAsia" w:ascii="宋体" w:hAnsi="宋体" w:cs="宋体"/>
          <w:color w:val="auto"/>
          <w:szCs w:val="21"/>
          <w:highlight w:val="none"/>
        </w:rPr>
        <w:t>）属于“供应商须知正文”第7.</w:t>
      </w:r>
      <w:r>
        <w:rPr>
          <w:rFonts w:ascii="宋体" w:hAnsi="宋体" w:cs="宋体"/>
          <w:color w:val="auto"/>
          <w:szCs w:val="21"/>
          <w:highlight w:val="none"/>
        </w:rPr>
        <w:t>5</w:t>
      </w:r>
      <w:r>
        <w:rPr>
          <w:rFonts w:hint="eastAsia" w:ascii="宋体" w:hAnsi="宋体" w:cs="宋体"/>
          <w:color w:val="auto"/>
          <w:szCs w:val="21"/>
          <w:highlight w:val="none"/>
        </w:rPr>
        <w:t>条情形；</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2）技术要求允许负偏离的条款数超过“供应商须知前附表”规定项数；</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3）虚假竞标，或者出现其他情形而导致被磋商小组认定无效；</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w:t>
      </w:r>
      <w:bookmarkStart w:id="149" w:name="_Hlk71704147"/>
      <w:r>
        <w:rPr>
          <w:rFonts w:hint="eastAsia" w:ascii="宋体" w:hAnsi="宋体" w:cs="宋体"/>
          <w:color w:val="auto"/>
          <w:szCs w:val="21"/>
          <w:highlight w:val="none"/>
        </w:rPr>
        <w:t>磋商文件未载明允许提供备选（替代）竞标方案或明确不允许提供备选（替代）竞标方案时，供应商提供了备选（替代）竞标方案的；</w:t>
      </w:r>
      <w:bookmarkEnd w:id="149"/>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15</w:t>
      </w:r>
      <w:r>
        <w:rPr>
          <w:rFonts w:hint="eastAsia" w:ascii="宋体" w:hAnsi="宋体" w:cs="宋体"/>
          <w:color w:val="auto"/>
          <w:szCs w:val="21"/>
          <w:highlight w:val="none"/>
        </w:rPr>
        <w:t>）响应文件标注的项目名称或者项目编号与磋商文件标注的项目名称或者项目编号不一致的；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6</w:t>
      </w:r>
      <w:r>
        <w:rPr>
          <w:rFonts w:hint="eastAsia" w:ascii="宋体" w:hAnsi="宋体" w:cs="宋体"/>
          <w:color w:val="auto"/>
          <w:szCs w:val="21"/>
          <w:highlight w:val="none"/>
        </w:rPr>
        <w:t>）</w:t>
      </w:r>
      <w:r>
        <w:rPr>
          <w:rFonts w:hint="eastAsia" w:ascii="宋体" w:hAnsi="宋体"/>
          <w:b/>
          <w:color w:val="auto"/>
          <w:szCs w:val="21"/>
          <w:highlight w:val="none"/>
        </w:rPr>
        <w:t>竞争性磋商文件明确不允许分包，响应文件拟分包的；</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17</w:t>
      </w:r>
      <w:r>
        <w:rPr>
          <w:rFonts w:hint="eastAsia" w:ascii="宋体" w:hAnsi="宋体" w:cs="宋体"/>
          <w:color w:val="auto"/>
          <w:szCs w:val="21"/>
          <w:highlight w:val="none"/>
        </w:rPr>
        <w:t>）未响应磋商文件实质性要求；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8</w:t>
      </w:r>
      <w:r>
        <w:rPr>
          <w:rFonts w:hint="eastAsia" w:ascii="宋体" w:hAnsi="宋体" w:cs="宋体"/>
          <w:color w:val="auto"/>
          <w:szCs w:val="21"/>
          <w:highlight w:val="none"/>
        </w:rPr>
        <w:t>）法律、法规和磋商文件规定的其他无效情形。</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）报价评审</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1）响应文件未提供“供应商须知前附表” 报价文件中规定的“竞标报价表”；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4）竞标报价（包含首次报价、最后报价）超过所竞标分标规定的采购预算金额或者最高限价的（如本项目公布了最高限价）；</w:t>
      </w:r>
      <w:bookmarkStart w:id="150" w:name="_Hlk42596405"/>
      <w:r>
        <w:rPr>
          <w:rFonts w:hint="eastAsia" w:ascii="宋体" w:hAnsi="宋体" w:cs="宋体"/>
          <w:color w:val="auto"/>
          <w:szCs w:val="21"/>
          <w:highlight w:val="none"/>
        </w:rPr>
        <w:t>竞标报价（包含首次报价、最后报价）</w:t>
      </w:r>
      <w:bookmarkEnd w:id="150"/>
      <w:bookmarkStart w:id="151" w:name="_Hlk42596276"/>
      <w:r>
        <w:rPr>
          <w:rFonts w:hint="eastAsia" w:ascii="宋体" w:hAnsi="宋体" w:cs="宋体"/>
          <w:color w:val="auto"/>
          <w:szCs w:val="21"/>
          <w:highlight w:val="none"/>
        </w:rPr>
        <w:t>超过磋商文件分项采购预算金额或者最高限价的</w:t>
      </w:r>
      <w:bookmarkEnd w:id="151"/>
      <w:r>
        <w:rPr>
          <w:rFonts w:hint="eastAsia" w:ascii="宋体" w:hAnsi="宋体" w:cs="宋体"/>
          <w:color w:val="auto"/>
          <w:szCs w:val="21"/>
          <w:highlight w:val="none"/>
        </w:rPr>
        <w:t>（如本项目公布了最高限价）；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响应文件响应的标的数量及单位与竞争性磋商采购文件要求实质性不一致的。</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2.6</w:t>
      </w:r>
      <w:r>
        <w:rPr>
          <w:rFonts w:hint="eastAsia" w:ascii="宋体" w:hAnsi="宋体" w:cs="宋体"/>
          <w:color w:val="auto"/>
          <w:szCs w:val="21"/>
          <w:highlight w:val="none"/>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2.7</w:t>
      </w:r>
      <w:r>
        <w:rPr>
          <w:rFonts w:hint="eastAsia" w:ascii="宋体" w:hAnsi="宋体"/>
          <w:color w:val="auto"/>
          <w:szCs w:val="21"/>
          <w:highlight w:val="none"/>
        </w:rPr>
        <w:t>通过符合性审查的合格供应商不足3家的，不得进入磋商环节，采购人或者采购代理机构应当重新开展采购活动。</w:t>
      </w:r>
    </w:p>
    <w:p>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.磋商程序</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.1</w:t>
      </w:r>
      <w:r>
        <w:rPr>
          <w:rFonts w:hint="eastAsia" w:ascii="宋体" w:hAnsi="宋体" w:cs="宋体"/>
          <w:color w:val="auto"/>
          <w:kern w:val="0"/>
          <w:szCs w:val="21"/>
          <w:highlight w:val="none"/>
        </w:rPr>
        <w:t>磋商小组</w:t>
      </w:r>
      <w:r>
        <w:rPr>
          <w:rFonts w:hint="eastAsia" w:ascii="宋体" w:hAnsi="宋体" w:cs="宋体"/>
          <w:color w:val="auto"/>
          <w:szCs w:val="21"/>
          <w:highlight w:val="none"/>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对磋商文件作出的实质性变动是磋商文件的有效组成部分，由磋商小组及时以电子澄清函形式同时通知所有参加磋商的供应商。</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3.4</w:t>
      </w:r>
      <w:r>
        <w:rPr>
          <w:rFonts w:hint="eastAsia" w:ascii="宋体" w:hAnsi="宋体" w:cs="宋体"/>
          <w:color w:val="auto"/>
          <w:szCs w:val="21"/>
          <w:highlight w:val="none"/>
        </w:rPr>
        <w:t>供应商必须按照磋商文件的变动情况和磋商小组的要求以回函的形式重新提交响应文件，并加盖电子签章。参加磋商的供应商未在规定时间内重新提交响应文件的，视同退出磋商，其响应文件按无效处理。</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3.5</w:t>
      </w:r>
      <w:r>
        <w:rPr>
          <w:rFonts w:hint="eastAsia" w:ascii="宋体" w:hAnsi="宋体" w:cs="宋体"/>
          <w:color w:val="auto"/>
          <w:szCs w:val="21"/>
          <w:highlight w:val="none"/>
        </w:rPr>
        <w:t>磋商中，</w:t>
      </w:r>
      <w:r>
        <w:rPr>
          <w:rFonts w:hint="eastAsia" w:ascii="宋体" w:hAnsi="宋体" w:cs="宋体"/>
          <w:color w:val="auto"/>
          <w:spacing w:val="-6"/>
          <w:szCs w:val="21"/>
          <w:highlight w:val="none"/>
        </w:rPr>
        <w:t>磋商的任何一方不得透露与磋商有关的其他供应商的技术资料、价格和其他信息。</w:t>
      </w:r>
    </w:p>
    <w:p>
      <w:pPr>
        <w:widowControl/>
        <w:tabs>
          <w:tab w:val="left" w:pos="540"/>
        </w:tabs>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3.6</w:t>
      </w:r>
      <w:r>
        <w:rPr>
          <w:rFonts w:hint="eastAsia" w:ascii="宋体" w:hAnsi="宋体" w:cs="宋体"/>
          <w:color w:val="auto"/>
          <w:szCs w:val="21"/>
          <w:highlight w:val="none"/>
        </w:rPr>
        <w:t>采购代理机构对磋商过程和重要磋商内容进行记录。</w:t>
      </w:r>
    </w:p>
    <w:p>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.7</w:t>
      </w:r>
      <w:r>
        <w:rPr>
          <w:color w:val="auto"/>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3.8除</w:t>
      </w:r>
      <w:r>
        <w:rPr>
          <w:color w:val="auto"/>
          <w:highlight w:val="none"/>
        </w:rPr>
        <w:t>本章第3.7条情形</w:t>
      </w:r>
      <w:r>
        <w:rPr>
          <w:rFonts w:hint="eastAsia"/>
          <w:color w:val="auto"/>
          <w:highlight w:val="none"/>
        </w:rPr>
        <w:t>外，</w:t>
      </w:r>
      <w:r>
        <w:rPr>
          <w:rFonts w:hint="eastAsia" w:ascii="宋体" w:hAnsi="宋体"/>
          <w:color w:val="auto"/>
          <w:szCs w:val="21"/>
          <w:highlight w:val="none"/>
        </w:rPr>
        <w:t>对磋商过程提交的响应文件进行有效性、完整性和响应程度审查，通过审查的合格供应商不足3家的，采购人或者采购代理机构应当重新开展采购活动。</w:t>
      </w:r>
    </w:p>
    <w:p>
      <w:pPr>
        <w:spacing w:line="360" w:lineRule="auto"/>
        <w:ind w:firstLine="482" w:firstLineChars="200"/>
        <w:rPr>
          <w:rFonts w:ascii="宋体" w:hAnsi="宋体" w:cs="宋体"/>
          <w:color w:val="auto"/>
          <w:szCs w:val="21"/>
          <w:highlight w:val="none"/>
        </w:rPr>
      </w:pPr>
      <w:r>
        <w:rPr>
          <w:rFonts w:ascii="黑体" w:hAnsi="黑体" w:eastAsia="黑体" w:cs="宋体"/>
          <w:b/>
          <w:bCs/>
          <w:color w:val="auto"/>
          <w:sz w:val="24"/>
          <w:highlight w:val="none"/>
        </w:rPr>
        <w:t>4.</w:t>
      </w:r>
      <w:r>
        <w:rPr>
          <w:rFonts w:hint="eastAsia" w:ascii="黑体" w:hAnsi="黑体" w:eastAsia="黑体" w:cs="宋体"/>
          <w:b/>
          <w:bCs/>
          <w:color w:val="auto"/>
          <w:sz w:val="24"/>
          <w:highlight w:val="none"/>
        </w:rPr>
        <w:t xml:space="preserve"> 最后报价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磋商文件能够详细列明采购标的的技术、服务要求的，磋商结束后，磋商小组应当要求所有继续参加磋商的供应商在规定时间内在“政采云”平台开标大厅提交最后报价，除本章第</w:t>
      </w:r>
      <w:r>
        <w:rPr>
          <w:rFonts w:ascii="宋体" w:hAnsi="宋体" w:cs="宋体"/>
          <w:color w:val="auto"/>
          <w:szCs w:val="21"/>
          <w:highlight w:val="none"/>
        </w:rPr>
        <w:t>4.3</w:t>
      </w:r>
      <w:r>
        <w:rPr>
          <w:rFonts w:hint="eastAsia" w:ascii="宋体" w:hAnsi="宋体" w:cs="宋体"/>
          <w:color w:val="auto"/>
          <w:szCs w:val="21"/>
          <w:highlight w:val="none"/>
        </w:rPr>
        <w:t>条外，提交最后报价的供应商不得少于3家，否则必须重新采购。</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政采云”平台开标大厅提交最后报价。</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 xml:space="preserve"> 最后报价是供应商响应文件的有效组成部分。符合《政府采购竞争性磋商采购方式管理暂行办法》（财库〔2014〕214号）第三条第四项“市场竞争不充分的科研项目，以及需要扶持的科技成果转化项目”和</w:t>
      </w:r>
      <w:r>
        <w:rPr>
          <w:color w:val="auto"/>
          <w:highlight w:val="none"/>
        </w:rPr>
        <w:t>本章第3.7条情形的，</w:t>
      </w:r>
      <w:r>
        <w:rPr>
          <w:rFonts w:hint="eastAsia" w:ascii="宋体" w:hAnsi="宋体" w:cs="宋体"/>
          <w:color w:val="auto"/>
          <w:szCs w:val="21"/>
          <w:highlight w:val="none"/>
        </w:rPr>
        <w:t>提交最后报价的供应商可以为2家。</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已经提交响应文件的供应商，在提交最后报价之前，可以根据磋商情况退出磋商，退出磋商的供应商的响应文件按无效响应处理。采购人、采购代理机构将退还退出磋商的供应商的保证金。</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供应商未在规定时间内提交最后报价的，视同退出磋商，其响应文件按无效处理。</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最后报价统一开启后，磋商小组对最后报价进行有效性、完整性和响应程度的审查。</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4.7</w:t>
      </w:r>
      <w:r>
        <w:rPr>
          <w:rFonts w:hint="eastAsia" w:ascii="宋体" w:hAnsi="宋体" w:cs="宋体"/>
          <w:color w:val="auto"/>
          <w:szCs w:val="21"/>
          <w:highlight w:val="none"/>
        </w:rPr>
        <w:t>最后报价出现前后不一致的，按照本章第</w:t>
      </w:r>
      <w:r>
        <w:rPr>
          <w:rFonts w:ascii="宋体" w:hAnsi="宋体" w:cs="宋体"/>
          <w:color w:val="auto"/>
          <w:szCs w:val="21"/>
          <w:highlight w:val="none"/>
        </w:rPr>
        <w:t>2.4</w:t>
      </w:r>
      <w:r>
        <w:rPr>
          <w:rFonts w:hint="eastAsia" w:ascii="宋体" w:hAnsi="宋体" w:cs="宋体"/>
          <w:color w:val="auto"/>
          <w:szCs w:val="21"/>
          <w:highlight w:val="none"/>
        </w:rPr>
        <w:t xml:space="preserve">条的规定修正。 </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4.8</w:t>
      </w:r>
      <w:r>
        <w:rPr>
          <w:rFonts w:hint="eastAsia" w:ascii="宋体" w:hAnsi="宋体" w:cs="宋体"/>
          <w:color w:val="auto"/>
          <w:szCs w:val="21"/>
          <w:highlight w:val="none"/>
        </w:rPr>
        <w:t>修正后的报价出现下列情形的，按无效响应处理：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（2）经供应商确认修正后的竞标报价（包含首次报价、最后报价）超过所竞标分标规定的采购预算金额或者最高限价的（如本项目公布了最高限价）；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4.9</w:t>
      </w:r>
      <w:r>
        <w:rPr>
          <w:rFonts w:hint="eastAsia" w:ascii="宋体" w:hAnsi="宋体" w:cs="宋体"/>
          <w:color w:val="auto"/>
          <w:szCs w:val="21"/>
          <w:highlight w:val="none"/>
        </w:rPr>
        <w:t>经供应商确认修正后的最后报价作为评审及签订合同的依据。</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4.10供应商出现最后报价按无效响应处理或者响应文件按无效处理时</w:t>
      </w:r>
      <w:r>
        <w:rPr>
          <w:rFonts w:hint="eastAsia" w:ascii="宋体" w:hAnsi="宋体"/>
          <w:color w:val="auto"/>
          <w:sz w:val="22"/>
          <w:szCs w:val="22"/>
          <w:highlight w:val="none"/>
        </w:rPr>
        <w:t>，磋商小组应当告知有关供应商</w:t>
      </w:r>
      <w:r>
        <w:rPr>
          <w:rFonts w:hint="eastAsia" w:ascii="宋体" w:hAnsi="宋体" w:cs="宋体"/>
          <w:color w:val="auto"/>
          <w:szCs w:val="21"/>
          <w:highlight w:val="none"/>
        </w:rPr>
        <w:t>。</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1最后报价结束后，磋商小组不得再与供应商进行任何形式的商谈。</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比较与评价</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评审方法：综合评分法。</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经磋商确定最终采购需求和提交最后报价的供应商后，由磋商小组采用综合评分法对提交最后报价的供应商的响应文件和最后报价进行综合评分。</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评审时，磋商小组各成员应当独立对每个有效响应的文件进行评价、打分，然后汇总每个供应商每项评分因素的得分。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pPr>
        <w:spacing w:line="360" w:lineRule="auto"/>
        <w:ind w:firstLine="420" w:firstLineChars="200"/>
        <w:rPr>
          <w:rFonts w:ascii="宋体" w:hAnsi="宋体"/>
          <w:color w:val="auto"/>
          <w:kern w:val="0"/>
          <w:szCs w:val="21"/>
          <w:highlight w:val="none"/>
        </w:rPr>
      </w:pPr>
      <w:r>
        <w:rPr>
          <w:rFonts w:ascii="宋体" w:hAnsi="宋体" w:cs="宋体"/>
          <w:color w:val="auto"/>
          <w:szCs w:val="21"/>
          <w:highlight w:val="none"/>
        </w:rPr>
        <w:t>5.5</w:t>
      </w:r>
      <w:r>
        <w:rPr>
          <w:rFonts w:hint="eastAsia" w:ascii="宋体" w:hAnsi="宋体" w:cs="宋体"/>
          <w:color w:val="auto"/>
          <w:szCs w:val="21"/>
          <w:highlight w:val="none"/>
        </w:rPr>
        <w:t>由磋商小组根据综合评分情况，按照评审得分由高到低顺序推荐3名以上成交候选供应商，并编写评</w:t>
      </w:r>
      <w:r>
        <w:rPr>
          <w:rFonts w:hint="eastAsia" w:ascii="宋体" w:hAnsi="宋体"/>
          <w:color w:val="auto"/>
          <w:kern w:val="0"/>
          <w:szCs w:val="21"/>
          <w:highlight w:val="none"/>
        </w:rPr>
        <w:t>审报告。符合本章第</w:t>
      </w:r>
      <w:r>
        <w:rPr>
          <w:rFonts w:ascii="宋体" w:hAnsi="宋体"/>
          <w:color w:val="auto"/>
          <w:kern w:val="0"/>
          <w:szCs w:val="21"/>
          <w:highlight w:val="none"/>
        </w:rPr>
        <w:t>4.3</w:t>
      </w:r>
      <w:r>
        <w:rPr>
          <w:rFonts w:hint="eastAsia" w:ascii="宋体" w:hAnsi="宋体"/>
          <w:color w:val="auto"/>
          <w:kern w:val="0"/>
          <w:szCs w:val="21"/>
          <w:highlight w:val="none"/>
        </w:rPr>
        <w:t>条情形的，可以推荐2家成交候选供应商。评审得分相同的，按照最后报价由低到高的顺序推荐。评审得分且最后报价相同的，按照技术指标优劣顺序推荐。</w:t>
      </w:r>
    </w:p>
    <w:p>
      <w:pPr>
        <w:spacing w:line="360" w:lineRule="auto"/>
        <w:ind w:firstLine="420" w:firstLineChars="200"/>
        <w:rPr>
          <w:rFonts w:ascii="宋体" w:hAnsi="宋体" w:cs="宋体"/>
          <w:color w:val="auto"/>
          <w:szCs w:val="21"/>
          <w:highlight w:val="none"/>
        </w:rPr>
      </w:pPr>
      <w:r>
        <w:rPr>
          <w:rFonts w:ascii="宋体" w:hAnsi="宋体"/>
          <w:color w:val="auto"/>
          <w:kern w:val="0"/>
          <w:szCs w:val="21"/>
          <w:highlight w:val="none"/>
        </w:rPr>
        <w:t>5.6</w:t>
      </w:r>
      <w:r>
        <w:rPr>
          <w:rFonts w:hint="eastAsia" w:ascii="宋体" w:hAnsi="宋体"/>
          <w:color w:val="auto"/>
          <w:kern w:val="0"/>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二、评审标准</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w:t>
      </w:r>
      <w:r>
        <w:rPr>
          <w:rFonts w:ascii="宋体" w:hAnsi="宋体"/>
          <w:bCs/>
          <w:color w:val="auto"/>
          <w:szCs w:val="21"/>
          <w:highlight w:val="none"/>
        </w:rPr>
        <w:t>.</w:t>
      </w:r>
      <w:r>
        <w:rPr>
          <w:rFonts w:hint="eastAsia" w:ascii="宋体" w:hAnsi="宋体"/>
          <w:bCs/>
          <w:color w:val="auto"/>
          <w:szCs w:val="21"/>
          <w:highlight w:val="none"/>
        </w:rPr>
        <w:t>评审依据：磋商小组将以磋商响应文件为评审依据，对供应商的报价、技术、商务等方面内容按百分制打分。（计分方法按四舍五入取至百分位）</w:t>
      </w:r>
    </w:p>
    <w:p>
      <w:pPr>
        <w:spacing w:line="360" w:lineRule="auto"/>
        <w:ind w:firstLine="420" w:firstLineChars="200"/>
        <w:rPr>
          <w:rFonts w:ascii="宋体" w:hAnsi="宋体"/>
          <w:bCs/>
          <w:color w:val="auto"/>
          <w:szCs w:val="21"/>
          <w:highlight w:val="none"/>
        </w:rPr>
      </w:pPr>
    </w:p>
    <w:p>
      <w:pPr>
        <w:spacing w:line="360" w:lineRule="auto"/>
        <w:ind w:firstLine="420" w:firstLineChars="200"/>
        <w:rPr>
          <w:rFonts w:ascii="宋体" w:hAnsi="宋体"/>
          <w:bCs/>
          <w:color w:val="auto"/>
          <w:szCs w:val="21"/>
          <w:highlight w:val="none"/>
        </w:rPr>
      </w:pPr>
    </w:p>
    <w:p>
      <w:pPr>
        <w:spacing w:line="360" w:lineRule="auto"/>
        <w:ind w:firstLine="420" w:firstLineChars="200"/>
        <w:rPr>
          <w:rFonts w:ascii="宋体" w:hAnsi="宋体"/>
          <w:bCs/>
          <w:color w:val="auto"/>
          <w:szCs w:val="21"/>
          <w:highlight w:val="none"/>
        </w:rPr>
      </w:pPr>
    </w:p>
    <w:p>
      <w:pPr>
        <w:spacing w:line="360" w:lineRule="auto"/>
        <w:ind w:firstLine="420" w:firstLineChars="200"/>
        <w:rPr>
          <w:rFonts w:ascii="宋体" w:hAnsi="宋体"/>
          <w:bCs/>
          <w:color w:val="auto"/>
          <w:szCs w:val="21"/>
          <w:highlight w:val="none"/>
        </w:rPr>
      </w:pPr>
    </w:p>
    <w:p>
      <w:pPr>
        <w:pStyle w:val="2"/>
      </w:pPr>
    </w:p>
    <w:p>
      <w:pPr>
        <w:spacing w:line="360" w:lineRule="auto"/>
        <w:ind w:firstLine="420" w:firstLineChars="200"/>
        <w:rPr>
          <w:rFonts w:ascii="宋体" w:hAnsi="宋体"/>
          <w:bCs/>
          <w:color w:val="auto"/>
          <w:szCs w:val="21"/>
          <w:highlight w:val="none"/>
        </w:rPr>
      </w:pPr>
    </w:p>
    <w:p>
      <w:pPr>
        <w:spacing w:line="360" w:lineRule="auto"/>
        <w:ind w:firstLine="420" w:firstLineChars="200"/>
        <w:rPr>
          <w:rFonts w:ascii="宋体" w:hAnsi="宋体"/>
          <w:bCs/>
          <w:color w:val="auto"/>
          <w:szCs w:val="21"/>
          <w:highlight w:val="none"/>
        </w:rPr>
      </w:pPr>
    </w:p>
    <w:p>
      <w:pPr>
        <w:spacing w:line="360" w:lineRule="auto"/>
        <w:ind w:firstLine="420" w:firstLineChars="200"/>
        <w:rPr>
          <w:rFonts w:ascii="宋体" w:hAnsi="宋体"/>
          <w:bCs/>
          <w:color w:val="auto"/>
          <w:szCs w:val="21"/>
          <w:highlight w:val="none"/>
        </w:rPr>
      </w:pPr>
    </w:p>
    <w:p>
      <w:pPr>
        <w:spacing w:line="360" w:lineRule="auto"/>
        <w:ind w:firstLine="420" w:firstLineChars="200"/>
        <w:rPr>
          <w:rFonts w:ascii="宋体" w:hAnsi="宋体"/>
          <w:bCs/>
          <w:color w:val="auto"/>
          <w:szCs w:val="21"/>
          <w:highlight w:val="none"/>
        </w:rPr>
      </w:pPr>
    </w:p>
    <w:p>
      <w:pPr>
        <w:spacing w:line="360" w:lineRule="auto"/>
        <w:ind w:firstLine="420" w:firstLineChars="200"/>
        <w:rPr>
          <w:rFonts w:ascii="宋体" w:hAnsi="宋体"/>
          <w:bCs/>
          <w:color w:val="auto"/>
          <w:szCs w:val="21"/>
          <w:highlight w:val="none"/>
        </w:rPr>
      </w:pPr>
    </w:p>
    <w:p>
      <w:pPr>
        <w:pStyle w:val="74"/>
        <w:spacing w:line="300" w:lineRule="auto"/>
        <w:ind w:firstLine="422"/>
        <w:outlineLvl w:val="1"/>
        <w:rPr>
          <w:rFonts w:ascii="宋体" w:hAnsi="宋体"/>
          <w:b/>
          <w:bCs/>
          <w:color w:val="auto"/>
          <w:szCs w:val="21"/>
          <w:highlight w:val="none"/>
        </w:rPr>
      </w:pPr>
      <w:r>
        <w:rPr>
          <w:rFonts w:hint="eastAsia" w:ascii="宋体" w:hAnsi="宋体"/>
          <w:b/>
          <w:bCs/>
          <w:color w:val="auto"/>
          <w:szCs w:val="21"/>
          <w:highlight w:val="none"/>
        </w:rPr>
        <w:t>1.价格分…………………………………………………………………………10分</w:t>
      </w:r>
    </w:p>
    <w:p>
      <w:pPr>
        <w:spacing w:line="400" w:lineRule="exact"/>
        <w:ind w:firstLine="420"/>
        <w:rPr>
          <w:rFonts w:ascii="宋体" w:hAnsi="宋体"/>
          <w:color w:val="auto"/>
          <w:szCs w:val="21"/>
          <w:highlight w:val="none"/>
        </w:rPr>
      </w:pPr>
      <w:r>
        <w:rPr>
          <w:rFonts w:hint="eastAsia" w:ascii="宋体" w:hAnsi="宋体"/>
          <w:color w:val="auto"/>
          <w:szCs w:val="21"/>
          <w:highlight w:val="none"/>
        </w:rPr>
        <w:t>（1）评审价为供应商的最后报价进行政策性扣除后的价格，评审价只是作为评审时使用。最终成交供应商的成交金额等于最后报价（如有修正，以确认修正后的最后报价为准）。</w:t>
      </w:r>
    </w:p>
    <w:p>
      <w:pPr>
        <w:spacing w:line="400" w:lineRule="exact"/>
        <w:ind w:firstLine="420"/>
        <w:rPr>
          <w:rFonts w:ascii="宋体" w:hAnsi="宋体"/>
          <w:color w:val="auto"/>
          <w:szCs w:val="21"/>
          <w:highlight w:val="none"/>
        </w:rPr>
      </w:pPr>
      <w:r>
        <w:rPr>
          <w:rFonts w:hint="eastAsia" w:ascii="宋体" w:hAnsi="宋体"/>
          <w:color w:val="auto"/>
          <w:szCs w:val="21"/>
          <w:highlight w:val="none"/>
        </w:rPr>
        <w:t>（2）政府采购政策性扣除计算方法</w:t>
      </w:r>
    </w:p>
    <w:p>
      <w:pPr>
        <w:spacing w:line="400" w:lineRule="exact"/>
        <w:ind w:firstLine="420"/>
        <w:rPr>
          <w:rFonts w:ascii="宋体" w:hAnsi="宋体"/>
          <w:color w:val="auto"/>
          <w:szCs w:val="21"/>
          <w:highlight w:val="none"/>
        </w:rPr>
      </w:pPr>
      <w:r>
        <w:rPr>
          <w:rFonts w:hint="eastAsia" w:ascii="宋体" w:hAnsi="宋体"/>
          <w:color w:val="auto"/>
          <w:szCs w:val="21"/>
          <w:highlight w:val="none"/>
        </w:rPr>
        <w:t>根据《政府采购促进中小企业发展管理办法》（财库〔2020〕46号）的规定，供应商在其响应文件中提供《中小企业声明函》，且服务全部由小微企业承接，对供应商的竞标报价给予10%的扣除，扣除后的价格为评审价，即评审价=竞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2%的扣除，用扣除后的价格参加评审，扣除后的价格为评审价，即评审价=竞标报价×（1-2%）。除上述情况外，评审价=竞标报价。</w:t>
      </w:r>
    </w:p>
    <w:p>
      <w:pPr>
        <w:spacing w:line="400" w:lineRule="exact"/>
        <w:ind w:firstLine="420"/>
        <w:rPr>
          <w:rFonts w:ascii="宋体" w:hAnsi="宋体"/>
          <w:color w:val="auto"/>
          <w:szCs w:val="21"/>
          <w:highlight w:val="none"/>
        </w:rPr>
      </w:pPr>
      <w:r>
        <w:rPr>
          <w:rFonts w:hint="eastAsia" w:ascii="宋体" w:hAnsi="宋体"/>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pPr>
        <w:spacing w:line="400" w:lineRule="exact"/>
        <w:ind w:firstLine="420"/>
        <w:rPr>
          <w:rFonts w:ascii="宋体" w:hAnsi="宋体"/>
          <w:color w:val="auto"/>
          <w:szCs w:val="21"/>
          <w:highlight w:val="none"/>
        </w:rPr>
      </w:pPr>
      <w:r>
        <w:rPr>
          <w:rFonts w:hint="eastAsia" w:ascii="宋体" w:hAnsi="宋体"/>
          <w:color w:val="auto"/>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pPr>
        <w:spacing w:line="400" w:lineRule="exact"/>
        <w:ind w:firstLine="420"/>
        <w:rPr>
          <w:rFonts w:ascii="宋体" w:hAnsi="宋体"/>
          <w:color w:val="auto"/>
          <w:szCs w:val="21"/>
          <w:highlight w:val="none"/>
        </w:rPr>
      </w:pPr>
      <w:r>
        <w:rPr>
          <w:rFonts w:hint="eastAsia" w:ascii="宋体" w:hAnsi="宋体"/>
          <w:color w:val="auto"/>
          <w:szCs w:val="21"/>
          <w:highlight w:val="none"/>
        </w:rPr>
        <w:t>（5）以进入比较与评价环节的最低的评审价为基准价，基准价得分为10分。</w:t>
      </w:r>
    </w:p>
    <w:p>
      <w:pPr>
        <w:spacing w:line="400" w:lineRule="exact"/>
        <w:ind w:firstLine="420"/>
        <w:rPr>
          <w:rFonts w:ascii="宋体" w:hAnsi="宋体"/>
          <w:color w:val="auto"/>
          <w:szCs w:val="21"/>
          <w:highlight w:val="none"/>
        </w:rPr>
      </w:pPr>
      <w:r>
        <w:rPr>
          <w:rFonts w:hint="eastAsia" w:ascii="宋体" w:hAnsi="宋体"/>
          <w:color w:val="auto"/>
          <w:szCs w:val="21"/>
          <w:highlight w:val="none"/>
        </w:rPr>
        <w:t>（6）价格分计算公式：</w:t>
      </w:r>
    </w:p>
    <w:p>
      <w:pPr>
        <w:spacing w:line="400" w:lineRule="exact"/>
        <w:ind w:firstLine="420"/>
        <w:rPr>
          <w:rFonts w:ascii="宋体" w:hAnsi="宋体"/>
          <w:color w:val="auto"/>
          <w:szCs w:val="21"/>
          <w:highlight w:val="none"/>
        </w:rPr>
      </w:pPr>
      <w:r>
        <w:rPr>
          <w:rFonts w:hint="eastAsia" w:ascii="宋体" w:hAnsi="宋体"/>
          <w:color w:val="auto"/>
          <w:szCs w:val="21"/>
          <w:highlight w:val="none"/>
        </w:rPr>
        <w:t>报价得分=（基准价/最后报价）× 10分</w:t>
      </w:r>
    </w:p>
    <w:p>
      <w:pPr>
        <w:spacing w:line="400" w:lineRule="exact"/>
        <w:ind w:firstLine="420"/>
        <w:rPr>
          <w:rFonts w:ascii="宋体" w:hAnsi="宋体"/>
          <w:bCs/>
          <w:color w:val="auto"/>
          <w:kern w:val="0"/>
          <w:szCs w:val="21"/>
          <w:highlight w:val="none"/>
        </w:rPr>
      </w:pPr>
      <w:r>
        <w:rPr>
          <w:rFonts w:hint="eastAsia" w:ascii="宋体" w:hAnsi="宋体"/>
          <w:b/>
          <w:color w:val="auto"/>
          <w:szCs w:val="21"/>
          <w:highlight w:val="none"/>
        </w:rPr>
        <w:t>2.技术分</w:t>
      </w:r>
      <w:r>
        <w:rPr>
          <w:rFonts w:hint="eastAsia" w:ascii="宋体" w:hAnsi="宋体"/>
          <w:b/>
          <w:bCs/>
          <w:color w:val="auto"/>
          <w:kern w:val="0"/>
          <w:szCs w:val="21"/>
          <w:highlight w:val="none"/>
        </w:rPr>
        <w:t>………………………………………………………………………5</w:t>
      </w:r>
      <w:r>
        <w:rPr>
          <w:rFonts w:hint="eastAsia" w:ascii="宋体" w:hAnsi="宋体"/>
          <w:b/>
          <w:bCs/>
          <w:color w:val="auto"/>
          <w:kern w:val="0"/>
          <w:szCs w:val="21"/>
          <w:highlight w:val="none"/>
          <w:lang w:val="en-US" w:eastAsia="zh-CN"/>
        </w:rPr>
        <w:t>5</w:t>
      </w:r>
      <w:r>
        <w:rPr>
          <w:rFonts w:hint="eastAsia" w:ascii="宋体" w:hAnsi="宋体"/>
          <w:b/>
          <w:bCs/>
          <w:color w:val="auto"/>
          <w:kern w:val="0"/>
          <w:szCs w:val="21"/>
          <w:highlight w:val="none"/>
        </w:rPr>
        <w:t>分</w:t>
      </w:r>
    </w:p>
    <w:p>
      <w:pPr>
        <w:spacing w:line="440" w:lineRule="exact"/>
        <w:ind w:firstLine="426" w:firstLineChars="202"/>
        <w:contextualSpacing/>
        <w:rPr>
          <w:rFonts w:ascii="宋体" w:hAnsi="宋体"/>
          <w:color w:val="auto"/>
          <w:szCs w:val="21"/>
          <w:highlight w:val="none"/>
        </w:rPr>
      </w:pPr>
      <w:r>
        <w:rPr>
          <w:rFonts w:hint="eastAsia" w:ascii="宋体" w:hAnsi="宋体"/>
          <w:b/>
          <w:color w:val="auto"/>
          <w:szCs w:val="21"/>
          <w:highlight w:val="none"/>
        </w:rPr>
        <w:t>（1）需求方案（15分）</w:t>
      </w:r>
      <w:r>
        <w:rPr>
          <w:rFonts w:hint="eastAsia" w:ascii="宋体" w:hAnsi="宋体"/>
          <w:color w:val="auto"/>
          <w:szCs w:val="21"/>
          <w:highlight w:val="none"/>
        </w:rPr>
        <w:t>　</w:t>
      </w:r>
    </w:p>
    <w:p>
      <w:pPr>
        <w:spacing w:line="440" w:lineRule="exact"/>
        <w:ind w:firstLine="424" w:firstLineChars="202"/>
        <w:contextualSpacing/>
        <w:rPr>
          <w:rFonts w:ascii="宋体" w:hAnsi="宋体"/>
          <w:bCs/>
          <w:color w:val="auto"/>
          <w:szCs w:val="21"/>
          <w:highlight w:val="none"/>
        </w:rPr>
      </w:pPr>
      <w:r>
        <w:rPr>
          <w:rFonts w:hint="eastAsia" w:ascii="宋体" w:hAnsi="宋体"/>
          <w:color w:val="auto"/>
          <w:szCs w:val="21"/>
          <w:highlight w:val="none"/>
        </w:rPr>
        <w:t>　　</w:t>
      </w:r>
      <w:r>
        <w:rPr>
          <w:rFonts w:hint="eastAsia" w:ascii="宋体" w:hAnsi="宋体"/>
          <w:bCs/>
          <w:color w:val="auto"/>
          <w:szCs w:val="21"/>
          <w:highlight w:val="none"/>
        </w:rPr>
        <w:t>一档（1分）对广西安全生产监测预警系统</w:t>
      </w:r>
      <w:r>
        <w:rPr>
          <w:rFonts w:hint="eastAsia" w:ascii="宋体" w:hAnsi="宋体"/>
          <w:color w:val="auto"/>
          <w:szCs w:val="21"/>
          <w:highlight w:val="none"/>
        </w:rPr>
        <w:t>现有建设情况、网络架构、</w:t>
      </w:r>
      <w:r>
        <w:rPr>
          <w:rFonts w:ascii="宋体" w:hAnsi="宋体"/>
          <w:color w:val="auto"/>
          <w:szCs w:val="21"/>
          <w:highlight w:val="none"/>
        </w:rPr>
        <w:t>系统功能、</w:t>
      </w:r>
      <w:r>
        <w:rPr>
          <w:rFonts w:hint="eastAsia" w:ascii="宋体" w:hAnsi="宋体"/>
          <w:color w:val="auto"/>
          <w:szCs w:val="21"/>
          <w:highlight w:val="none"/>
        </w:rPr>
        <w:t>数据对接</w:t>
      </w:r>
      <w:r>
        <w:rPr>
          <w:rFonts w:ascii="宋体" w:hAnsi="宋体"/>
          <w:color w:val="auto"/>
          <w:szCs w:val="21"/>
          <w:highlight w:val="none"/>
        </w:rPr>
        <w:t>标准和新增功能需求</w:t>
      </w:r>
      <w:r>
        <w:rPr>
          <w:rFonts w:hint="eastAsia" w:ascii="宋体" w:hAnsi="宋体"/>
          <w:bCs/>
          <w:color w:val="auto"/>
          <w:szCs w:val="21"/>
          <w:highlight w:val="none"/>
        </w:rPr>
        <w:t>等不熟悉、不了解；对本次项目服务内容的需求理解和设计等不符合实际监管要求。</w:t>
      </w:r>
    </w:p>
    <w:p>
      <w:pPr>
        <w:spacing w:line="440" w:lineRule="exact"/>
        <w:ind w:firstLine="424" w:firstLineChars="202"/>
        <w:contextualSpacing/>
        <w:rPr>
          <w:rFonts w:ascii="宋体" w:hAnsi="宋体"/>
          <w:bCs/>
          <w:color w:val="auto"/>
          <w:szCs w:val="21"/>
          <w:highlight w:val="none"/>
        </w:rPr>
      </w:pPr>
      <w:r>
        <w:rPr>
          <w:rFonts w:ascii="宋体" w:hAnsi="宋体"/>
          <w:bCs/>
          <w:color w:val="auto"/>
          <w:szCs w:val="21"/>
          <w:highlight w:val="none"/>
        </w:rPr>
        <w:t>二档</w:t>
      </w:r>
      <w:r>
        <w:rPr>
          <w:rFonts w:hint="eastAsia" w:ascii="宋体" w:hAnsi="宋体"/>
          <w:bCs/>
          <w:color w:val="auto"/>
          <w:szCs w:val="21"/>
          <w:highlight w:val="none"/>
        </w:rPr>
        <w:t>（7分）：对广西安全生产监测预警系统</w:t>
      </w:r>
      <w:r>
        <w:rPr>
          <w:rFonts w:hint="eastAsia" w:ascii="宋体" w:hAnsi="宋体"/>
          <w:color w:val="auto"/>
          <w:szCs w:val="21"/>
          <w:highlight w:val="none"/>
        </w:rPr>
        <w:t>现有建设情况、网络架构、系统功能、数据对接</w:t>
      </w:r>
      <w:r>
        <w:rPr>
          <w:rFonts w:ascii="宋体" w:hAnsi="宋体"/>
          <w:color w:val="auto"/>
          <w:szCs w:val="21"/>
          <w:highlight w:val="none"/>
        </w:rPr>
        <w:t>标准</w:t>
      </w:r>
      <w:r>
        <w:rPr>
          <w:rFonts w:hint="eastAsia" w:ascii="宋体" w:hAnsi="宋体"/>
          <w:color w:val="auto"/>
          <w:szCs w:val="21"/>
          <w:highlight w:val="none"/>
        </w:rPr>
        <w:t>和新增功能需求</w:t>
      </w:r>
      <w:r>
        <w:rPr>
          <w:rFonts w:hint="eastAsia" w:ascii="宋体" w:hAnsi="宋体"/>
          <w:bCs/>
          <w:color w:val="auto"/>
          <w:szCs w:val="21"/>
          <w:highlight w:val="none"/>
        </w:rPr>
        <w:t>基本熟悉和了解；对本次项目服务内容的需求理解和设计等基本熟悉和了解；对本次项目服务内容的需求理解和设计等比较简单，基本符合实际监管要求。</w:t>
      </w:r>
    </w:p>
    <w:p>
      <w:pPr>
        <w:spacing w:line="440" w:lineRule="exact"/>
        <w:ind w:firstLine="424" w:firstLineChars="202"/>
        <w:contextualSpacing/>
        <w:rPr>
          <w:rFonts w:ascii="宋体" w:hAnsi="宋体"/>
          <w:bCs/>
          <w:color w:val="auto"/>
          <w:szCs w:val="21"/>
          <w:highlight w:val="none"/>
        </w:rPr>
      </w:pPr>
      <w:r>
        <w:rPr>
          <w:rFonts w:ascii="宋体" w:hAnsi="宋体"/>
          <w:bCs/>
          <w:color w:val="auto"/>
          <w:szCs w:val="21"/>
          <w:highlight w:val="none"/>
        </w:rPr>
        <w:t>三档</w:t>
      </w:r>
      <w:r>
        <w:rPr>
          <w:rFonts w:hint="eastAsia" w:ascii="宋体" w:hAnsi="宋体"/>
          <w:bCs/>
          <w:color w:val="auto"/>
          <w:szCs w:val="21"/>
          <w:highlight w:val="none"/>
        </w:rPr>
        <w:t>（15分）：对广西安全生产监测预警系统</w:t>
      </w:r>
      <w:r>
        <w:rPr>
          <w:rFonts w:hint="eastAsia" w:ascii="宋体" w:hAnsi="宋体"/>
          <w:color w:val="auto"/>
          <w:szCs w:val="21"/>
          <w:highlight w:val="none"/>
        </w:rPr>
        <w:t>现有建设情况、网络架构、系统功能、数据对接</w:t>
      </w:r>
      <w:r>
        <w:rPr>
          <w:rFonts w:ascii="宋体" w:hAnsi="宋体"/>
          <w:color w:val="auto"/>
          <w:szCs w:val="21"/>
          <w:highlight w:val="none"/>
        </w:rPr>
        <w:t>标准</w:t>
      </w:r>
      <w:r>
        <w:rPr>
          <w:rFonts w:hint="eastAsia" w:ascii="宋体" w:hAnsi="宋体"/>
          <w:color w:val="auto"/>
          <w:szCs w:val="21"/>
          <w:highlight w:val="none"/>
        </w:rPr>
        <w:t>和新增功能需求</w:t>
      </w:r>
      <w:r>
        <w:rPr>
          <w:rFonts w:hint="eastAsia" w:ascii="宋体" w:hAnsi="宋体"/>
          <w:bCs/>
          <w:color w:val="auto"/>
          <w:szCs w:val="21"/>
          <w:highlight w:val="none"/>
        </w:rPr>
        <w:t>等非常熟悉和了解；对本次项目服务内容的需求理解和设计等等比较详细，完全符合实际监管要求。</w:t>
      </w:r>
    </w:p>
    <w:p>
      <w:pPr>
        <w:pStyle w:val="13"/>
        <w:ind w:left="410" w:leftChars="146" w:hanging="103" w:hangingChars="49"/>
        <w:rPr>
          <w:rFonts w:ascii="宋体" w:hAnsi="宋体"/>
          <w:b/>
          <w:color w:val="auto"/>
          <w:szCs w:val="21"/>
          <w:highlight w:val="none"/>
        </w:rPr>
      </w:pPr>
      <w:r>
        <w:rPr>
          <w:rFonts w:hint="eastAsia" w:ascii="宋体" w:hAnsi="宋体"/>
          <w:b/>
          <w:color w:val="auto"/>
          <w:szCs w:val="21"/>
          <w:highlight w:val="none"/>
        </w:rPr>
        <w:t>（2）技术方案（15分）</w:t>
      </w:r>
    </w:p>
    <w:p>
      <w:pPr>
        <w:spacing w:line="440" w:lineRule="exact"/>
        <w:ind w:firstLine="424" w:firstLineChars="202"/>
        <w:contextualSpacing/>
        <w:rPr>
          <w:rFonts w:ascii="宋体" w:hAnsi="宋体"/>
          <w:color w:val="auto"/>
          <w:szCs w:val="21"/>
          <w:highlight w:val="none"/>
        </w:rPr>
      </w:pPr>
      <w:r>
        <w:rPr>
          <w:rFonts w:hint="eastAsia" w:ascii="宋体" w:hAnsi="宋体"/>
          <w:color w:val="auto"/>
          <w:szCs w:val="21"/>
          <w:highlight w:val="none"/>
        </w:rPr>
        <w:t>一档（1分）：评定范围为：提供了项目技术方案，方案功能模块简单、技术方案对本项目针对性不强，稍微满足项目要求。</w:t>
      </w:r>
    </w:p>
    <w:p>
      <w:pPr>
        <w:spacing w:line="440" w:lineRule="exact"/>
        <w:ind w:firstLine="424" w:firstLineChars="202"/>
        <w:contextualSpacing/>
        <w:rPr>
          <w:rFonts w:ascii="宋体" w:hAnsi="宋体"/>
          <w:color w:val="auto"/>
          <w:szCs w:val="21"/>
          <w:highlight w:val="none"/>
        </w:rPr>
      </w:pPr>
      <w:r>
        <w:rPr>
          <w:rFonts w:hint="eastAsia" w:ascii="宋体" w:hAnsi="宋体"/>
          <w:color w:val="auto"/>
          <w:szCs w:val="21"/>
          <w:highlight w:val="none"/>
        </w:rPr>
        <w:t>二档（7分）：评定范围为：提供了项目技术方案，详细描述了各模块的功能以及实现的技术方案，完全满足项目要求。</w:t>
      </w:r>
    </w:p>
    <w:p>
      <w:pPr>
        <w:spacing w:line="440" w:lineRule="exact"/>
        <w:ind w:firstLine="424" w:firstLineChars="202"/>
        <w:contextualSpacing/>
        <w:rPr>
          <w:color w:val="auto"/>
          <w:highlight w:val="none"/>
        </w:rPr>
      </w:pPr>
      <w:r>
        <w:rPr>
          <w:rFonts w:hint="eastAsia" w:ascii="宋体" w:hAnsi="宋体"/>
          <w:color w:val="auto"/>
          <w:szCs w:val="21"/>
          <w:highlight w:val="none"/>
        </w:rPr>
        <w:t>三档（15分）：评定范围为：提供了项目技术方案，对用户需求理解透彻，方案针对性强，详细描述各模块的功能及实现技术方案，对项目建设总体框架的设计和描述先进、合理、完整、可行。技术方案可行且具有较高的科学性、先进性、可靠性、成熟性、合理性和扩展性。</w:t>
      </w:r>
    </w:p>
    <w:p>
      <w:pPr>
        <w:spacing w:line="400" w:lineRule="exact"/>
        <w:ind w:firstLine="413" w:firstLineChars="196"/>
        <w:rPr>
          <w:rFonts w:ascii="宋体" w:hAnsi="宋体"/>
          <w:b/>
          <w:color w:val="auto"/>
          <w:szCs w:val="21"/>
          <w:highlight w:val="none"/>
        </w:rPr>
      </w:pPr>
      <w:r>
        <w:rPr>
          <w:rFonts w:hint="eastAsia" w:ascii="宋体" w:hAnsi="宋体"/>
          <w:b/>
          <w:color w:val="auto"/>
          <w:szCs w:val="21"/>
          <w:highlight w:val="none"/>
        </w:rPr>
        <w:t>（3）组织实施方案（5分）</w:t>
      </w:r>
    </w:p>
    <w:p>
      <w:pPr>
        <w:spacing w:line="440" w:lineRule="exact"/>
        <w:ind w:firstLine="424" w:firstLineChars="202"/>
        <w:contextualSpacing/>
        <w:rPr>
          <w:rFonts w:ascii="宋体" w:hAnsi="宋体"/>
          <w:bCs/>
          <w:color w:val="auto"/>
          <w:szCs w:val="21"/>
          <w:highlight w:val="none"/>
        </w:rPr>
      </w:pPr>
      <w:r>
        <w:rPr>
          <w:rFonts w:hint="eastAsia" w:ascii="宋体" w:hAnsi="宋体"/>
          <w:bCs/>
          <w:color w:val="auto"/>
          <w:szCs w:val="21"/>
          <w:highlight w:val="none"/>
        </w:rPr>
        <w:t>供应商提交的组织实施方案，应包含实施人员安排、施工进度计划及进度保障、项目质量保障、培训计划等内容。</w:t>
      </w:r>
    </w:p>
    <w:p>
      <w:pPr>
        <w:spacing w:line="440" w:lineRule="exact"/>
        <w:ind w:firstLine="424" w:firstLineChars="202"/>
        <w:contextualSpacing/>
        <w:rPr>
          <w:rFonts w:ascii="宋体" w:hAnsi="宋体"/>
          <w:bCs/>
          <w:color w:val="auto"/>
          <w:szCs w:val="21"/>
          <w:highlight w:val="none"/>
        </w:rPr>
      </w:pPr>
      <w:r>
        <w:rPr>
          <w:rFonts w:hint="eastAsia" w:ascii="宋体" w:hAnsi="宋体"/>
          <w:bCs/>
          <w:color w:val="auto"/>
          <w:szCs w:val="21"/>
          <w:highlight w:val="none"/>
        </w:rPr>
        <w:t>一档（1分）：供应商实施方案简单，基本阐述清楚实施方法及保障措施，有项目管理组织机构图、工作安排能说明人员安排及施工进度安排，形成项目管理文档计划，有简单的培训计划。</w:t>
      </w:r>
    </w:p>
    <w:p>
      <w:pPr>
        <w:spacing w:line="440" w:lineRule="exact"/>
        <w:ind w:firstLine="424" w:firstLineChars="202"/>
        <w:contextualSpacing/>
        <w:rPr>
          <w:rFonts w:ascii="宋体" w:hAnsi="宋体"/>
          <w:bCs/>
          <w:color w:val="auto"/>
          <w:szCs w:val="21"/>
          <w:highlight w:val="none"/>
        </w:rPr>
      </w:pPr>
      <w:r>
        <w:rPr>
          <w:rFonts w:hint="eastAsia" w:ascii="宋体" w:hAnsi="宋体"/>
          <w:bCs/>
          <w:color w:val="auto"/>
          <w:szCs w:val="21"/>
          <w:highlight w:val="none"/>
        </w:rPr>
        <w:t>二档（3分）：在满足一档基础上，有较好的组织保障计划、实施进度计划，有较好的实施服务保障措施、项目管理体系；供应商提供详细阐述项目实施组织办法及保障体系、实施进度、项目管理制度，说明质量、进度、安全施工计划，具有较完备的管理组织、项目实施规范和管理制度，有较完备的质量管理体系和安全保障措施。培训方案可行，科学合理。</w:t>
      </w:r>
    </w:p>
    <w:p>
      <w:pPr>
        <w:spacing w:line="440" w:lineRule="exact"/>
        <w:ind w:firstLine="424" w:firstLineChars="202"/>
        <w:contextualSpacing/>
        <w:rPr>
          <w:rFonts w:ascii="宋体" w:hAnsi="宋体"/>
          <w:bCs/>
          <w:color w:val="auto"/>
          <w:szCs w:val="21"/>
          <w:highlight w:val="none"/>
        </w:rPr>
      </w:pPr>
      <w:r>
        <w:rPr>
          <w:rFonts w:hint="eastAsia" w:ascii="宋体" w:hAnsi="宋体"/>
          <w:bCs/>
          <w:color w:val="auto"/>
          <w:szCs w:val="21"/>
          <w:highlight w:val="none"/>
        </w:rPr>
        <w:t>三档（5分）：在满足二档基础上，有完善的组织保障计划、实施进度计划，有完善的实施服务保障措施、质量保障措施、项目管理体系，保障措施的方法和实现方式考虑周全完整，有明确的工程进度和管理措施，项目实施方案详实，具有详细而合理项目组织机构、人员分配安排表，指明重点难点及解决办法，确保工程在计划工期内完成。培训计划、师资等安排合理，有针对性。</w:t>
      </w:r>
    </w:p>
    <w:p>
      <w:pPr>
        <w:spacing w:line="400" w:lineRule="exact"/>
        <w:ind w:left="412"/>
        <w:rPr>
          <w:rFonts w:ascii="宋体" w:hAnsi="宋体"/>
          <w:color w:val="auto"/>
          <w:szCs w:val="21"/>
          <w:highlight w:val="none"/>
        </w:rPr>
      </w:pPr>
      <w:r>
        <w:rPr>
          <w:rFonts w:hint="eastAsia" w:ascii="宋体" w:hAnsi="宋体"/>
          <w:b/>
          <w:color w:val="auto"/>
          <w:szCs w:val="21"/>
          <w:highlight w:val="none"/>
        </w:rPr>
        <w:t>（4）售后服务方案（</w:t>
      </w:r>
      <w:r>
        <w:rPr>
          <w:rFonts w:ascii="宋体" w:hAnsi="宋体"/>
          <w:b/>
          <w:color w:val="auto"/>
          <w:szCs w:val="21"/>
          <w:highlight w:val="none"/>
        </w:rPr>
        <w:t>10</w:t>
      </w:r>
      <w:r>
        <w:rPr>
          <w:rFonts w:hint="eastAsia" w:ascii="宋体" w:hAnsi="宋体"/>
          <w:b/>
          <w:color w:val="auto"/>
          <w:szCs w:val="21"/>
          <w:highlight w:val="none"/>
        </w:rPr>
        <w:t>分</w:t>
      </w:r>
      <w:r>
        <w:rPr>
          <w:rFonts w:hint="eastAsia" w:ascii="宋体" w:hAnsi="宋体"/>
          <w:color w:val="auto"/>
          <w:szCs w:val="21"/>
          <w:highlight w:val="none"/>
        </w:rPr>
        <w:t>）</w:t>
      </w:r>
    </w:p>
    <w:p>
      <w:pPr>
        <w:spacing w:line="440" w:lineRule="exact"/>
        <w:ind w:firstLine="424" w:firstLineChars="202"/>
        <w:contextualSpacing/>
        <w:rPr>
          <w:rFonts w:ascii="宋体" w:hAnsi="宋体"/>
          <w:bCs/>
          <w:color w:val="auto"/>
          <w:szCs w:val="21"/>
          <w:highlight w:val="none"/>
        </w:rPr>
      </w:pPr>
      <w:r>
        <w:rPr>
          <w:rFonts w:hint="eastAsia" w:ascii="宋体" w:hAnsi="宋体"/>
          <w:color w:val="auto"/>
          <w:szCs w:val="21"/>
          <w:highlight w:val="none"/>
        </w:rPr>
        <w:t>　</w:t>
      </w:r>
      <w:r>
        <w:rPr>
          <w:rFonts w:hint="eastAsia" w:ascii="宋体" w:hAnsi="宋体"/>
          <w:bCs/>
          <w:color w:val="auto"/>
          <w:szCs w:val="21"/>
          <w:highlight w:val="none"/>
        </w:rPr>
        <w:t>一档:（</w:t>
      </w:r>
      <w:r>
        <w:rPr>
          <w:rFonts w:ascii="宋体" w:hAnsi="宋体"/>
          <w:bCs/>
          <w:color w:val="auto"/>
          <w:szCs w:val="21"/>
          <w:highlight w:val="none"/>
        </w:rPr>
        <w:t>3</w:t>
      </w:r>
      <w:r>
        <w:rPr>
          <w:rFonts w:hint="eastAsia" w:ascii="宋体" w:hAnsi="宋体"/>
          <w:bCs/>
          <w:color w:val="auto"/>
          <w:szCs w:val="21"/>
          <w:highlight w:val="none"/>
        </w:rPr>
        <w:t>分）：售后服务方案较详细、完整、可行，售后服务满足采购文件要求。</w:t>
      </w:r>
    </w:p>
    <w:p>
      <w:pPr>
        <w:spacing w:line="440" w:lineRule="exact"/>
        <w:ind w:firstLine="424" w:firstLineChars="202"/>
        <w:contextualSpacing/>
        <w:rPr>
          <w:rFonts w:ascii="宋体" w:hAnsi="宋体"/>
          <w:bCs/>
          <w:color w:val="auto"/>
          <w:szCs w:val="21"/>
          <w:highlight w:val="none"/>
        </w:rPr>
      </w:pPr>
      <w:r>
        <w:rPr>
          <w:rFonts w:hint="eastAsia" w:ascii="宋体" w:hAnsi="宋体"/>
          <w:bCs/>
          <w:color w:val="auto"/>
          <w:szCs w:val="21"/>
          <w:highlight w:val="none"/>
        </w:rPr>
        <w:t>　二档:（</w:t>
      </w:r>
      <w:r>
        <w:rPr>
          <w:rFonts w:ascii="宋体" w:hAnsi="宋体"/>
          <w:bCs/>
          <w:color w:val="auto"/>
          <w:szCs w:val="21"/>
          <w:highlight w:val="none"/>
        </w:rPr>
        <w:t>6</w:t>
      </w:r>
      <w:r>
        <w:rPr>
          <w:rFonts w:hint="eastAsia" w:ascii="宋体" w:hAnsi="宋体"/>
          <w:bCs/>
          <w:color w:val="auto"/>
          <w:szCs w:val="21"/>
          <w:highlight w:val="none"/>
        </w:rPr>
        <w:t>分）：售后服务方案详细、完整、可行，售后服务满足采购文件要求；具备较完善的售后服务体系，能够提供明确的售后服务响应。</w:t>
      </w:r>
    </w:p>
    <w:p>
      <w:pPr>
        <w:spacing w:line="440" w:lineRule="exact"/>
        <w:ind w:firstLine="424" w:firstLineChars="202"/>
        <w:contextualSpacing/>
        <w:rPr>
          <w:rFonts w:ascii="宋体" w:hAnsi="宋体"/>
          <w:bCs/>
          <w:color w:val="auto"/>
          <w:szCs w:val="21"/>
          <w:highlight w:val="none"/>
        </w:rPr>
      </w:pPr>
      <w:r>
        <w:rPr>
          <w:rFonts w:hint="eastAsia" w:ascii="宋体" w:hAnsi="宋体"/>
          <w:bCs/>
          <w:color w:val="auto"/>
          <w:szCs w:val="21"/>
          <w:highlight w:val="none"/>
        </w:rPr>
        <w:t>　三档：（</w:t>
      </w:r>
      <w:r>
        <w:rPr>
          <w:rFonts w:ascii="宋体" w:hAnsi="宋体"/>
          <w:bCs/>
          <w:color w:val="auto"/>
          <w:szCs w:val="21"/>
          <w:highlight w:val="none"/>
        </w:rPr>
        <w:t>10</w:t>
      </w:r>
      <w:r>
        <w:rPr>
          <w:rFonts w:hint="eastAsia" w:ascii="宋体" w:hAnsi="宋体"/>
          <w:bCs/>
          <w:color w:val="auto"/>
          <w:szCs w:val="21"/>
          <w:highlight w:val="none"/>
        </w:rPr>
        <w:t>分）售后服务方案详细、完整、可行，售后服务满足采购文件要求；具备完善的售后服务体系，能够提供明确的售后服务响应，并针对本项目提供专门的售后服务技术支持、服务保障方案、故障处理流程及应急预案。</w:t>
      </w:r>
    </w:p>
    <w:p>
      <w:pPr>
        <w:spacing w:line="400" w:lineRule="exact"/>
        <w:rPr>
          <w:rFonts w:ascii="宋体" w:hAnsi="宋体"/>
          <w:b/>
          <w:color w:val="auto"/>
          <w:szCs w:val="21"/>
          <w:highlight w:val="none"/>
        </w:rPr>
      </w:pPr>
      <w:r>
        <w:rPr>
          <w:rFonts w:hint="eastAsia" w:ascii="宋体" w:hAnsi="宋体"/>
          <w:b/>
          <w:color w:val="auto"/>
          <w:szCs w:val="21"/>
          <w:highlight w:val="none"/>
        </w:rPr>
        <w:t xml:space="preserve">   （5）技术性能（10分）</w:t>
      </w:r>
    </w:p>
    <w:p>
      <w:pPr>
        <w:spacing w:line="400" w:lineRule="exact"/>
        <w:ind w:firstLine="420"/>
        <w:rPr>
          <w:rFonts w:ascii="宋体" w:hAnsi="宋体"/>
          <w:color w:val="auto"/>
          <w:szCs w:val="21"/>
          <w:highlight w:val="none"/>
        </w:rPr>
      </w:pPr>
      <w:r>
        <w:rPr>
          <w:rFonts w:hint="eastAsia" w:ascii="宋体" w:hAnsi="宋体"/>
          <w:color w:val="auto"/>
          <w:szCs w:val="21"/>
          <w:highlight w:val="none"/>
        </w:rPr>
        <w:t>1）基本分10分：完全满足采购文件要求的得10分。</w:t>
      </w:r>
    </w:p>
    <w:p>
      <w:pPr>
        <w:spacing w:line="400" w:lineRule="exact"/>
        <w:ind w:firstLine="420"/>
        <w:rPr>
          <w:rFonts w:ascii="宋体" w:hAnsi="宋体"/>
          <w:color w:val="auto"/>
          <w:szCs w:val="21"/>
          <w:highlight w:val="none"/>
        </w:rPr>
      </w:pPr>
      <w:r>
        <w:rPr>
          <w:rFonts w:hint="eastAsia" w:ascii="宋体" w:hAnsi="宋体"/>
          <w:color w:val="auto"/>
          <w:szCs w:val="21"/>
          <w:highlight w:val="none"/>
        </w:rPr>
        <w:t xml:space="preserve">2）一般技术指标（未标注▲的）每出现一项负偏离，扣 </w:t>
      </w:r>
      <w:r>
        <w:rPr>
          <w:rFonts w:ascii="宋体" w:hAnsi="宋体"/>
          <w:color w:val="auto"/>
          <w:szCs w:val="21"/>
          <w:highlight w:val="none"/>
        </w:rPr>
        <w:t>5</w:t>
      </w:r>
      <w:r>
        <w:rPr>
          <w:rFonts w:hint="eastAsia" w:ascii="宋体" w:hAnsi="宋体"/>
          <w:color w:val="auto"/>
          <w:szCs w:val="21"/>
          <w:highlight w:val="none"/>
        </w:rPr>
        <w:t>分，扣完基本分为止。</w:t>
      </w:r>
    </w:p>
    <w:p>
      <w:pPr>
        <w:spacing w:line="400" w:lineRule="exact"/>
        <w:ind w:firstLine="420"/>
        <w:rPr>
          <w:rFonts w:ascii="宋体" w:hAnsi="宋体"/>
          <w:b/>
          <w:bCs/>
          <w:color w:val="auto"/>
          <w:kern w:val="0"/>
          <w:szCs w:val="21"/>
          <w:highlight w:val="none"/>
        </w:rPr>
      </w:pPr>
      <w:r>
        <w:rPr>
          <w:rFonts w:hint="eastAsia" w:ascii="宋体" w:hAnsi="宋体"/>
          <w:b/>
          <w:color w:val="auto"/>
          <w:szCs w:val="21"/>
          <w:highlight w:val="none"/>
        </w:rPr>
        <w:t>3.商务分</w:t>
      </w:r>
      <w:r>
        <w:rPr>
          <w:rFonts w:hint="eastAsia" w:ascii="宋体" w:hAnsi="宋体"/>
          <w:b/>
          <w:bCs/>
          <w:color w:val="auto"/>
          <w:kern w:val="0"/>
          <w:szCs w:val="21"/>
          <w:highlight w:val="none"/>
        </w:rPr>
        <w:t>………………………………………………………………………</w:t>
      </w:r>
      <w:r>
        <w:rPr>
          <w:rFonts w:hint="eastAsia" w:ascii="宋体" w:hAnsi="宋体"/>
          <w:b/>
          <w:bCs/>
          <w:color w:val="auto"/>
          <w:kern w:val="0"/>
          <w:szCs w:val="21"/>
          <w:highlight w:val="none"/>
          <w:lang w:val="en-US" w:eastAsia="zh-CN"/>
        </w:rPr>
        <w:t>35</w:t>
      </w:r>
      <w:r>
        <w:rPr>
          <w:rFonts w:hint="eastAsia" w:ascii="宋体" w:hAnsi="宋体"/>
          <w:b/>
          <w:bCs/>
          <w:color w:val="auto"/>
          <w:kern w:val="0"/>
          <w:szCs w:val="21"/>
          <w:highlight w:val="none"/>
        </w:rPr>
        <w:t>分</w:t>
      </w:r>
    </w:p>
    <w:p>
      <w:pPr>
        <w:spacing w:line="440" w:lineRule="exact"/>
        <w:ind w:firstLine="426" w:firstLineChars="202"/>
        <w:contextualSpacing/>
        <w:rPr>
          <w:rFonts w:ascii="宋体" w:hAnsi="宋体"/>
          <w:b/>
          <w:bCs/>
          <w:color w:val="auto"/>
          <w:szCs w:val="21"/>
          <w:highlight w:val="none"/>
        </w:rPr>
      </w:pPr>
      <w:r>
        <w:rPr>
          <w:rFonts w:hint="eastAsia" w:ascii="宋体" w:hAnsi="宋体"/>
          <w:b/>
          <w:bCs/>
          <w:color w:val="auto"/>
          <w:szCs w:val="21"/>
          <w:highlight w:val="none"/>
        </w:rPr>
        <w:t>（1）供应商实力分（满分12分）</w:t>
      </w:r>
    </w:p>
    <w:p>
      <w:pPr>
        <w:spacing w:line="400" w:lineRule="exact"/>
        <w:ind w:firstLine="411" w:firstLineChars="196"/>
        <w:rPr>
          <w:rFonts w:ascii="宋体" w:hAnsi="宋体"/>
          <w:bCs/>
          <w:color w:val="auto"/>
          <w:szCs w:val="21"/>
          <w:highlight w:val="none"/>
        </w:rPr>
      </w:pPr>
      <w:r>
        <w:rPr>
          <w:rFonts w:hint="eastAsia" w:ascii="宋体" w:hAnsi="宋体"/>
          <w:bCs/>
          <w:color w:val="auto"/>
          <w:szCs w:val="21"/>
          <w:highlight w:val="none"/>
        </w:rPr>
        <w:t>1）供应商</w:t>
      </w:r>
      <w:r>
        <w:rPr>
          <w:rFonts w:hint="eastAsia" w:ascii="宋体" w:hAnsi="宋体"/>
          <w:color w:val="auto"/>
          <w:szCs w:val="21"/>
          <w:highlight w:val="none"/>
        </w:rPr>
        <w:t>完全满足</w:t>
      </w:r>
      <w:r>
        <w:rPr>
          <w:rFonts w:ascii="宋体" w:hAnsi="宋体"/>
          <w:color w:val="auto"/>
          <w:szCs w:val="21"/>
          <w:highlight w:val="none"/>
        </w:rPr>
        <w:t>CMMI</w:t>
      </w:r>
      <w:r>
        <w:rPr>
          <w:rFonts w:hint="eastAsia" w:ascii="宋体" w:hAnsi="宋体"/>
          <w:color w:val="auto"/>
          <w:szCs w:val="21"/>
          <w:highlight w:val="none"/>
        </w:rPr>
        <w:t>能力成熟度模型集成持续优化级目标，达到</w:t>
      </w:r>
      <w:r>
        <w:rPr>
          <w:rFonts w:ascii="宋体" w:hAnsi="宋体"/>
          <w:color w:val="auto"/>
          <w:szCs w:val="21"/>
          <w:highlight w:val="none"/>
        </w:rPr>
        <w:t>CMMI</w:t>
      </w:r>
      <w:r>
        <w:rPr>
          <w:rFonts w:hint="eastAsia" w:ascii="宋体" w:hAnsi="宋体"/>
          <w:color w:val="auto"/>
          <w:szCs w:val="21"/>
          <w:highlight w:val="none"/>
        </w:rPr>
        <w:t>成熟度三级的；得0</w:t>
      </w:r>
      <w:r>
        <w:rPr>
          <w:rFonts w:ascii="宋体" w:hAnsi="宋体"/>
          <w:color w:val="auto"/>
          <w:szCs w:val="21"/>
          <w:highlight w:val="none"/>
        </w:rPr>
        <w:t>.5</w:t>
      </w:r>
      <w:r>
        <w:rPr>
          <w:rFonts w:hint="eastAsia" w:ascii="宋体" w:hAnsi="宋体"/>
          <w:color w:val="auto"/>
          <w:szCs w:val="21"/>
          <w:highlight w:val="none"/>
        </w:rPr>
        <w:t>分；达到成熟度四级的，得1分，达到成熟度五级的，得2分。本项满分2分</w:t>
      </w:r>
      <w:r>
        <w:rPr>
          <w:rFonts w:hint="eastAsia" w:ascii="宋体" w:hAnsi="宋体"/>
          <w:bCs/>
          <w:color w:val="auto"/>
          <w:szCs w:val="21"/>
          <w:highlight w:val="none"/>
        </w:rPr>
        <w:t>；</w:t>
      </w:r>
    </w:p>
    <w:p>
      <w:pPr>
        <w:spacing w:line="440" w:lineRule="exact"/>
        <w:ind w:firstLine="424" w:firstLineChars="202"/>
        <w:contextualSpacing/>
        <w:rPr>
          <w:rFonts w:ascii="宋体" w:hAnsi="宋体"/>
          <w:bCs/>
          <w:color w:val="auto"/>
          <w:szCs w:val="21"/>
          <w:highlight w:val="none"/>
        </w:rPr>
      </w:pPr>
      <w:r>
        <w:rPr>
          <w:rFonts w:hint="eastAsia" w:ascii="宋体" w:hAnsi="宋体"/>
          <w:bCs/>
          <w:color w:val="auto"/>
          <w:szCs w:val="21"/>
          <w:highlight w:val="none"/>
        </w:rPr>
        <w:t>2）供应商具有CCRC 信息安全服务资质认证证书 软件安全开发服务二级及以上，得2分；</w:t>
      </w:r>
    </w:p>
    <w:p>
      <w:pPr>
        <w:spacing w:line="440" w:lineRule="exact"/>
        <w:ind w:firstLine="424" w:firstLineChars="202"/>
        <w:contextualSpacing/>
        <w:rPr>
          <w:rFonts w:ascii="宋体" w:hAnsi="宋体"/>
          <w:bCs/>
          <w:color w:val="auto"/>
          <w:szCs w:val="21"/>
          <w:highlight w:val="none"/>
        </w:rPr>
      </w:pPr>
      <w:r>
        <w:rPr>
          <w:rFonts w:hint="eastAsia" w:ascii="宋体" w:hAnsi="宋体"/>
          <w:bCs/>
          <w:color w:val="auto"/>
          <w:szCs w:val="21"/>
          <w:highlight w:val="none"/>
        </w:rPr>
        <w:t>3）供应商具有信息技术服务标准符合性证书（运行维护服务）三级及以上，得2分；</w:t>
      </w:r>
    </w:p>
    <w:p>
      <w:pPr>
        <w:spacing w:line="440" w:lineRule="exact"/>
        <w:ind w:firstLine="424" w:firstLineChars="202"/>
        <w:contextualSpacing/>
        <w:rPr>
          <w:rFonts w:ascii="宋体" w:hAnsi="宋体"/>
          <w:bCs/>
          <w:color w:val="auto"/>
          <w:szCs w:val="21"/>
          <w:highlight w:val="none"/>
        </w:rPr>
      </w:pPr>
      <w:r>
        <w:rPr>
          <w:rFonts w:hint="eastAsia" w:ascii="宋体" w:hAnsi="宋体"/>
          <w:bCs/>
          <w:color w:val="auto"/>
          <w:szCs w:val="21"/>
          <w:highlight w:val="none"/>
        </w:rPr>
        <w:t>4）供应商具有信息安全管理体系认证证书的，得2分；</w:t>
      </w:r>
    </w:p>
    <w:p>
      <w:pPr>
        <w:spacing w:line="440" w:lineRule="exact"/>
        <w:ind w:firstLine="424" w:firstLineChars="202"/>
        <w:contextualSpacing/>
        <w:rPr>
          <w:rFonts w:ascii="宋体" w:hAnsi="宋体"/>
          <w:bCs/>
          <w:color w:val="auto"/>
          <w:szCs w:val="21"/>
          <w:highlight w:val="none"/>
        </w:rPr>
      </w:pPr>
      <w:r>
        <w:rPr>
          <w:rFonts w:hint="eastAsia" w:ascii="宋体" w:hAnsi="宋体"/>
          <w:bCs/>
          <w:color w:val="auto"/>
          <w:szCs w:val="21"/>
          <w:highlight w:val="none"/>
        </w:rPr>
        <w:t>5）供应商具有信息技术服务管理体系认证证书的，得2分；</w:t>
      </w:r>
    </w:p>
    <w:p>
      <w:pPr>
        <w:spacing w:line="440" w:lineRule="exact"/>
        <w:ind w:firstLine="424" w:firstLineChars="202"/>
        <w:contextualSpacing/>
        <w:rPr>
          <w:rFonts w:ascii="宋体" w:hAnsi="宋体"/>
          <w:bCs/>
          <w:color w:val="auto"/>
          <w:szCs w:val="21"/>
          <w:highlight w:val="none"/>
        </w:rPr>
      </w:pPr>
      <w:r>
        <w:rPr>
          <w:rFonts w:hint="eastAsia" w:ascii="宋体" w:hAnsi="宋体"/>
          <w:bCs/>
          <w:color w:val="auto"/>
          <w:szCs w:val="21"/>
          <w:highlight w:val="none"/>
        </w:rPr>
        <w:t>6）供应商具有安全生产监测预警系统相关计算机软件著作权登记证的，得2分；</w:t>
      </w:r>
    </w:p>
    <w:p>
      <w:pPr>
        <w:spacing w:line="440" w:lineRule="exact"/>
        <w:ind w:firstLine="424" w:firstLineChars="202"/>
        <w:contextualSpacing/>
        <w:rPr>
          <w:rFonts w:ascii="宋体" w:hAnsi="宋体"/>
          <w:bCs/>
          <w:color w:val="auto"/>
          <w:szCs w:val="21"/>
          <w:highlight w:val="none"/>
        </w:rPr>
      </w:pPr>
      <w:r>
        <w:rPr>
          <w:rFonts w:hint="eastAsia" w:ascii="宋体" w:hAnsi="宋体"/>
          <w:bCs/>
          <w:color w:val="auto"/>
          <w:szCs w:val="21"/>
          <w:highlight w:val="none"/>
        </w:rPr>
        <w:t>注：以上得分要求响应文件提供有效的证书复印件</w:t>
      </w:r>
    </w:p>
    <w:p>
      <w:pPr>
        <w:spacing w:line="440" w:lineRule="exact"/>
        <w:ind w:firstLine="426" w:firstLineChars="202"/>
        <w:contextualSpacing/>
        <w:rPr>
          <w:rFonts w:ascii="宋体" w:hAnsi="宋体"/>
          <w:b/>
          <w:bCs/>
          <w:color w:val="auto"/>
          <w:szCs w:val="21"/>
          <w:highlight w:val="none"/>
        </w:rPr>
      </w:pPr>
      <w:r>
        <w:rPr>
          <w:rFonts w:hint="eastAsia" w:ascii="宋体" w:hAnsi="宋体"/>
          <w:b/>
          <w:bCs/>
          <w:color w:val="auto"/>
          <w:szCs w:val="21"/>
          <w:highlight w:val="none"/>
        </w:rPr>
        <w:t>（2）人员配备分（满分1</w:t>
      </w:r>
      <w:r>
        <w:rPr>
          <w:rFonts w:ascii="宋体" w:hAnsi="宋体"/>
          <w:b/>
          <w:bCs/>
          <w:color w:val="auto"/>
          <w:szCs w:val="21"/>
          <w:highlight w:val="none"/>
        </w:rPr>
        <w:t>3</w:t>
      </w:r>
      <w:r>
        <w:rPr>
          <w:rFonts w:hint="eastAsia" w:ascii="宋体" w:hAnsi="宋体"/>
          <w:b/>
          <w:bCs/>
          <w:color w:val="auto"/>
          <w:szCs w:val="21"/>
          <w:highlight w:val="none"/>
        </w:rPr>
        <w:t>分）</w:t>
      </w:r>
    </w:p>
    <w:p>
      <w:pPr>
        <w:spacing w:line="440" w:lineRule="exact"/>
        <w:ind w:firstLine="424" w:firstLineChars="202"/>
        <w:contextualSpacing/>
        <w:rPr>
          <w:rFonts w:ascii="宋体" w:hAnsi="宋体"/>
          <w:bCs/>
          <w:color w:val="auto"/>
          <w:szCs w:val="21"/>
          <w:highlight w:val="none"/>
        </w:rPr>
      </w:pPr>
      <w:r>
        <w:rPr>
          <w:rFonts w:hint="eastAsia" w:ascii="宋体" w:hAnsi="宋体"/>
          <w:bCs/>
          <w:color w:val="auto"/>
          <w:szCs w:val="21"/>
          <w:highlight w:val="none"/>
        </w:rPr>
        <w:t>1）项目经理资历分（满分6分）</w:t>
      </w:r>
    </w:p>
    <w:p>
      <w:pPr>
        <w:spacing w:line="440" w:lineRule="exact"/>
        <w:ind w:firstLine="424" w:firstLineChars="202"/>
        <w:contextualSpacing/>
        <w:rPr>
          <w:rFonts w:ascii="宋体" w:hAnsi="宋体"/>
          <w:bCs/>
          <w:color w:val="auto"/>
          <w:szCs w:val="21"/>
          <w:highlight w:val="none"/>
        </w:rPr>
      </w:pPr>
      <w:r>
        <w:rPr>
          <w:rFonts w:hint="eastAsia" w:ascii="宋体" w:hAnsi="宋体"/>
          <w:bCs/>
          <w:color w:val="auto"/>
          <w:szCs w:val="21"/>
          <w:highlight w:val="none"/>
        </w:rPr>
        <w:t>项目经理具有信息系统项目管理师证书的得2分。</w:t>
      </w:r>
    </w:p>
    <w:p>
      <w:pPr>
        <w:spacing w:line="440" w:lineRule="exact"/>
        <w:ind w:firstLine="424" w:firstLineChars="202"/>
        <w:contextualSpacing/>
        <w:rPr>
          <w:rFonts w:ascii="宋体" w:hAnsi="宋体"/>
          <w:bCs/>
          <w:color w:val="auto"/>
          <w:szCs w:val="21"/>
          <w:highlight w:val="none"/>
        </w:rPr>
      </w:pPr>
      <w:r>
        <w:rPr>
          <w:rFonts w:hint="eastAsia" w:ascii="宋体" w:hAnsi="宋体"/>
          <w:bCs/>
          <w:color w:val="auto"/>
          <w:szCs w:val="21"/>
          <w:highlight w:val="none"/>
        </w:rPr>
        <w:t>具有化学工程相关硕士及以上学位证书的得2分；</w:t>
      </w:r>
    </w:p>
    <w:p>
      <w:pPr>
        <w:spacing w:line="440" w:lineRule="exact"/>
        <w:ind w:firstLine="424" w:firstLineChars="202"/>
        <w:contextualSpacing/>
        <w:rPr>
          <w:rFonts w:ascii="宋体" w:hAnsi="宋体"/>
          <w:bCs/>
          <w:color w:val="auto"/>
          <w:szCs w:val="21"/>
          <w:highlight w:val="none"/>
        </w:rPr>
      </w:pPr>
      <w:r>
        <w:rPr>
          <w:rFonts w:hint="eastAsia" w:ascii="宋体" w:hAnsi="宋体"/>
          <w:bCs/>
          <w:color w:val="auto"/>
          <w:szCs w:val="21"/>
          <w:highlight w:val="none"/>
        </w:rPr>
        <w:t>具有中级及以上职称证书的得2分。</w:t>
      </w:r>
    </w:p>
    <w:p>
      <w:pPr>
        <w:spacing w:line="440" w:lineRule="exact"/>
        <w:ind w:firstLine="424" w:firstLineChars="202"/>
        <w:contextualSpacing/>
        <w:rPr>
          <w:rFonts w:ascii="宋体" w:hAnsi="宋体"/>
          <w:bCs/>
          <w:color w:val="auto"/>
          <w:szCs w:val="21"/>
          <w:highlight w:val="none"/>
        </w:rPr>
      </w:pPr>
      <w:r>
        <w:rPr>
          <w:rFonts w:hint="eastAsia" w:ascii="宋体" w:hAnsi="宋体"/>
          <w:bCs/>
          <w:color w:val="auto"/>
          <w:szCs w:val="21"/>
          <w:highlight w:val="none"/>
        </w:rPr>
        <w:t>2）实施团队资历分（满分</w:t>
      </w:r>
      <w:r>
        <w:rPr>
          <w:rFonts w:ascii="宋体" w:hAnsi="宋体"/>
          <w:bCs/>
          <w:color w:val="auto"/>
          <w:szCs w:val="21"/>
          <w:highlight w:val="none"/>
        </w:rPr>
        <w:t>7</w:t>
      </w:r>
      <w:r>
        <w:rPr>
          <w:rFonts w:hint="eastAsia" w:ascii="宋体" w:hAnsi="宋体"/>
          <w:bCs/>
          <w:color w:val="auto"/>
          <w:szCs w:val="21"/>
          <w:highlight w:val="none"/>
        </w:rPr>
        <w:t>分）</w:t>
      </w:r>
    </w:p>
    <w:p>
      <w:pPr>
        <w:spacing w:line="440" w:lineRule="exact"/>
        <w:ind w:firstLine="424" w:firstLineChars="202"/>
        <w:contextualSpacing/>
        <w:rPr>
          <w:rFonts w:ascii="宋体" w:hAnsi="宋体"/>
          <w:bCs/>
          <w:color w:val="auto"/>
          <w:szCs w:val="21"/>
          <w:highlight w:val="none"/>
        </w:rPr>
      </w:pPr>
      <w:r>
        <w:rPr>
          <w:rFonts w:hint="eastAsia" w:ascii="宋体" w:hAnsi="宋体"/>
          <w:bCs/>
          <w:color w:val="auto"/>
          <w:szCs w:val="21"/>
          <w:highlight w:val="none"/>
        </w:rPr>
        <w:t>①供应商拟投入人员中有高级工程师证书（电子信息或信息技术方向）的，得2分；</w:t>
      </w:r>
    </w:p>
    <w:p>
      <w:pPr>
        <w:spacing w:line="440" w:lineRule="exact"/>
        <w:ind w:firstLine="424" w:firstLineChars="202"/>
        <w:contextualSpacing/>
        <w:rPr>
          <w:rFonts w:ascii="宋体" w:hAnsi="宋体"/>
          <w:bCs/>
          <w:color w:val="auto"/>
          <w:szCs w:val="21"/>
          <w:highlight w:val="none"/>
        </w:rPr>
      </w:pPr>
      <w:r>
        <w:rPr>
          <w:rFonts w:hint="eastAsia" w:ascii="宋体" w:hAnsi="宋体"/>
          <w:bCs/>
          <w:color w:val="auto"/>
          <w:szCs w:val="21"/>
          <w:highlight w:val="none"/>
        </w:rPr>
        <w:t>②供应商拟投入人员中有高级信息系统项目管理师证书的，得</w:t>
      </w:r>
      <w:r>
        <w:rPr>
          <w:rFonts w:ascii="宋体" w:hAnsi="宋体"/>
          <w:bCs/>
          <w:color w:val="auto"/>
          <w:szCs w:val="21"/>
          <w:highlight w:val="none"/>
        </w:rPr>
        <w:t>1</w:t>
      </w:r>
      <w:r>
        <w:rPr>
          <w:rFonts w:hint="eastAsia" w:ascii="宋体" w:hAnsi="宋体"/>
          <w:bCs/>
          <w:color w:val="auto"/>
          <w:szCs w:val="21"/>
          <w:highlight w:val="none"/>
        </w:rPr>
        <w:t>分；</w:t>
      </w:r>
    </w:p>
    <w:p>
      <w:pPr>
        <w:spacing w:line="440" w:lineRule="exact"/>
        <w:ind w:firstLine="424" w:firstLineChars="202"/>
        <w:contextualSpacing/>
        <w:rPr>
          <w:rFonts w:ascii="宋体" w:hAnsi="宋体"/>
          <w:bCs/>
          <w:color w:val="auto"/>
          <w:szCs w:val="21"/>
          <w:highlight w:val="none"/>
        </w:rPr>
      </w:pPr>
      <w:r>
        <w:rPr>
          <w:rFonts w:hint="eastAsia" w:ascii="宋体" w:hAnsi="宋体"/>
          <w:bCs/>
          <w:color w:val="auto"/>
          <w:szCs w:val="21"/>
          <w:highlight w:val="none"/>
        </w:rPr>
        <w:t>③供应商拟投入人员中有高级系统分析师的，得</w:t>
      </w:r>
      <w:r>
        <w:rPr>
          <w:rFonts w:ascii="宋体" w:hAnsi="宋体"/>
          <w:bCs/>
          <w:color w:val="auto"/>
          <w:szCs w:val="21"/>
          <w:highlight w:val="none"/>
        </w:rPr>
        <w:t>1</w:t>
      </w:r>
      <w:r>
        <w:rPr>
          <w:rFonts w:hint="eastAsia" w:ascii="宋体" w:hAnsi="宋体"/>
          <w:bCs/>
          <w:color w:val="auto"/>
          <w:szCs w:val="21"/>
          <w:highlight w:val="none"/>
        </w:rPr>
        <w:t>分；</w:t>
      </w:r>
    </w:p>
    <w:p>
      <w:pPr>
        <w:spacing w:line="440" w:lineRule="exact"/>
        <w:ind w:firstLine="424" w:firstLineChars="202"/>
        <w:contextualSpacing/>
        <w:rPr>
          <w:rFonts w:ascii="宋体" w:hAnsi="宋体"/>
          <w:bCs/>
          <w:color w:val="auto"/>
          <w:szCs w:val="21"/>
          <w:highlight w:val="none"/>
        </w:rPr>
      </w:pPr>
      <w:r>
        <w:rPr>
          <w:rFonts w:hint="eastAsia" w:ascii="宋体" w:hAnsi="宋体"/>
          <w:bCs/>
          <w:color w:val="auto"/>
          <w:szCs w:val="21"/>
          <w:highlight w:val="none"/>
        </w:rPr>
        <w:t>④供应商拟投入人员中有中级及以上网络工程师证书的，得</w:t>
      </w:r>
      <w:r>
        <w:rPr>
          <w:rFonts w:ascii="宋体" w:hAnsi="宋体"/>
          <w:bCs/>
          <w:color w:val="auto"/>
          <w:szCs w:val="21"/>
          <w:highlight w:val="none"/>
        </w:rPr>
        <w:t>1</w:t>
      </w:r>
      <w:r>
        <w:rPr>
          <w:rFonts w:hint="eastAsia" w:ascii="宋体" w:hAnsi="宋体"/>
          <w:bCs/>
          <w:color w:val="auto"/>
          <w:szCs w:val="21"/>
          <w:highlight w:val="none"/>
        </w:rPr>
        <w:t>分；</w:t>
      </w:r>
    </w:p>
    <w:p>
      <w:pPr>
        <w:spacing w:line="440" w:lineRule="exact"/>
        <w:ind w:firstLine="424" w:firstLineChars="202"/>
        <w:contextualSpacing/>
        <w:rPr>
          <w:rFonts w:ascii="宋体" w:hAnsi="宋体"/>
          <w:bCs/>
          <w:color w:val="auto"/>
          <w:szCs w:val="21"/>
          <w:highlight w:val="none"/>
        </w:rPr>
      </w:pPr>
      <w:r>
        <w:rPr>
          <w:rFonts w:hint="eastAsia" w:ascii="宋体" w:hAnsi="宋体"/>
          <w:bCs/>
          <w:color w:val="auto"/>
          <w:szCs w:val="21"/>
          <w:highlight w:val="none"/>
        </w:rPr>
        <w:t>⑤供应商拟投入人员中有中级及以上软件设计师证书的，得</w:t>
      </w:r>
      <w:r>
        <w:rPr>
          <w:rFonts w:ascii="宋体" w:hAnsi="宋体"/>
          <w:bCs/>
          <w:color w:val="auto"/>
          <w:szCs w:val="21"/>
          <w:highlight w:val="none"/>
        </w:rPr>
        <w:t>1</w:t>
      </w:r>
      <w:r>
        <w:rPr>
          <w:rFonts w:hint="eastAsia" w:ascii="宋体" w:hAnsi="宋体"/>
          <w:bCs/>
          <w:color w:val="auto"/>
          <w:szCs w:val="21"/>
          <w:highlight w:val="none"/>
        </w:rPr>
        <w:t>分；</w:t>
      </w:r>
    </w:p>
    <w:p>
      <w:pPr>
        <w:spacing w:line="440" w:lineRule="exact"/>
        <w:ind w:firstLine="424" w:firstLineChars="202"/>
        <w:contextualSpacing/>
        <w:rPr>
          <w:rFonts w:ascii="宋体" w:hAnsi="宋体"/>
          <w:bCs/>
          <w:color w:val="auto"/>
          <w:szCs w:val="21"/>
          <w:highlight w:val="none"/>
        </w:rPr>
      </w:pPr>
      <w:r>
        <w:rPr>
          <w:rFonts w:hint="eastAsia" w:ascii="宋体" w:hAnsi="宋体"/>
          <w:bCs/>
          <w:color w:val="auto"/>
          <w:szCs w:val="21"/>
          <w:highlight w:val="none"/>
        </w:rPr>
        <w:t>⑥供应商拟投入人员中有注册信息安全专业人员证书（CISP）的，得</w:t>
      </w:r>
      <w:r>
        <w:rPr>
          <w:rFonts w:ascii="宋体" w:hAnsi="宋体"/>
          <w:bCs/>
          <w:color w:val="auto"/>
          <w:szCs w:val="21"/>
          <w:highlight w:val="none"/>
        </w:rPr>
        <w:t>1</w:t>
      </w:r>
      <w:r>
        <w:rPr>
          <w:rFonts w:hint="eastAsia" w:ascii="宋体" w:hAnsi="宋体"/>
          <w:bCs/>
          <w:color w:val="auto"/>
          <w:szCs w:val="21"/>
          <w:highlight w:val="none"/>
        </w:rPr>
        <w:t>分；</w:t>
      </w:r>
    </w:p>
    <w:p>
      <w:pPr>
        <w:spacing w:line="440" w:lineRule="exact"/>
        <w:ind w:firstLine="424" w:firstLineChars="202"/>
        <w:contextualSpacing/>
        <w:rPr>
          <w:rFonts w:ascii="宋体" w:hAnsi="宋体"/>
          <w:bCs/>
          <w:color w:val="auto"/>
          <w:szCs w:val="21"/>
          <w:highlight w:val="none"/>
        </w:rPr>
      </w:pPr>
      <w:r>
        <w:rPr>
          <w:rFonts w:hint="eastAsia" w:ascii="宋体" w:hAnsi="宋体"/>
          <w:bCs/>
          <w:color w:val="auto"/>
          <w:szCs w:val="21"/>
          <w:highlight w:val="none"/>
        </w:rPr>
        <w:t>注：项目组其他成员每人仅评其中一项，每项仅评一次，同一人不重复计分；</w:t>
      </w:r>
    </w:p>
    <w:p>
      <w:pPr>
        <w:spacing w:line="440" w:lineRule="exact"/>
        <w:ind w:firstLine="424" w:firstLineChars="202"/>
        <w:contextualSpacing/>
        <w:rPr>
          <w:rFonts w:ascii="宋体" w:hAnsi="宋体"/>
          <w:bCs/>
          <w:color w:val="auto"/>
          <w:szCs w:val="21"/>
          <w:highlight w:val="none"/>
        </w:rPr>
      </w:pPr>
      <w:r>
        <w:rPr>
          <w:rFonts w:hint="eastAsia" w:ascii="宋体" w:hAnsi="宋体"/>
          <w:bCs/>
          <w:color w:val="auto"/>
          <w:szCs w:val="21"/>
          <w:highlight w:val="none"/>
        </w:rPr>
        <w:t>1）和2）得分：响应文件提供有效的证书复印件，响应文件递交截止时间前半年内连续三个月供应商为其缴纳社会保险的证明材料的复印件。</w:t>
      </w:r>
    </w:p>
    <w:p>
      <w:pPr>
        <w:spacing w:line="440" w:lineRule="exact"/>
        <w:ind w:firstLine="426" w:firstLineChars="202"/>
        <w:contextualSpacing/>
        <w:rPr>
          <w:rFonts w:ascii="宋体" w:hAnsi="宋体"/>
          <w:b/>
          <w:bCs/>
          <w:color w:val="auto"/>
          <w:szCs w:val="21"/>
          <w:highlight w:val="none"/>
        </w:rPr>
      </w:pPr>
      <w:r>
        <w:rPr>
          <w:rFonts w:hint="eastAsia" w:ascii="宋体" w:hAnsi="宋体"/>
          <w:b/>
          <w:bCs/>
          <w:color w:val="auto"/>
          <w:szCs w:val="21"/>
          <w:highlight w:val="none"/>
        </w:rPr>
        <w:t>（3）业绩分（满分10分）</w:t>
      </w:r>
    </w:p>
    <w:p>
      <w:pPr>
        <w:spacing w:line="440" w:lineRule="exact"/>
        <w:ind w:firstLine="424" w:firstLineChars="202"/>
        <w:contextualSpacing/>
        <w:rPr>
          <w:rFonts w:ascii="宋体" w:hAnsi="宋体"/>
          <w:bCs/>
          <w:color w:val="auto"/>
          <w:szCs w:val="21"/>
          <w:highlight w:val="none"/>
        </w:rPr>
      </w:pPr>
      <w:r>
        <w:rPr>
          <w:rFonts w:hint="eastAsia" w:ascii="宋体" w:hAnsi="宋体"/>
          <w:bCs/>
          <w:color w:val="auto"/>
          <w:szCs w:val="21"/>
          <w:highlight w:val="none"/>
        </w:rPr>
        <w:t>2018年5月1日至响应文件递交截止时间，供应商具有类似安全生产监测预警项目建设经验业绩，每个业绩得2分，满分10分。（响应文件提供合同复印件并加盖单位公章，否则不得分）</w:t>
      </w:r>
    </w:p>
    <w:p>
      <w:pPr>
        <w:pStyle w:val="16"/>
        <w:spacing w:line="360" w:lineRule="atLeast"/>
        <w:ind w:firstLine="413" w:firstLineChars="196"/>
        <w:rPr>
          <w:rFonts w:hAnsi="宋体"/>
          <w:b/>
          <w:color w:val="auto"/>
          <w:kern w:val="2"/>
          <w:sz w:val="21"/>
          <w:highlight w:val="none"/>
        </w:rPr>
      </w:pPr>
      <w:r>
        <w:rPr>
          <w:rFonts w:hint="eastAsia" w:hAnsi="宋体"/>
          <w:b/>
          <w:color w:val="auto"/>
          <w:kern w:val="2"/>
          <w:sz w:val="21"/>
          <w:highlight w:val="none"/>
        </w:rPr>
        <w:t>4.总分=1+2+3</w:t>
      </w:r>
    </w:p>
    <w:p>
      <w:pPr>
        <w:pStyle w:val="16"/>
        <w:spacing w:line="360" w:lineRule="atLeast"/>
        <w:ind w:firstLine="411" w:firstLineChars="196"/>
        <w:rPr>
          <w:rFonts w:hAnsi="宋体"/>
          <w:color w:val="auto"/>
          <w:kern w:val="2"/>
          <w:sz w:val="21"/>
          <w:highlight w:val="none"/>
        </w:rPr>
      </w:pPr>
    </w:p>
    <w:p>
      <w:pPr>
        <w:pStyle w:val="16"/>
        <w:spacing w:line="360" w:lineRule="atLeast"/>
        <w:ind w:firstLine="413" w:firstLineChars="196"/>
        <w:rPr>
          <w:rFonts w:hAnsi="宋体"/>
          <w:b/>
          <w:bCs/>
          <w:color w:val="auto"/>
          <w:highlight w:val="none"/>
        </w:rPr>
      </w:pPr>
      <w:r>
        <w:rPr>
          <w:rFonts w:hint="eastAsia" w:hAnsi="宋体"/>
          <w:b/>
          <w:color w:val="auto"/>
          <w:kern w:val="2"/>
          <w:sz w:val="21"/>
          <w:highlight w:val="none"/>
        </w:rPr>
        <w:t>注：</w:t>
      </w:r>
      <w:r>
        <w:rPr>
          <w:rFonts w:hint="eastAsia" w:hAnsi="宋体"/>
          <w:b/>
          <w:color w:val="auto"/>
          <w:highlight w:val="none"/>
        </w:rPr>
        <w:t>本项目为政府服务类采购，无节能产品、环境标志产品要求。</w:t>
      </w:r>
    </w:p>
    <w:p>
      <w:pPr>
        <w:spacing w:line="360" w:lineRule="auto"/>
        <w:ind w:firstLine="420" w:firstLineChars="200"/>
        <w:rPr>
          <w:rFonts w:ascii="宋体" w:hAnsi="宋体"/>
          <w:bCs/>
          <w:color w:val="auto"/>
          <w:szCs w:val="21"/>
          <w:highlight w:val="none"/>
        </w:rPr>
      </w:pPr>
    </w:p>
    <w:p>
      <w:pPr>
        <w:spacing w:line="360" w:lineRule="auto"/>
        <w:ind w:firstLine="420" w:firstLineChars="200"/>
        <w:rPr>
          <w:rFonts w:ascii="宋体" w:hAnsi="宋体"/>
          <w:color w:val="auto"/>
          <w:szCs w:val="21"/>
          <w:highlight w:val="none"/>
        </w:rPr>
      </w:pPr>
      <w:r>
        <w:rPr>
          <w:rFonts w:ascii="宋体" w:hAnsi="宋体"/>
          <w:bCs/>
          <w:color w:val="auto"/>
          <w:szCs w:val="21"/>
          <w:highlight w:val="none"/>
        </w:rPr>
        <w:t>7.</w:t>
      </w:r>
      <w:r>
        <w:rPr>
          <w:rFonts w:hint="eastAsia" w:ascii="宋体" w:hAnsi="宋体"/>
          <w:bCs/>
          <w:color w:val="auto"/>
          <w:szCs w:val="21"/>
          <w:highlight w:val="none"/>
        </w:rPr>
        <w:t>由磋商小组根据综合评分情况，按照评审得分由高到低顺序推荐3名以上成交候选供应商，并编写评审报告，</w:t>
      </w:r>
      <w:r>
        <w:rPr>
          <w:rFonts w:hint="eastAsia" w:ascii="宋体" w:hAnsi="宋体" w:cs="宋体"/>
          <w:color w:val="auto"/>
          <w:highlight w:val="none"/>
        </w:rPr>
        <w:t>评审报告</w:t>
      </w:r>
      <w:r>
        <w:rPr>
          <w:rFonts w:hint="eastAsia" w:hAnsi="宋体"/>
          <w:color w:val="auto"/>
          <w:highlight w:val="none"/>
        </w:rPr>
        <w:t>通过电子交易平台向采购人、采购代理机构提交。</w:t>
      </w:r>
      <w:r>
        <w:rPr>
          <w:rFonts w:hint="eastAsia" w:ascii="宋体" w:hAnsi="宋体"/>
          <w:bCs/>
          <w:color w:val="auto"/>
          <w:szCs w:val="21"/>
          <w:highlight w:val="none"/>
        </w:rPr>
        <w:t>符合本章第</w:t>
      </w:r>
      <w:r>
        <w:rPr>
          <w:rFonts w:ascii="宋体" w:hAnsi="宋体"/>
          <w:bCs/>
          <w:color w:val="auto"/>
          <w:szCs w:val="21"/>
          <w:highlight w:val="none"/>
        </w:rPr>
        <w:t>4.3</w:t>
      </w:r>
      <w:r>
        <w:rPr>
          <w:rFonts w:hint="eastAsia" w:ascii="宋体" w:hAnsi="宋体"/>
          <w:bCs/>
          <w:color w:val="auto"/>
          <w:szCs w:val="21"/>
          <w:highlight w:val="none"/>
        </w:rPr>
        <w:t>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要求偏离分由高到低排序）。评审得分、最后报价（不计算价格折扣）、技术得分、技术要求偏离分均相同的，由磋商小组随机抽取推荐。</w:t>
      </w:r>
    </w:p>
    <w:p>
      <w:pPr>
        <w:spacing w:line="400" w:lineRule="exact"/>
        <w:ind w:firstLine="420" w:firstLineChars="200"/>
        <w:rPr>
          <w:rFonts w:ascii="宋体" w:hAnsi="宋体" w:cs="宋体"/>
          <w:color w:val="auto"/>
          <w:highlight w:val="none"/>
        </w:rPr>
      </w:pPr>
    </w:p>
    <w:p>
      <w:pPr>
        <w:spacing w:line="400" w:lineRule="exact"/>
        <w:ind w:firstLine="420" w:firstLineChars="200"/>
        <w:rPr>
          <w:rFonts w:ascii="宋体" w:hAnsi="宋体" w:cs="宋体"/>
          <w:color w:val="auto"/>
          <w:highlight w:val="none"/>
        </w:rPr>
      </w:pPr>
    </w:p>
    <w:p>
      <w:pPr>
        <w:pStyle w:val="3"/>
        <w:jc w:val="center"/>
        <w:rPr>
          <w:color w:val="auto"/>
          <w:highlight w:val="none"/>
        </w:rPr>
      </w:pPr>
      <w:r>
        <w:rPr>
          <w:color w:val="auto"/>
          <w:highlight w:val="none"/>
        </w:rPr>
        <w:br w:type="page"/>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3"/>
        <w:jc w:val="center"/>
        <w:rPr>
          <w:color w:val="auto"/>
          <w:highlight w:val="none"/>
        </w:rPr>
      </w:pPr>
      <w:bookmarkStart w:id="152" w:name="_Toc74323460"/>
      <w:r>
        <w:rPr>
          <w:rFonts w:hint="eastAsia"/>
          <w:color w:val="auto"/>
          <w:highlight w:val="none"/>
        </w:rPr>
        <w:t>第五章响应文件格式</w:t>
      </w:r>
      <w:bookmarkEnd w:id="152"/>
    </w:p>
    <w:p>
      <w:pPr>
        <w:spacing w:line="240" w:lineRule="atLeast"/>
        <w:rPr>
          <w:rFonts w:ascii="宋体" w:hAnsi="宋体"/>
          <w:b/>
          <w:color w:val="auto"/>
          <w:sz w:val="32"/>
          <w:szCs w:val="32"/>
          <w:highlight w:val="none"/>
        </w:rPr>
      </w:pPr>
    </w:p>
    <w:p>
      <w:pPr>
        <w:spacing w:line="240" w:lineRule="atLeast"/>
        <w:rPr>
          <w:rFonts w:ascii="宋体" w:hAnsi="宋体"/>
          <w:b/>
          <w:color w:val="auto"/>
          <w:sz w:val="32"/>
          <w:szCs w:val="32"/>
          <w:highlight w:val="none"/>
        </w:rPr>
      </w:pPr>
    </w:p>
    <w:p>
      <w:pPr>
        <w:spacing w:line="240" w:lineRule="atLeast"/>
        <w:rPr>
          <w:rFonts w:ascii="宋体" w:hAnsi="宋体"/>
          <w:b/>
          <w:color w:val="auto"/>
          <w:sz w:val="32"/>
          <w:szCs w:val="32"/>
          <w:highlight w:val="none"/>
        </w:rPr>
      </w:pPr>
    </w:p>
    <w:p>
      <w:pPr>
        <w:spacing w:line="240" w:lineRule="atLeast"/>
        <w:rPr>
          <w:rFonts w:ascii="宋体" w:hAnsi="宋体"/>
          <w:b/>
          <w:color w:val="auto"/>
          <w:sz w:val="32"/>
          <w:szCs w:val="32"/>
          <w:highlight w:val="none"/>
        </w:rPr>
      </w:pPr>
    </w:p>
    <w:p>
      <w:pPr>
        <w:spacing w:line="240" w:lineRule="atLeast"/>
        <w:rPr>
          <w:rFonts w:ascii="宋体" w:hAnsi="宋体"/>
          <w:b/>
          <w:color w:val="auto"/>
          <w:sz w:val="32"/>
          <w:szCs w:val="32"/>
          <w:highlight w:val="none"/>
        </w:rPr>
      </w:pPr>
    </w:p>
    <w:p>
      <w:pPr>
        <w:spacing w:line="240" w:lineRule="atLeast"/>
        <w:rPr>
          <w:rFonts w:ascii="宋体" w:hAnsi="宋体"/>
          <w:b/>
          <w:color w:val="auto"/>
          <w:sz w:val="32"/>
          <w:szCs w:val="32"/>
          <w:highlight w:val="none"/>
        </w:rPr>
      </w:pPr>
    </w:p>
    <w:p>
      <w:pPr>
        <w:spacing w:line="240" w:lineRule="atLeast"/>
        <w:rPr>
          <w:rFonts w:ascii="宋体" w:hAnsi="宋体"/>
          <w:b/>
          <w:color w:val="auto"/>
          <w:sz w:val="32"/>
          <w:szCs w:val="32"/>
          <w:highlight w:val="none"/>
        </w:rPr>
      </w:pPr>
    </w:p>
    <w:p>
      <w:pPr>
        <w:spacing w:line="240" w:lineRule="atLeast"/>
        <w:rPr>
          <w:rFonts w:ascii="宋体" w:hAnsi="宋体"/>
          <w:b/>
          <w:color w:val="auto"/>
          <w:sz w:val="32"/>
          <w:szCs w:val="32"/>
          <w:highlight w:val="none"/>
        </w:rPr>
      </w:pPr>
    </w:p>
    <w:p>
      <w:pPr>
        <w:spacing w:line="240" w:lineRule="atLeast"/>
        <w:rPr>
          <w:rFonts w:ascii="宋体" w:hAnsi="宋体"/>
          <w:b/>
          <w:color w:val="auto"/>
          <w:sz w:val="32"/>
          <w:szCs w:val="32"/>
          <w:highlight w:val="none"/>
        </w:rPr>
      </w:pPr>
    </w:p>
    <w:p>
      <w:pPr>
        <w:spacing w:line="240" w:lineRule="atLeast"/>
        <w:rPr>
          <w:rFonts w:ascii="宋体" w:hAnsi="宋体"/>
          <w:b/>
          <w:color w:val="auto"/>
          <w:sz w:val="32"/>
          <w:szCs w:val="32"/>
          <w:highlight w:val="none"/>
        </w:rPr>
      </w:pPr>
    </w:p>
    <w:p>
      <w:pPr>
        <w:spacing w:line="240" w:lineRule="atLeast"/>
        <w:rPr>
          <w:rFonts w:ascii="宋体" w:hAnsi="宋体"/>
          <w:b/>
          <w:color w:val="auto"/>
          <w:sz w:val="32"/>
          <w:szCs w:val="32"/>
          <w:highlight w:val="none"/>
        </w:rPr>
      </w:pPr>
    </w:p>
    <w:p>
      <w:pPr>
        <w:snapToGrid w:val="0"/>
        <w:spacing w:before="50" w:after="50"/>
        <w:outlineLvl w:val="1"/>
        <w:rPr>
          <w:rFonts w:ascii="宋体" w:hAnsi="宋体"/>
          <w:b/>
          <w:bCs/>
          <w:color w:val="auto"/>
          <w:sz w:val="24"/>
          <w:highlight w:val="none"/>
        </w:rPr>
      </w:pPr>
    </w:p>
    <w:p>
      <w:pPr>
        <w:snapToGrid w:val="0"/>
        <w:spacing w:before="50" w:after="50"/>
        <w:outlineLvl w:val="1"/>
        <w:rPr>
          <w:rFonts w:ascii="宋体" w:hAnsi="宋体"/>
          <w:b/>
          <w:bCs/>
          <w:color w:val="auto"/>
          <w:sz w:val="24"/>
          <w:highlight w:val="none"/>
        </w:rPr>
      </w:pPr>
    </w:p>
    <w:p>
      <w:pPr>
        <w:snapToGrid w:val="0"/>
        <w:spacing w:before="156" w:beforeLines="50" w:after="50"/>
        <w:jc w:val="center"/>
        <w:rPr>
          <w:rFonts w:ascii="仿宋_GB2312" w:hAnsi="仿宋_GB2312" w:eastAsia="仿宋_GB2312" w:cs="仿宋_GB2312"/>
          <w:bCs/>
          <w:color w:val="auto"/>
          <w:sz w:val="32"/>
          <w:szCs w:val="32"/>
          <w:highlight w:val="none"/>
        </w:rPr>
      </w:pPr>
    </w:p>
    <w:p>
      <w:pPr>
        <w:rPr>
          <w:b/>
          <w:color w:val="auto"/>
          <w:sz w:val="32"/>
          <w:szCs w:val="32"/>
          <w:highlight w:val="none"/>
        </w:rPr>
      </w:pPr>
      <w:bookmarkStart w:id="153" w:name="_Toc71366186"/>
      <w:bookmarkStart w:id="154" w:name="_Toc44229899"/>
      <w:bookmarkStart w:id="155" w:name="_Toc31728084"/>
      <w:bookmarkStart w:id="156" w:name="_Toc31723070"/>
      <w:bookmarkStart w:id="157" w:name="_Toc35611438"/>
      <w:bookmarkStart w:id="158" w:name="_Toc35611516"/>
      <w:r>
        <w:rPr>
          <w:rFonts w:hint="eastAsia"/>
          <w:b/>
          <w:color w:val="auto"/>
          <w:sz w:val="32"/>
          <w:szCs w:val="32"/>
          <w:highlight w:val="none"/>
        </w:rPr>
        <w:t>一、资格证明文件格式</w:t>
      </w:r>
      <w:bookmarkEnd w:id="153"/>
      <w:bookmarkEnd w:id="154"/>
      <w:bookmarkEnd w:id="155"/>
      <w:bookmarkEnd w:id="156"/>
      <w:bookmarkEnd w:id="157"/>
      <w:bookmarkEnd w:id="158"/>
    </w:p>
    <w:p>
      <w:pPr>
        <w:snapToGrid w:val="0"/>
        <w:spacing w:before="156" w:beforeLines="50" w:after="50" w:line="360" w:lineRule="auto"/>
        <w:jc w:val="left"/>
        <w:rPr>
          <w:rFonts w:ascii="宋体" w:hAnsi="宋体"/>
          <w:b/>
          <w:color w:val="auto"/>
          <w:sz w:val="24"/>
          <w:highlight w:val="none"/>
        </w:rPr>
      </w:pPr>
      <w:r>
        <w:rPr>
          <w:rFonts w:hint="eastAsia" w:ascii="宋体" w:hAnsi="宋体"/>
          <w:b/>
          <w:color w:val="auto"/>
          <w:sz w:val="32"/>
          <w:szCs w:val="32"/>
          <w:highlight w:val="none"/>
        </w:rPr>
        <w:t>1.资格证明文件封面格式：</w:t>
      </w:r>
    </w:p>
    <w:p>
      <w:pPr>
        <w:snapToGrid w:val="0"/>
        <w:spacing w:before="156" w:beforeLines="50" w:after="50"/>
        <w:jc w:val="center"/>
        <w:rPr>
          <w:rFonts w:ascii="宋体" w:hAnsi="宋体"/>
          <w:color w:val="auto"/>
          <w:sz w:val="44"/>
          <w:szCs w:val="44"/>
          <w:highlight w:val="none"/>
        </w:rPr>
      </w:pPr>
    </w:p>
    <w:p>
      <w:pPr>
        <w:snapToGrid w:val="0"/>
        <w:spacing w:before="156" w:beforeLines="50" w:after="50"/>
        <w:jc w:val="center"/>
        <w:rPr>
          <w:rFonts w:ascii="宋体" w:hAnsi="宋体"/>
          <w:color w:val="auto"/>
          <w:sz w:val="44"/>
          <w:szCs w:val="44"/>
          <w:highlight w:val="none"/>
        </w:rPr>
      </w:pPr>
      <w:r>
        <w:rPr>
          <w:rFonts w:hint="eastAsia" w:ascii="宋体" w:hAnsi="宋体"/>
          <w:color w:val="auto"/>
          <w:sz w:val="44"/>
          <w:szCs w:val="44"/>
          <w:highlight w:val="none"/>
        </w:rPr>
        <w:t>电 子 响 应 文 件</w:t>
      </w:r>
    </w:p>
    <w:p>
      <w:pPr>
        <w:snapToGrid w:val="0"/>
        <w:spacing w:before="156" w:beforeLines="50" w:after="50"/>
        <w:rPr>
          <w:rFonts w:ascii="宋体" w:hAnsi="宋体"/>
          <w:color w:val="auto"/>
          <w:sz w:val="24"/>
          <w:szCs w:val="20"/>
          <w:highlight w:val="none"/>
        </w:rPr>
      </w:pPr>
    </w:p>
    <w:p>
      <w:pPr>
        <w:snapToGrid w:val="0"/>
        <w:spacing w:before="156"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pPr>
        <w:snapToGrid w:val="0"/>
        <w:spacing w:before="156" w:beforeLines="50" w:after="50"/>
        <w:rPr>
          <w:rFonts w:ascii="宋体" w:hAnsi="宋体"/>
          <w:bCs/>
          <w:color w:val="auto"/>
          <w:sz w:val="24"/>
          <w:szCs w:val="20"/>
          <w:highlight w:val="none"/>
        </w:rPr>
      </w:pPr>
    </w:p>
    <w:p>
      <w:pPr>
        <w:snapToGrid w:val="0"/>
        <w:spacing w:before="156" w:beforeLines="50" w:after="50"/>
        <w:rPr>
          <w:rFonts w:ascii="宋体" w:hAnsi="宋体"/>
          <w:bCs/>
          <w:color w:val="auto"/>
          <w:sz w:val="24"/>
          <w:szCs w:val="20"/>
          <w:highlight w:val="none"/>
        </w:rPr>
      </w:pPr>
    </w:p>
    <w:p>
      <w:pPr>
        <w:snapToGrid w:val="0"/>
        <w:spacing w:before="156" w:beforeLines="50" w:after="50"/>
        <w:rPr>
          <w:rFonts w:ascii="宋体" w:hAnsi="宋体"/>
          <w:bCs/>
          <w:color w:val="auto"/>
          <w:sz w:val="24"/>
          <w:szCs w:val="20"/>
          <w:highlight w:val="none"/>
        </w:rPr>
      </w:pPr>
    </w:p>
    <w:p>
      <w:pPr>
        <w:snapToGrid w:val="0"/>
        <w:spacing w:before="156" w:beforeLines="50" w:after="50"/>
        <w:rPr>
          <w:rFonts w:ascii="宋体" w:hAnsi="宋体"/>
          <w:bCs/>
          <w:color w:val="auto"/>
          <w:sz w:val="24"/>
          <w:szCs w:val="20"/>
          <w:highlight w:val="none"/>
        </w:rPr>
      </w:pPr>
    </w:p>
    <w:p>
      <w:pPr>
        <w:snapToGrid w:val="0"/>
        <w:spacing w:before="156" w:beforeLines="50" w:after="50"/>
        <w:rPr>
          <w:rFonts w:ascii="宋体" w:hAnsi="宋体"/>
          <w:bCs/>
          <w:color w:val="auto"/>
          <w:sz w:val="24"/>
          <w:szCs w:val="20"/>
          <w:highlight w:val="none"/>
        </w:rPr>
      </w:pPr>
    </w:p>
    <w:p>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pPr>
        <w:snapToGrid w:val="0"/>
        <w:spacing w:before="156" w:beforeLines="50" w:after="50"/>
        <w:ind w:firstLine="720" w:firstLineChars="225"/>
        <w:rPr>
          <w:rFonts w:ascii="宋体" w:hAnsi="宋体" w:cs="仿宋_GB2312"/>
          <w:bCs/>
          <w:color w:val="auto"/>
          <w:sz w:val="32"/>
          <w:szCs w:val="32"/>
          <w:highlight w:val="none"/>
        </w:rPr>
      </w:pPr>
    </w:p>
    <w:p>
      <w:pPr>
        <w:snapToGrid w:val="0"/>
        <w:spacing w:before="156"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pPr>
        <w:snapToGrid w:val="0"/>
        <w:spacing w:before="156" w:beforeLines="50" w:after="50"/>
        <w:ind w:firstLine="720" w:firstLineChars="225"/>
        <w:rPr>
          <w:rFonts w:ascii="宋体" w:hAnsi="宋体" w:cs="仿宋_GB2312"/>
          <w:bCs/>
          <w:color w:val="auto"/>
          <w:sz w:val="32"/>
          <w:szCs w:val="32"/>
          <w:highlight w:val="none"/>
        </w:rPr>
      </w:pPr>
    </w:p>
    <w:p>
      <w:pPr>
        <w:snapToGrid w:val="0"/>
        <w:spacing w:before="156"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pPr>
        <w:snapToGrid w:val="0"/>
        <w:spacing w:before="156" w:beforeLines="50" w:after="50"/>
        <w:ind w:firstLine="720" w:firstLineChars="225"/>
        <w:rPr>
          <w:rFonts w:ascii="宋体" w:hAnsi="宋体" w:cs="仿宋_GB2312"/>
          <w:bCs/>
          <w:color w:val="auto"/>
          <w:sz w:val="32"/>
          <w:szCs w:val="32"/>
          <w:highlight w:val="none"/>
        </w:rPr>
      </w:pPr>
    </w:p>
    <w:p>
      <w:pPr>
        <w:pStyle w:val="8"/>
        <w:snapToGrid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pPr>
        <w:snapToGrid w:val="0"/>
        <w:spacing w:before="156" w:beforeLines="50" w:after="50"/>
        <w:ind w:firstLine="640" w:firstLineChars="200"/>
        <w:rPr>
          <w:rFonts w:ascii="宋体" w:hAnsi="宋体" w:cs="仿宋_GB2312"/>
          <w:bCs/>
          <w:color w:val="auto"/>
          <w:sz w:val="32"/>
          <w:szCs w:val="32"/>
          <w:highlight w:val="none"/>
        </w:rPr>
      </w:pPr>
    </w:p>
    <w:p>
      <w:pPr>
        <w:pStyle w:val="8"/>
        <w:snapToGrid w:val="0"/>
        <w:spacing w:before="50" w:after="50"/>
        <w:ind w:firstLine="720" w:firstLineChars="225"/>
        <w:rPr>
          <w:rFonts w:ascii="宋体" w:hAnsi="宋体" w:cs="仿宋_GB2312"/>
          <w:bCs/>
          <w:color w:val="auto"/>
          <w:sz w:val="32"/>
          <w:szCs w:val="32"/>
          <w:highlight w:val="none"/>
        </w:rPr>
      </w:pPr>
    </w:p>
    <w:p>
      <w:pPr>
        <w:pStyle w:val="8"/>
        <w:snapToGrid w:val="0"/>
        <w:spacing w:before="50" w:after="50"/>
        <w:ind w:firstLine="720" w:firstLineChars="225"/>
        <w:rPr>
          <w:rFonts w:ascii="宋体" w:hAnsi="宋体" w:cs="仿宋_GB2312"/>
          <w:bCs/>
          <w:color w:val="auto"/>
          <w:sz w:val="32"/>
          <w:szCs w:val="32"/>
          <w:highlight w:val="none"/>
        </w:rPr>
      </w:pPr>
    </w:p>
    <w:p>
      <w:pPr>
        <w:pStyle w:val="8"/>
        <w:snapToGrid w:val="0"/>
        <w:spacing w:before="50" w:after="50"/>
        <w:ind w:firstLine="1280" w:firstLineChars="400"/>
        <w:rPr>
          <w:rFonts w:ascii="宋体" w:hAnsi="宋体" w:cs="仿宋_GB2312"/>
          <w:bCs/>
          <w:color w:val="auto"/>
          <w:sz w:val="32"/>
          <w:szCs w:val="32"/>
          <w:highlight w:val="none"/>
        </w:rPr>
      </w:pPr>
    </w:p>
    <w:p>
      <w:pPr>
        <w:snapToGrid w:val="0"/>
        <w:spacing w:before="156"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pPr>
        <w:snapToGrid w:val="0"/>
        <w:spacing w:before="156" w:beforeLines="50" w:after="50" w:line="360" w:lineRule="auto"/>
        <w:ind w:left="142"/>
        <w:jc w:val="left"/>
        <w:rPr>
          <w:rFonts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2.资格证明文件目录</w:t>
      </w:r>
    </w:p>
    <w:p>
      <w:pPr>
        <w:snapToGrid w:val="0"/>
        <w:spacing w:before="156" w:beforeLines="50" w:after="50" w:line="360" w:lineRule="auto"/>
        <w:ind w:firstLine="645"/>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pPr>
        <w:snapToGrid w:val="0"/>
        <w:spacing w:before="156" w:beforeLines="50" w:after="50"/>
        <w:rPr>
          <w:rFonts w:ascii="宋体" w:hAnsi="宋体"/>
          <w:color w:val="auto"/>
          <w:sz w:val="24"/>
          <w:szCs w:val="20"/>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20" w:lineRule="exact"/>
        <w:jc w:val="left"/>
        <w:rPr>
          <w:rFonts w:ascii="宋体" w:hAnsi="宋体"/>
          <w:color w:val="auto"/>
          <w:szCs w:val="21"/>
          <w:highlight w:val="none"/>
        </w:rPr>
      </w:pPr>
      <w:r>
        <w:rPr>
          <w:rFonts w:ascii="宋体" w:hAnsi="宋体"/>
          <w:color w:val="auto"/>
          <w:szCs w:val="21"/>
          <w:highlight w:val="none"/>
        </w:rPr>
        <w:br w:type="page"/>
      </w:r>
    </w:p>
    <w:p>
      <w:pPr>
        <w:wordWrap w:val="0"/>
        <w:spacing w:before="156" w:beforeLines="50" w:after="50" w:line="320" w:lineRule="exact"/>
        <w:ind w:right="482" w:firstLine="210" w:firstLineChars="100"/>
        <w:contextualSpacing/>
        <w:jc w:val="center"/>
        <w:rPr>
          <w:rFonts w:ascii="宋体" w:hAnsi="宋体"/>
          <w:color w:val="auto"/>
          <w:szCs w:val="21"/>
          <w:highlight w:val="none"/>
        </w:rPr>
      </w:pPr>
    </w:p>
    <w:p>
      <w:pPr>
        <w:spacing w:line="320" w:lineRule="exact"/>
        <w:jc w:val="center"/>
        <w:rPr>
          <w:rFonts w:ascii="宋体" w:hAnsi="宋体"/>
          <w:b/>
          <w:color w:val="auto"/>
          <w:sz w:val="32"/>
          <w:szCs w:val="32"/>
          <w:highlight w:val="none"/>
        </w:rPr>
      </w:pPr>
      <w:r>
        <w:rPr>
          <w:rFonts w:hint="eastAsia" w:ascii="宋体" w:hAnsi="宋体"/>
          <w:b/>
          <w:color w:val="auto"/>
          <w:sz w:val="32"/>
          <w:szCs w:val="32"/>
          <w:highlight w:val="none"/>
        </w:rPr>
        <w:t>供应商直接控股、管理关系信息表</w:t>
      </w:r>
    </w:p>
    <w:p>
      <w:pPr>
        <w:snapToGrid w:val="0"/>
        <w:spacing w:before="156" w:beforeLines="50" w:after="50" w:line="360" w:lineRule="auto"/>
        <w:jc w:val="center"/>
        <w:rPr>
          <w:rFonts w:ascii="宋体" w:hAnsi="宋体"/>
          <w:b/>
          <w:color w:val="auto"/>
          <w:sz w:val="24"/>
          <w:highlight w:val="none"/>
        </w:rPr>
      </w:pPr>
    </w:p>
    <w:p>
      <w:pPr>
        <w:spacing w:line="360" w:lineRule="auto"/>
        <w:contextualSpacing/>
        <w:jc w:val="center"/>
        <w:rPr>
          <w:rFonts w:ascii="宋体" w:hAnsi="宋体"/>
          <w:b/>
          <w:color w:val="auto"/>
          <w:sz w:val="32"/>
          <w:szCs w:val="32"/>
          <w:highlight w:val="none"/>
        </w:rPr>
      </w:pPr>
      <w:r>
        <w:rPr>
          <w:rFonts w:hint="eastAsia" w:ascii="宋体" w:hAnsi="宋体"/>
          <w:b/>
          <w:color w:val="auto"/>
          <w:sz w:val="32"/>
          <w:szCs w:val="32"/>
          <w:highlight w:val="none"/>
        </w:rPr>
        <w:t>供应商直接控股股东信息表</w:t>
      </w:r>
    </w:p>
    <w:p>
      <w:pPr>
        <w:spacing w:line="360" w:lineRule="auto"/>
        <w:contextualSpacing/>
        <w:jc w:val="center"/>
        <w:rPr>
          <w:rFonts w:ascii="宋体" w:hAnsi="宋体"/>
          <w:b/>
          <w:color w:val="auto"/>
          <w:sz w:val="24"/>
          <w:highlight w:val="none"/>
        </w:rPr>
      </w:pPr>
    </w:p>
    <w:tbl>
      <w:tblPr>
        <w:tblStyle w:val="25"/>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r>
    </w:tbl>
    <w:p>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w:t>
      </w:r>
    </w:p>
    <w:p>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pPr>
        <w:spacing w:line="360" w:lineRule="auto"/>
        <w:ind w:firstLine="420" w:firstLineChars="200"/>
        <w:contextualSpacing/>
        <w:jc w:val="left"/>
        <w:rPr>
          <w:rFonts w:ascii="宋体" w:hAnsi="宋体" w:cs="宋体"/>
          <w:color w:val="auto"/>
          <w:szCs w:val="21"/>
          <w:highlight w:val="none"/>
        </w:rPr>
      </w:pPr>
    </w:p>
    <w:p>
      <w:pPr>
        <w:spacing w:line="360" w:lineRule="auto"/>
        <w:ind w:firstLine="560" w:firstLineChars="200"/>
        <w:contextualSpacing/>
        <w:jc w:val="left"/>
        <w:rPr>
          <w:rFonts w:ascii="宋体" w:hAnsi="宋体" w:cs="宋体"/>
          <w:color w:val="auto"/>
          <w:sz w:val="28"/>
          <w:szCs w:val="28"/>
          <w:highlight w:val="none"/>
        </w:rPr>
      </w:pPr>
    </w:p>
    <w:p>
      <w:pPr>
        <w:spacing w:line="360" w:lineRule="auto"/>
        <w:ind w:right="480"/>
        <w:contextualSpacing/>
        <w:jc w:val="center"/>
        <w:rPr>
          <w:rFonts w:ascii="宋体" w:hAnsi="宋体" w:cs="宋体"/>
          <w:color w:val="auto"/>
          <w:sz w:val="24"/>
          <w:highlight w:val="none"/>
          <w:u w:val="single"/>
        </w:rPr>
      </w:pP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p>
    <w:p>
      <w:pPr>
        <w:spacing w:line="360" w:lineRule="auto"/>
        <w:ind w:right="480" w:firstLine="3000" w:firstLineChars="1250"/>
        <w:contextualSpacing/>
        <w:rPr>
          <w:rFonts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p>
    <w:p>
      <w:pPr>
        <w:spacing w:line="360" w:lineRule="auto"/>
        <w:ind w:firstLine="480" w:firstLineChars="200"/>
        <w:contextualSpacing/>
        <w:jc w:val="right"/>
        <w:rPr>
          <w:rFonts w:ascii="宋体" w:hAnsi="宋体" w:cs="宋体"/>
          <w:color w:val="auto"/>
          <w:sz w:val="28"/>
          <w:szCs w:val="28"/>
          <w:highlight w:val="none"/>
        </w:rPr>
      </w:pPr>
      <w:r>
        <w:rPr>
          <w:rFonts w:hint="eastAsia" w:ascii="宋体" w:hAnsi="宋体" w:cs="宋体"/>
          <w:color w:val="auto"/>
          <w:sz w:val="24"/>
          <w:highlight w:val="none"/>
        </w:rPr>
        <w:t>年    月    日</w:t>
      </w:r>
    </w:p>
    <w:p>
      <w:pPr>
        <w:snapToGrid w:val="0"/>
        <w:jc w:val="center"/>
        <w:rPr>
          <w:rFonts w:ascii="宋体" w:hAnsi="宋体"/>
          <w:b/>
          <w:color w:val="auto"/>
          <w:sz w:val="28"/>
          <w:szCs w:val="28"/>
          <w:highlight w:val="none"/>
        </w:rPr>
      </w:pPr>
      <w:r>
        <w:rPr>
          <w:rFonts w:ascii="宋体" w:hAnsi="宋体"/>
          <w:b/>
          <w:color w:val="auto"/>
          <w:sz w:val="28"/>
          <w:szCs w:val="28"/>
          <w:highlight w:val="none"/>
        </w:rPr>
        <w:br w:type="page"/>
      </w:r>
    </w:p>
    <w:p>
      <w:pPr>
        <w:spacing w:line="320" w:lineRule="exact"/>
        <w:jc w:val="center"/>
        <w:rPr>
          <w:rFonts w:ascii="宋体" w:hAnsi="宋体"/>
          <w:b/>
          <w:color w:val="auto"/>
          <w:sz w:val="32"/>
          <w:szCs w:val="32"/>
          <w:highlight w:val="none"/>
        </w:rPr>
      </w:pPr>
      <w:r>
        <w:rPr>
          <w:rFonts w:hint="eastAsia" w:ascii="宋体" w:hAnsi="宋体"/>
          <w:b/>
          <w:color w:val="auto"/>
          <w:sz w:val="32"/>
          <w:szCs w:val="32"/>
          <w:highlight w:val="none"/>
        </w:rPr>
        <w:t>供应商直接管理关系信息表</w:t>
      </w:r>
    </w:p>
    <w:p>
      <w:pPr>
        <w:snapToGrid w:val="0"/>
        <w:spacing w:line="360" w:lineRule="auto"/>
        <w:jc w:val="center"/>
        <w:rPr>
          <w:rFonts w:ascii="宋体" w:hAnsi="宋体"/>
          <w:b/>
          <w:color w:val="auto"/>
          <w:sz w:val="24"/>
          <w:highlight w:val="none"/>
        </w:rPr>
      </w:pPr>
    </w:p>
    <w:tbl>
      <w:tblPr>
        <w:tblStyle w:val="25"/>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r>
    </w:tbl>
    <w:p>
      <w:pPr>
        <w:spacing w:line="360" w:lineRule="auto"/>
        <w:contextualSpacing/>
        <w:jc w:val="left"/>
        <w:rPr>
          <w:rFonts w:ascii="宋体" w:hAnsi="宋体"/>
          <w:color w:val="auto"/>
          <w:sz w:val="24"/>
          <w:highlight w:val="none"/>
        </w:rPr>
      </w:pPr>
      <w:r>
        <w:rPr>
          <w:rFonts w:hint="eastAsia" w:ascii="宋体" w:hAnsi="宋体"/>
          <w:color w:val="auto"/>
          <w:sz w:val="24"/>
          <w:highlight w:val="none"/>
        </w:rPr>
        <w:t>注：</w:t>
      </w:r>
    </w:p>
    <w:p>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pPr>
        <w:spacing w:line="360" w:lineRule="auto"/>
        <w:contextualSpacing/>
        <w:jc w:val="left"/>
        <w:rPr>
          <w:rFonts w:ascii="宋体" w:hAnsi="宋体"/>
          <w:color w:val="auto"/>
          <w:sz w:val="28"/>
          <w:szCs w:val="28"/>
          <w:highlight w:val="none"/>
        </w:rPr>
      </w:pPr>
    </w:p>
    <w:p>
      <w:pPr>
        <w:spacing w:line="360" w:lineRule="auto"/>
        <w:contextualSpacing/>
        <w:jc w:val="left"/>
        <w:rPr>
          <w:rFonts w:ascii="宋体" w:hAnsi="宋体"/>
          <w:color w:val="auto"/>
          <w:sz w:val="28"/>
          <w:szCs w:val="28"/>
          <w:highlight w:val="none"/>
        </w:rPr>
      </w:pPr>
    </w:p>
    <w:p>
      <w:pPr>
        <w:spacing w:line="360" w:lineRule="auto"/>
        <w:contextualSpacing/>
        <w:jc w:val="left"/>
        <w:rPr>
          <w:color w:val="auto"/>
          <w:sz w:val="28"/>
          <w:szCs w:val="28"/>
          <w:highlight w:val="none"/>
        </w:rPr>
      </w:pPr>
    </w:p>
    <w:p>
      <w:pPr>
        <w:spacing w:line="360" w:lineRule="auto"/>
        <w:contextualSpacing/>
        <w:jc w:val="left"/>
        <w:rPr>
          <w:color w:val="auto"/>
          <w:sz w:val="28"/>
          <w:szCs w:val="28"/>
          <w:highlight w:val="none"/>
        </w:rPr>
      </w:pPr>
    </w:p>
    <w:p>
      <w:pPr>
        <w:spacing w:line="360" w:lineRule="auto"/>
        <w:contextualSpacing/>
        <w:jc w:val="left"/>
        <w:rPr>
          <w:color w:val="auto"/>
          <w:sz w:val="28"/>
          <w:szCs w:val="28"/>
          <w:highlight w:val="none"/>
        </w:rPr>
      </w:pPr>
    </w:p>
    <w:p>
      <w:pPr>
        <w:spacing w:line="360" w:lineRule="auto"/>
        <w:contextualSpacing/>
        <w:jc w:val="left"/>
        <w:rPr>
          <w:rFonts w:ascii="宋体" w:hAnsi="宋体"/>
          <w:color w:val="auto"/>
          <w:sz w:val="28"/>
          <w:szCs w:val="28"/>
          <w:highlight w:val="none"/>
        </w:rPr>
      </w:pPr>
    </w:p>
    <w:p>
      <w:pPr>
        <w:spacing w:line="360" w:lineRule="auto"/>
        <w:ind w:right="480"/>
        <w:contextualSpacing/>
        <w:jc w:val="center"/>
        <w:rPr>
          <w:rFonts w:ascii="宋体" w:hAnsi="宋体"/>
          <w:color w:val="auto"/>
          <w:sz w:val="24"/>
          <w:highlight w:val="none"/>
          <w:u w:val="single"/>
        </w:rPr>
      </w:pPr>
      <w:r>
        <w:rPr>
          <w:rFonts w:hint="eastAsia" w:ascii="宋体" w:hAnsi="宋体"/>
          <w:color w:val="auto"/>
          <w:sz w:val="24"/>
          <w:highlight w:val="none"/>
        </w:rPr>
        <w:t>法定代表人或者委托代理人（签字或者电子签名）：</w:t>
      </w:r>
    </w:p>
    <w:p>
      <w:pPr>
        <w:spacing w:line="360" w:lineRule="auto"/>
        <w:ind w:right="480" w:firstLine="3360" w:firstLineChars="1400"/>
        <w:contextualSpacing/>
        <w:rPr>
          <w:rFonts w:ascii="宋体" w:hAnsi="宋体"/>
          <w:color w:val="auto"/>
          <w:sz w:val="24"/>
          <w:highlight w:val="none"/>
        </w:rPr>
      </w:pPr>
      <w:r>
        <w:rPr>
          <w:rFonts w:hint="eastAsia" w:ascii="宋体" w:hAnsi="宋体"/>
          <w:color w:val="auto"/>
          <w:sz w:val="24"/>
          <w:highlight w:val="none"/>
        </w:rPr>
        <w:t>供应商（电子签章）：</w:t>
      </w:r>
    </w:p>
    <w:p>
      <w:pPr>
        <w:spacing w:line="360" w:lineRule="auto"/>
        <w:ind w:firstLine="480" w:firstLineChars="200"/>
        <w:contextualSpacing/>
        <w:jc w:val="left"/>
        <w:rPr>
          <w:rFonts w:ascii="宋体" w:hAnsi="宋体"/>
          <w:color w:val="auto"/>
          <w:sz w:val="28"/>
          <w:szCs w:val="28"/>
          <w:highlight w:val="none"/>
        </w:rPr>
      </w:pPr>
      <w:r>
        <w:rPr>
          <w:rFonts w:hint="eastAsia" w:ascii="宋体" w:hAnsi="宋体"/>
          <w:color w:val="auto"/>
          <w:sz w:val="24"/>
          <w:highlight w:val="none"/>
        </w:rPr>
        <w:t xml:space="preserve">                                        年    月    日</w:t>
      </w:r>
    </w:p>
    <w:p>
      <w:pPr>
        <w:spacing w:line="320" w:lineRule="exact"/>
        <w:jc w:val="center"/>
        <w:rPr>
          <w:rFonts w:ascii="宋体" w:hAnsi="宋体"/>
          <w:b/>
          <w:color w:val="auto"/>
          <w:sz w:val="32"/>
          <w:szCs w:val="32"/>
          <w:highlight w:val="none"/>
        </w:rPr>
      </w:pPr>
      <w:r>
        <w:rPr>
          <w:rFonts w:ascii="宋体" w:hAnsi="宋体"/>
          <w:color w:val="auto"/>
          <w:sz w:val="28"/>
          <w:szCs w:val="28"/>
          <w:highlight w:val="none"/>
        </w:rPr>
        <w:br w:type="page"/>
      </w:r>
      <w:r>
        <w:rPr>
          <w:rFonts w:hint="eastAsia" w:ascii="宋体" w:hAnsi="宋体"/>
          <w:b/>
          <w:color w:val="auto"/>
          <w:sz w:val="32"/>
          <w:szCs w:val="32"/>
          <w:highlight w:val="none"/>
        </w:rPr>
        <w:t>竞标声明</w:t>
      </w:r>
    </w:p>
    <w:p>
      <w:pPr>
        <w:spacing w:line="320" w:lineRule="exact"/>
        <w:jc w:val="center"/>
        <w:rPr>
          <w:rFonts w:ascii="宋体" w:hAnsi="宋体"/>
          <w:color w:val="auto"/>
          <w:sz w:val="24"/>
          <w:szCs w:val="20"/>
          <w:highlight w:val="none"/>
        </w:rPr>
      </w:pPr>
    </w:p>
    <w:p>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3.在此，我方宣布同意如下：</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（4）响应磋商文件规定的竞标有效期。</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（6）法律、行政法规规定的其他条件。</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p>
    <w:p>
      <w:pPr>
        <w:pStyle w:val="16"/>
        <w:spacing w:line="360" w:lineRule="auto"/>
        <w:ind w:firstLine="480" w:firstLineChars="200"/>
        <w:contextualSpacing/>
        <w:rPr>
          <w:rFonts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7.与本磋商有关的一切正式往来信函请寄：邮政编号：</w:t>
      </w:r>
    </w:p>
    <w:p>
      <w:pPr>
        <w:pStyle w:val="16"/>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电话/传真： 电子邮箱：</w:t>
      </w:r>
    </w:p>
    <w:p>
      <w:pPr>
        <w:pStyle w:val="15"/>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开户银行：  帐号：</w:t>
      </w:r>
    </w:p>
    <w:p>
      <w:pPr>
        <w:pStyle w:val="15"/>
        <w:tabs>
          <w:tab w:val="left" w:pos="939"/>
        </w:tabs>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pPr>
        <w:pStyle w:val="15"/>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特此承诺。</w:t>
      </w:r>
    </w:p>
    <w:p>
      <w:pPr>
        <w:spacing w:line="360" w:lineRule="auto"/>
        <w:contextualSpacing/>
        <w:jc w:val="left"/>
        <w:rPr>
          <w:rFonts w:ascii="宋体" w:hAnsi="宋体"/>
          <w:b/>
          <w:color w:val="auto"/>
          <w:sz w:val="24"/>
          <w:highlight w:val="none"/>
        </w:rPr>
      </w:pPr>
      <w:r>
        <w:rPr>
          <w:rFonts w:hint="eastAsia" w:ascii="宋体" w:hAnsi="宋体" w:cs="宋体"/>
          <w:b/>
          <w:color w:val="auto"/>
          <w:sz w:val="24"/>
          <w:highlight w:val="none"/>
        </w:rPr>
        <w:t>注：</w:t>
      </w:r>
      <w:r>
        <w:rPr>
          <w:rFonts w:hint="eastAsia" w:ascii="宋体" w:hAnsi="宋体"/>
          <w:b/>
          <w:color w:val="auto"/>
          <w:sz w:val="24"/>
          <w:highlight w:val="none"/>
        </w:rPr>
        <w:t>如为联合体竞标，盖章处须加盖联合体牵头人电子签章并由联合体牵头人法定代表人分别签字或者盖章或者电子签名，否则响应文件按无效处理。</w:t>
      </w:r>
    </w:p>
    <w:p>
      <w:pPr>
        <w:spacing w:line="360" w:lineRule="auto"/>
        <w:contextualSpacing/>
        <w:jc w:val="left"/>
        <w:rPr>
          <w:rFonts w:ascii="宋体" w:hAnsi="宋体" w:cs="宋体"/>
          <w:color w:val="auto"/>
          <w:szCs w:val="21"/>
          <w:highlight w:val="none"/>
        </w:rPr>
      </w:pPr>
    </w:p>
    <w:p>
      <w:pPr>
        <w:spacing w:line="360" w:lineRule="auto"/>
        <w:ind w:firstLine="1575" w:firstLineChars="750"/>
        <w:contextualSpacing/>
        <w:rPr>
          <w:color w:val="auto"/>
          <w:highlight w:val="none"/>
        </w:rPr>
      </w:pPr>
      <w:r>
        <w:rPr>
          <w:rFonts w:hint="eastAsia"/>
          <w:color w:val="auto"/>
          <w:highlight w:val="none"/>
        </w:rPr>
        <w:t>法定代表人（</w:t>
      </w:r>
      <w:r>
        <w:rPr>
          <w:rFonts w:hint="eastAsia" w:ascii="宋体" w:hAnsi="宋体"/>
          <w:color w:val="auto"/>
          <w:sz w:val="24"/>
          <w:highlight w:val="none"/>
        </w:rPr>
        <w:t>签字或者盖章或者电子签名</w:t>
      </w:r>
      <w:r>
        <w:rPr>
          <w:rFonts w:hint="eastAsia"/>
          <w:color w:val="auto"/>
          <w:highlight w:val="none"/>
        </w:rPr>
        <w:t>）：</w:t>
      </w:r>
    </w:p>
    <w:p>
      <w:pPr>
        <w:spacing w:line="360" w:lineRule="auto"/>
        <w:ind w:firstLine="3780" w:firstLineChars="1800"/>
        <w:contextualSpacing/>
        <w:rPr>
          <w:rFonts w:ascii="宋体" w:hAnsi="宋体" w:cs="宋体"/>
          <w:color w:val="auto"/>
          <w:szCs w:val="21"/>
          <w:highlight w:val="none"/>
          <w:u w:val="single"/>
        </w:rPr>
      </w:pPr>
      <w:r>
        <w:rPr>
          <w:rFonts w:hint="eastAsia"/>
          <w:color w:val="auto"/>
          <w:highlight w:val="none"/>
        </w:rPr>
        <w:t>供应商（电子签章）：</w:t>
      </w:r>
    </w:p>
    <w:p>
      <w:pPr>
        <w:pStyle w:val="15"/>
        <w:tabs>
          <w:tab w:val="left" w:pos="939"/>
        </w:tabs>
        <w:spacing w:line="360" w:lineRule="auto"/>
        <w:ind w:left="0" w:leftChars="0" w:firstLine="420" w:firstLineChars="200"/>
        <w:rPr>
          <w:color w:val="auto"/>
          <w:sz w:val="24"/>
          <w:highlight w:val="none"/>
        </w:rPr>
      </w:pPr>
      <w:r>
        <w:rPr>
          <w:rFonts w:hint="eastAsia"/>
          <w:color w:val="auto"/>
          <w:highlight w:val="none"/>
        </w:rPr>
        <w:t>年月日</w:t>
      </w:r>
    </w:p>
    <w:p>
      <w:pPr>
        <w:pStyle w:val="8"/>
        <w:overflowPunct w:val="0"/>
        <w:spacing w:line="520" w:lineRule="exact"/>
        <w:ind w:firstLine="0"/>
        <w:jc w:val="center"/>
        <w:rPr>
          <w:rFonts w:ascii="方正小标宋简体" w:hAnsi="方正小标宋简体" w:eastAsia="方正小标宋简体" w:cs="方正小标宋简体"/>
          <w:color w:val="auto"/>
          <w:sz w:val="44"/>
          <w:szCs w:val="44"/>
          <w:highlight w:val="none"/>
        </w:rPr>
      </w:pPr>
      <w:r>
        <w:rPr>
          <w:rFonts w:hint="eastAsia"/>
          <w:color w:val="auto"/>
          <w:sz w:val="24"/>
          <w:highlight w:val="none"/>
        </w:rPr>
        <w:br w:type="page"/>
      </w:r>
      <w:r>
        <w:rPr>
          <w:rFonts w:hint="eastAsia" w:ascii="方正小标宋简体" w:hAnsi="方正小标宋简体" w:eastAsia="方正小标宋简体" w:cs="方正小标宋简体"/>
          <w:color w:val="auto"/>
          <w:sz w:val="44"/>
          <w:szCs w:val="44"/>
          <w:highlight w:val="none"/>
        </w:rPr>
        <w:t>联合体竞标协议书</w:t>
      </w:r>
    </w:p>
    <w:p>
      <w:pPr>
        <w:pStyle w:val="8"/>
        <w:overflowPunct w:val="0"/>
        <w:spacing w:line="360" w:lineRule="auto"/>
        <w:ind w:firstLine="0"/>
        <w:rPr>
          <w:rFonts w:ascii="宋体" w:hAnsi="宋体"/>
          <w:color w:val="auto"/>
          <w:sz w:val="24"/>
          <w:szCs w:val="24"/>
          <w:highlight w:val="none"/>
        </w:rPr>
      </w:pPr>
    </w:p>
    <w:p>
      <w:pPr>
        <w:pStyle w:val="8"/>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（所有成员单位名称）自愿组成（联合体名称）联合体，共同参加（项目名称）采购项目竞标。现就联合体竞标事宜订立如下协议。</w:t>
      </w:r>
    </w:p>
    <w:p>
      <w:pPr>
        <w:pStyle w:val="8"/>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1.</w:t>
      </w:r>
      <w:r>
        <w:rPr>
          <w:rFonts w:hint="eastAsia" w:ascii="宋体" w:hAnsi="宋体" w:cs="仿宋_GB2312"/>
          <w:color w:val="auto"/>
          <w:sz w:val="24"/>
          <w:szCs w:val="24"/>
          <w:highlight w:val="none"/>
          <w:u w:val="single"/>
        </w:rPr>
        <w:tab/>
      </w:r>
      <w:r>
        <w:rPr>
          <w:rFonts w:hint="eastAsia" w:ascii="宋体" w:hAnsi="宋体" w:cs="仿宋_GB2312"/>
          <w:color w:val="auto"/>
          <w:sz w:val="24"/>
          <w:szCs w:val="24"/>
          <w:highlight w:val="none"/>
        </w:rPr>
        <w:t>（某成员单位名称）为（联合体名称）牵头人。</w:t>
      </w:r>
    </w:p>
    <w:p>
      <w:pPr>
        <w:pStyle w:val="8"/>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2.联合体各成员授权牵头人代表联合体参加竞标活动，签署文件及对文件的盖章，提交和接收相关的资料、信息及指示，进行合同磋商活动，负责合同实施阶段的组织和协调工作，以及处理与本竞标项目有关的一切事宜。</w:t>
      </w:r>
    </w:p>
    <w:p>
      <w:pPr>
        <w:pStyle w:val="8"/>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3.联合体牵头人在本项目中签署和盖章的一切文件和处理的一切事宜，联合体各成员均予以承认。联合体各成员将严格按照磋商文件、响应文件和合同的要求全面履行义务，并向采购人承担连带责任。</w:t>
      </w:r>
    </w:p>
    <w:p>
      <w:pPr>
        <w:pStyle w:val="8"/>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4.联合体各成员单位内部的职责分工如下：。</w:t>
      </w:r>
    </w:p>
    <w:p>
      <w:pPr>
        <w:pStyle w:val="8"/>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5.本</w:t>
      </w:r>
      <w:r>
        <w:rPr>
          <w:rFonts w:hint="eastAsia" w:ascii="宋体" w:hAnsi="宋体" w:cs="仿宋_GB2312"/>
          <w:color w:val="auto"/>
          <w:spacing w:val="-6"/>
          <w:sz w:val="24"/>
          <w:szCs w:val="24"/>
          <w:highlight w:val="none"/>
        </w:rPr>
        <w:t>协议书自所有成员单位法定代表人（单位负责人）或者其委托代理人签字或者盖单位章之日起生效，合同履行完毕后自动失效。</w:t>
      </w:r>
    </w:p>
    <w:p>
      <w:pPr>
        <w:pStyle w:val="8"/>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6.本协议书一式</w:t>
      </w:r>
      <w:r>
        <w:rPr>
          <w:rFonts w:hint="eastAsia" w:ascii="宋体" w:hAnsi="宋体" w:cs="仿宋_GB2312"/>
          <w:color w:val="auto"/>
          <w:sz w:val="24"/>
          <w:szCs w:val="24"/>
          <w:highlight w:val="none"/>
          <w:u w:val="single"/>
        </w:rPr>
        <w:tab/>
      </w:r>
      <w:r>
        <w:rPr>
          <w:rFonts w:hint="eastAsia" w:ascii="宋体" w:hAnsi="宋体" w:cs="仿宋_GB2312"/>
          <w:color w:val="auto"/>
          <w:sz w:val="24"/>
          <w:szCs w:val="24"/>
          <w:highlight w:val="none"/>
        </w:rPr>
        <w:t>份，联合体成员和采购人各执一份。</w:t>
      </w:r>
    </w:p>
    <w:p>
      <w:pPr>
        <w:pStyle w:val="8"/>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注：本协议书应附法定代表人身份证明书；有委托代理的，应附权委托书（格式自拟）。</w:t>
      </w:r>
    </w:p>
    <w:p>
      <w:pPr>
        <w:pStyle w:val="8"/>
        <w:overflowPunct w:val="0"/>
        <w:spacing w:line="360" w:lineRule="auto"/>
        <w:ind w:firstLineChars="175"/>
        <w:contextualSpacing/>
        <w:rPr>
          <w:rFonts w:ascii="宋体" w:hAnsi="宋体" w:cs="仿宋_GB2312"/>
          <w:color w:val="auto"/>
          <w:sz w:val="24"/>
          <w:szCs w:val="24"/>
          <w:highlight w:val="none"/>
        </w:rPr>
      </w:pPr>
    </w:p>
    <w:p>
      <w:pPr>
        <w:pStyle w:val="8"/>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联合体牵头人名称（电子签章）：</w:t>
      </w:r>
    </w:p>
    <w:p>
      <w:pPr>
        <w:pStyle w:val="8"/>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法定代表人或者其委托代理人（签字或者电子签名）：</w:t>
      </w:r>
    </w:p>
    <w:p>
      <w:pPr>
        <w:pStyle w:val="8"/>
        <w:overflowPunct w:val="0"/>
        <w:spacing w:line="360" w:lineRule="auto"/>
        <w:ind w:firstLine="0"/>
        <w:contextualSpacing/>
        <w:rPr>
          <w:rFonts w:ascii="宋体" w:hAnsi="宋体" w:cs="仿宋_GB2312"/>
          <w:color w:val="auto"/>
          <w:sz w:val="24"/>
          <w:szCs w:val="24"/>
          <w:highlight w:val="none"/>
        </w:rPr>
      </w:pPr>
    </w:p>
    <w:p>
      <w:pPr>
        <w:pStyle w:val="8"/>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联合体成员名称（盖公章或者电子签章）：</w:t>
      </w:r>
    </w:p>
    <w:p>
      <w:pPr>
        <w:pStyle w:val="8"/>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法定代表人或者其委托代理人（签字或者电子签名）：</w:t>
      </w:r>
    </w:p>
    <w:p>
      <w:pPr>
        <w:pStyle w:val="8"/>
        <w:overflowPunct w:val="0"/>
        <w:spacing w:line="360" w:lineRule="auto"/>
        <w:ind w:firstLine="0"/>
        <w:contextualSpacing/>
        <w:rPr>
          <w:rFonts w:ascii="宋体" w:hAnsi="宋体" w:cs="仿宋_GB2312"/>
          <w:color w:val="auto"/>
          <w:sz w:val="24"/>
          <w:szCs w:val="24"/>
          <w:highlight w:val="none"/>
        </w:rPr>
      </w:pPr>
    </w:p>
    <w:p>
      <w:pPr>
        <w:pStyle w:val="8"/>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联合体成员名称（盖公章或者电子签章）：</w:t>
      </w:r>
    </w:p>
    <w:p>
      <w:pPr>
        <w:pStyle w:val="8"/>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法定代表人或者其委托代理人（签字或者电子签名）：</w:t>
      </w:r>
    </w:p>
    <w:p>
      <w:pPr>
        <w:pStyle w:val="8"/>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w:t>
      </w:r>
    </w:p>
    <w:p>
      <w:pPr>
        <w:spacing w:line="360" w:lineRule="auto"/>
        <w:ind w:right="480" w:firstLine="240" w:firstLineChars="100"/>
        <w:contextualSpacing/>
        <w:jc w:val="center"/>
        <w:rPr>
          <w:rFonts w:ascii="宋体" w:hAnsi="宋体" w:cs="仿宋_GB2312"/>
          <w:color w:val="auto"/>
          <w:sz w:val="24"/>
          <w:highlight w:val="none"/>
        </w:rPr>
      </w:pPr>
    </w:p>
    <w:p>
      <w:pPr>
        <w:spacing w:line="360" w:lineRule="auto"/>
        <w:ind w:right="480" w:firstLine="240" w:firstLineChars="100"/>
        <w:contextualSpacing/>
        <w:jc w:val="center"/>
        <w:rPr>
          <w:rFonts w:ascii="宋体" w:hAnsi="宋体"/>
          <w:b/>
          <w:bCs/>
          <w:color w:val="auto"/>
          <w:sz w:val="32"/>
          <w:szCs w:val="32"/>
          <w:highlight w:val="none"/>
        </w:rPr>
      </w:pPr>
      <w:r>
        <w:rPr>
          <w:rFonts w:hint="eastAsia" w:ascii="宋体" w:hAnsi="宋体" w:cs="仿宋_GB2312"/>
          <w:color w:val="auto"/>
          <w:sz w:val="24"/>
          <w:highlight w:val="none"/>
        </w:rPr>
        <w:t xml:space="preserve">                                                年  </w:t>
      </w:r>
      <w:r>
        <w:rPr>
          <w:rFonts w:hint="eastAsia" w:ascii="宋体" w:hAnsi="宋体" w:cs="仿宋_GB2312"/>
          <w:color w:val="auto"/>
          <w:sz w:val="24"/>
          <w:highlight w:val="none"/>
        </w:rPr>
        <w:tab/>
      </w:r>
      <w:r>
        <w:rPr>
          <w:rFonts w:hint="eastAsia" w:ascii="宋体" w:hAnsi="宋体" w:cs="仿宋_GB2312"/>
          <w:color w:val="auto"/>
          <w:sz w:val="24"/>
          <w:highlight w:val="none"/>
        </w:rPr>
        <w:t xml:space="preserve">月  </w:t>
      </w:r>
      <w:r>
        <w:rPr>
          <w:rFonts w:hint="eastAsia" w:ascii="宋体" w:hAnsi="宋体" w:cs="仿宋_GB2312"/>
          <w:color w:val="auto"/>
          <w:sz w:val="24"/>
          <w:highlight w:val="none"/>
        </w:rPr>
        <w:tab/>
      </w:r>
      <w:r>
        <w:rPr>
          <w:rFonts w:hint="eastAsia" w:ascii="宋体" w:hAnsi="宋体" w:cs="仿宋_GB2312"/>
          <w:color w:val="auto"/>
          <w:sz w:val="24"/>
          <w:highlight w:val="none"/>
        </w:rPr>
        <w:t>日</w:t>
      </w:r>
    </w:p>
    <w:p>
      <w:pPr>
        <w:spacing w:line="360" w:lineRule="auto"/>
        <w:ind w:right="420"/>
        <w:contextualSpacing/>
        <w:jc w:val="left"/>
        <w:rPr>
          <w:rFonts w:ascii="宋体" w:hAnsi="宋体"/>
          <w:b/>
          <w:color w:val="auto"/>
          <w:sz w:val="32"/>
          <w:szCs w:val="32"/>
          <w:highlight w:val="none"/>
        </w:rPr>
      </w:pPr>
      <w:r>
        <w:rPr>
          <w:rFonts w:ascii="宋体" w:hAnsi="宋体"/>
          <w:b/>
          <w:bCs/>
          <w:color w:val="auto"/>
          <w:sz w:val="32"/>
          <w:szCs w:val="32"/>
          <w:highlight w:val="none"/>
        </w:rPr>
        <w:br w:type="page"/>
      </w:r>
      <w:r>
        <w:rPr>
          <w:rFonts w:hint="eastAsia" w:ascii="宋体" w:hAnsi="宋体"/>
          <w:b/>
          <w:bCs/>
          <w:color w:val="auto"/>
          <w:sz w:val="32"/>
          <w:szCs w:val="32"/>
          <w:highlight w:val="none"/>
        </w:rPr>
        <w:t>二、</w:t>
      </w:r>
      <w:r>
        <w:rPr>
          <w:rFonts w:hint="eastAsia" w:ascii="宋体" w:hAnsi="宋体"/>
          <w:b/>
          <w:color w:val="auto"/>
          <w:sz w:val="32"/>
          <w:szCs w:val="32"/>
          <w:highlight w:val="none"/>
        </w:rPr>
        <w:t xml:space="preserve">报价文件格式 </w:t>
      </w:r>
    </w:p>
    <w:p>
      <w:pPr>
        <w:snapToGrid w:val="0"/>
        <w:spacing w:before="156" w:beforeLines="5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1.报价文件封面格式</w:t>
      </w:r>
    </w:p>
    <w:p>
      <w:pPr>
        <w:snapToGrid w:val="0"/>
        <w:spacing w:before="156" w:beforeLines="50" w:after="50"/>
        <w:rPr>
          <w:rFonts w:ascii="宋体" w:hAnsi="宋体"/>
          <w:bCs/>
          <w:color w:val="auto"/>
          <w:sz w:val="32"/>
          <w:szCs w:val="20"/>
          <w:highlight w:val="none"/>
        </w:rPr>
      </w:pPr>
    </w:p>
    <w:p>
      <w:pPr>
        <w:snapToGrid w:val="0"/>
        <w:spacing w:before="156" w:beforeLines="50" w:after="50"/>
        <w:jc w:val="center"/>
        <w:rPr>
          <w:rFonts w:ascii="宋体" w:hAnsi="宋体"/>
          <w:color w:val="auto"/>
          <w:sz w:val="24"/>
          <w:szCs w:val="20"/>
          <w:highlight w:val="none"/>
        </w:rPr>
      </w:pPr>
      <w:r>
        <w:rPr>
          <w:rFonts w:hint="eastAsia" w:ascii="宋体" w:hAnsi="宋体"/>
          <w:color w:val="auto"/>
          <w:sz w:val="44"/>
          <w:szCs w:val="44"/>
          <w:highlight w:val="none"/>
        </w:rPr>
        <w:t>电 子 响 应 文 件</w:t>
      </w:r>
    </w:p>
    <w:p>
      <w:pPr>
        <w:snapToGrid w:val="0"/>
        <w:spacing w:before="156" w:beforeLines="50" w:after="50"/>
        <w:rPr>
          <w:rFonts w:ascii="宋体" w:hAnsi="宋体"/>
          <w:color w:val="auto"/>
          <w:sz w:val="24"/>
          <w:szCs w:val="20"/>
          <w:highlight w:val="none"/>
        </w:rPr>
      </w:pPr>
    </w:p>
    <w:p>
      <w:pPr>
        <w:snapToGrid w:val="0"/>
        <w:spacing w:before="156" w:beforeLines="50" w:after="50"/>
        <w:rPr>
          <w:rFonts w:ascii="宋体" w:hAnsi="宋体"/>
          <w:color w:val="auto"/>
          <w:sz w:val="24"/>
          <w:szCs w:val="20"/>
          <w:highlight w:val="none"/>
        </w:rPr>
      </w:pPr>
    </w:p>
    <w:p>
      <w:pPr>
        <w:snapToGrid w:val="0"/>
        <w:spacing w:before="156"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w:t>
      </w:r>
    </w:p>
    <w:p>
      <w:pPr>
        <w:snapToGrid w:val="0"/>
        <w:spacing w:before="156" w:beforeLines="50" w:after="50"/>
        <w:rPr>
          <w:rFonts w:ascii="宋体" w:hAnsi="宋体"/>
          <w:bCs/>
          <w:color w:val="auto"/>
          <w:sz w:val="24"/>
          <w:szCs w:val="20"/>
          <w:highlight w:val="none"/>
        </w:rPr>
      </w:pPr>
    </w:p>
    <w:p>
      <w:pPr>
        <w:snapToGrid w:val="0"/>
        <w:spacing w:before="156" w:beforeLines="50" w:after="50"/>
        <w:rPr>
          <w:rFonts w:ascii="宋体" w:hAnsi="宋体"/>
          <w:bCs/>
          <w:color w:val="auto"/>
          <w:sz w:val="24"/>
          <w:szCs w:val="20"/>
          <w:highlight w:val="none"/>
        </w:rPr>
      </w:pPr>
    </w:p>
    <w:p>
      <w:pPr>
        <w:snapToGrid w:val="0"/>
        <w:spacing w:before="156" w:beforeLines="50" w:after="50"/>
        <w:rPr>
          <w:rFonts w:ascii="宋体" w:hAnsi="宋体"/>
          <w:bCs/>
          <w:color w:val="auto"/>
          <w:sz w:val="24"/>
          <w:szCs w:val="20"/>
          <w:highlight w:val="none"/>
        </w:rPr>
      </w:pPr>
    </w:p>
    <w:p>
      <w:pPr>
        <w:snapToGrid w:val="0"/>
        <w:spacing w:before="156" w:beforeLines="50" w:after="50"/>
        <w:rPr>
          <w:rFonts w:ascii="宋体" w:hAnsi="宋体"/>
          <w:bCs/>
          <w:color w:val="auto"/>
          <w:sz w:val="24"/>
          <w:szCs w:val="20"/>
          <w:highlight w:val="none"/>
        </w:rPr>
      </w:pPr>
    </w:p>
    <w:p>
      <w:pPr>
        <w:snapToGrid w:val="0"/>
        <w:spacing w:before="156" w:beforeLines="50" w:after="50"/>
        <w:rPr>
          <w:rFonts w:ascii="宋体" w:hAnsi="宋体"/>
          <w:bCs/>
          <w:color w:val="auto"/>
          <w:sz w:val="24"/>
          <w:szCs w:val="20"/>
          <w:highlight w:val="none"/>
        </w:rPr>
      </w:pPr>
    </w:p>
    <w:p>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pPr>
        <w:snapToGrid w:val="0"/>
        <w:spacing w:before="156" w:beforeLines="50" w:after="50"/>
        <w:ind w:firstLine="720" w:firstLineChars="225"/>
        <w:rPr>
          <w:rFonts w:ascii="宋体" w:hAnsi="宋体" w:cs="仿宋_GB2312"/>
          <w:bCs/>
          <w:color w:val="auto"/>
          <w:sz w:val="32"/>
          <w:szCs w:val="32"/>
          <w:highlight w:val="none"/>
        </w:rPr>
      </w:pPr>
    </w:p>
    <w:p>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pPr>
        <w:snapToGrid w:val="0"/>
        <w:spacing w:before="156" w:beforeLines="50" w:after="50"/>
        <w:ind w:firstLine="720" w:firstLineChars="225"/>
        <w:rPr>
          <w:rFonts w:ascii="宋体" w:hAnsi="宋体" w:cs="仿宋_GB2312"/>
          <w:bCs/>
          <w:color w:val="auto"/>
          <w:sz w:val="32"/>
          <w:szCs w:val="32"/>
          <w:highlight w:val="none"/>
        </w:rPr>
      </w:pPr>
    </w:p>
    <w:p>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pPr>
        <w:snapToGrid w:val="0"/>
        <w:spacing w:before="156" w:beforeLines="50" w:after="50"/>
        <w:ind w:firstLine="720" w:firstLineChars="225"/>
        <w:rPr>
          <w:rFonts w:ascii="宋体" w:hAnsi="宋体" w:cs="仿宋_GB2312"/>
          <w:bCs/>
          <w:color w:val="auto"/>
          <w:sz w:val="32"/>
          <w:szCs w:val="32"/>
          <w:highlight w:val="none"/>
        </w:rPr>
      </w:pPr>
    </w:p>
    <w:p>
      <w:pPr>
        <w:pStyle w:val="8"/>
        <w:snapToGrid w:val="0"/>
        <w:spacing w:before="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pPr>
        <w:pStyle w:val="8"/>
        <w:snapToGrid w:val="0"/>
        <w:spacing w:before="50" w:after="50"/>
        <w:ind w:firstLine="640" w:firstLineChars="200"/>
        <w:rPr>
          <w:rFonts w:ascii="宋体" w:hAnsi="宋体" w:cs="仿宋_GB2312"/>
          <w:bCs/>
          <w:color w:val="auto"/>
          <w:sz w:val="32"/>
          <w:szCs w:val="32"/>
          <w:highlight w:val="none"/>
        </w:rPr>
      </w:pPr>
    </w:p>
    <w:p>
      <w:pPr>
        <w:pStyle w:val="8"/>
        <w:snapToGrid w:val="0"/>
        <w:spacing w:before="50" w:after="50"/>
        <w:ind w:firstLine="720" w:firstLineChars="225"/>
        <w:rPr>
          <w:rFonts w:ascii="宋体" w:hAnsi="宋体" w:cs="仿宋_GB2312"/>
          <w:bCs/>
          <w:color w:val="auto"/>
          <w:sz w:val="32"/>
          <w:szCs w:val="32"/>
          <w:highlight w:val="none"/>
        </w:rPr>
      </w:pPr>
    </w:p>
    <w:p>
      <w:pPr>
        <w:pStyle w:val="8"/>
        <w:snapToGrid w:val="0"/>
        <w:spacing w:before="50" w:after="50"/>
        <w:ind w:firstLine="0"/>
        <w:rPr>
          <w:rFonts w:ascii="宋体" w:hAnsi="宋体" w:cs="仿宋_GB2312"/>
          <w:bCs/>
          <w:color w:val="auto"/>
          <w:sz w:val="32"/>
          <w:szCs w:val="32"/>
          <w:highlight w:val="none"/>
        </w:rPr>
      </w:pPr>
    </w:p>
    <w:p>
      <w:pPr>
        <w:pStyle w:val="8"/>
        <w:snapToGrid w:val="0"/>
        <w:spacing w:before="50" w:after="50"/>
        <w:ind w:firstLine="1280" w:firstLineChars="400"/>
        <w:rPr>
          <w:rFonts w:ascii="宋体" w:hAnsi="宋体" w:cs="仿宋_GB2312"/>
          <w:bCs/>
          <w:color w:val="auto"/>
          <w:sz w:val="32"/>
          <w:szCs w:val="32"/>
          <w:highlight w:val="none"/>
        </w:rPr>
      </w:pPr>
    </w:p>
    <w:p>
      <w:pPr>
        <w:snapToGrid w:val="0"/>
        <w:spacing w:before="156"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pPr>
        <w:snapToGrid w:val="0"/>
        <w:spacing w:before="156" w:beforeLines="50" w:after="50" w:line="360" w:lineRule="auto"/>
        <w:ind w:left="142"/>
        <w:jc w:val="left"/>
        <w:rPr>
          <w:rFonts w:ascii="宋体" w:hAnsi="宋体"/>
          <w:b/>
          <w:bCs/>
          <w:color w:val="auto"/>
          <w:sz w:val="24"/>
          <w:highlight w:val="none"/>
        </w:rPr>
      </w:pPr>
      <w:r>
        <w:rPr>
          <w:rFonts w:hint="eastAsia" w:ascii="宋体" w:hAnsi="宋体"/>
          <w:color w:val="auto"/>
          <w:szCs w:val="21"/>
          <w:highlight w:val="none"/>
        </w:rPr>
        <w:br w:type="page"/>
      </w:r>
      <w:r>
        <w:rPr>
          <w:rFonts w:hint="eastAsia" w:ascii="宋体" w:hAnsi="宋体"/>
          <w:b/>
          <w:bCs/>
          <w:color w:val="auto"/>
          <w:sz w:val="32"/>
          <w:szCs w:val="32"/>
          <w:highlight w:val="none"/>
        </w:rPr>
        <w:t>2.报价文件目录</w:t>
      </w:r>
    </w:p>
    <w:p>
      <w:pPr>
        <w:spacing w:line="520" w:lineRule="exact"/>
        <w:jc w:val="center"/>
        <w:rPr>
          <w:rFonts w:ascii="方正小标宋简体" w:hAnsi="方正小标宋简体" w:eastAsia="方正小标宋简体" w:cs="方正小标宋简体"/>
          <w:bCs/>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r>
        <w:rPr>
          <w:rFonts w:ascii="宋体" w:hAnsi="宋体"/>
          <w:b/>
          <w:bCs/>
          <w:color w:val="auto"/>
          <w:sz w:val="32"/>
          <w:szCs w:val="32"/>
          <w:highlight w:val="none"/>
        </w:rPr>
        <w:br w:type="page"/>
      </w:r>
      <w:r>
        <w:rPr>
          <w:rFonts w:hint="eastAsia" w:ascii="方正小标宋简体" w:hAnsi="方正小标宋简体" w:eastAsia="方正小标宋简体" w:cs="方正小标宋简体"/>
          <w:bCs/>
          <w:color w:val="auto"/>
          <w:sz w:val="44"/>
          <w:szCs w:val="44"/>
          <w:highlight w:val="none"/>
        </w:rPr>
        <w:t>竞  标  报  价  表</w:t>
      </w:r>
    </w:p>
    <w:p>
      <w:pPr>
        <w:spacing w:line="440" w:lineRule="exact"/>
        <w:jc w:val="center"/>
        <w:rPr>
          <w:rFonts w:ascii="方正小标宋简体" w:hAnsi="方正小标宋简体" w:eastAsia="方正小标宋简体" w:cs="方正小标宋简体"/>
          <w:bCs/>
          <w:color w:val="auto"/>
          <w:sz w:val="32"/>
          <w:szCs w:val="32"/>
          <w:highlight w:val="none"/>
        </w:rPr>
      </w:pPr>
    </w:p>
    <w:p>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项目名称：项目编号：</w:t>
      </w:r>
    </w:p>
    <w:p>
      <w:pPr>
        <w:spacing w:line="360" w:lineRule="auto"/>
        <w:contextualSpacing/>
        <w:rPr>
          <w:rFonts w:ascii="宋体" w:hAnsi="宋体" w:cs="仿宋_GB2312"/>
          <w:color w:val="auto"/>
          <w:sz w:val="24"/>
          <w:highlight w:val="none"/>
          <w:u w:val="single"/>
        </w:rPr>
      </w:pPr>
      <w:r>
        <w:rPr>
          <w:rFonts w:hint="eastAsia" w:ascii="宋体" w:hAnsi="宋体" w:cs="仿宋_GB2312"/>
          <w:color w:val="auto"/>
          <w:sz w:val="24"/>
          <w:highlight w:val="none"/>
        </w:rPr>
        <w:t>分标（如有）：</w:t>
      </w:r>
    </w:p>
    <w:p>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供应商名称：</w:t>
      </w:r>
    </w:p>
    <w:p>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单位：元</w:t>
      </w:r>
    </w:p>
    <w:tbl>
      <w:tblPr>
        <w:tblStyle w:val="25"/>
        <w:tblW w:w="909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617"/>
        <w:gridCol w:w="617"/>
        <w:gridCol w:w="2194"/>
        <w:gridCol w:w="1184"/>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序号</w:t>
            </w:r>
          </w:p>
        </w:tc>
        <w:tc>
          <w:tcPr>
            <w:tcW w:w="2712"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服务名称</w:t>
            </w:r>
          </w:p>
        </w:tc>
        <w:tc>
          <w:tcPr>
            <w:tcW w:w="61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数量</w:t>
            </w:r>
          </w:p>
        </w:tc>
        <w:tc>
          <w:tcPr>
            <w:tcW w:w="61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单位</w:t>
            </w:r>
          </w:p>
        </w:tc>
        <w:tc>
          <w:tcPr>
            <w:tcW w:w="2194"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单价</w:t>
            </w:r>
          </w:p>
        </w:tc>
        <w:tc>
          <w:tcPr>
            <w:tcW w:w="1184"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总价</w:t>
            </w:r>
          </w:p>
        </w:tc>
        <w:tc>
          <w:tcPr>
            <w:tcW w:w="1184"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1</w:t>
            </w:r>
          </w:p>
        </w:tc>
        <w:tc>
          <w:tcPr>
            <w:tcW w:w="2712"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highlight w:val="none"/>
              </w:rPr>
            </w:pPr>
          </w:p>
        </w:tc>
        <w:tc>
          <w:tcPr>
            <w:tcW w:w="61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highlight w:val="none"/>
              </w:rPr>
            </w:pPr>
          </w:p>
        </w:tc>
        <w:tc>
          <w:tcPr>
            <w:tcW w:w="617" w:type="dxa"/>
            <w:tcBorders>
              <w:top w:val="single" w:color="auto" w:sz="4" w:space="0"/>
              <w:left w:val="single" w:color="auto" w:sz="4" w:space="0"/>
              <w:bottom w:val="single" w:color="auto" w:sz="4" w:space="0"/>
              <w:right w:val="single" w:color="auto" w:sz="4" w:space="0"/>
            </w:tcBorders>
          </w:tcPr>
          <w:p>
            <w:pPr>
              <w:spacing w:line="360" w:lineRule="auto"/>
              <w:contextualSpacing/>
              <w:rPr>
                <w:rFonts w:ascii="宋体" w:hAnsi="宋体" w:cs="仿宋_GB2312"/>
                <w:color w:val="auto"/>
                <w:sz w:val="24"/>
                <w:highlight w:val="none"/>
              </w:rPr>
            </w:pPr>
          </w:p>
        </w:tc>
        <w:tc>
          <w:tcPr>
            <w:tcW w:w="2194" w:type="dxa"/>
            <w:tcBorders>
              <w:top w:val="single" w:color="auto" w:sz="4" w:space="0"/>
              <w:left w:val="single" w:color="auto" w:sz="4" w:space="0"/>
              <w:bottom w:val="single" w:color="auto" w:sz="4" w:space="0"/>
              <w:right w:val="single" w:color="auto" w:sz="4" w:space="0"/>
            </w:tcBorders>
          </w:tcPr>
          <w:p>
            <w:pPr>
              <w:spacing w:line="360" w:lineRule="auto"/>
              <w:contextualSpacing/>
              <w:rPr>
                <w:rFonts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tcPr>
          <w:p>
            <w:pPr>
              <w:spacing w:line="360" w:lineRule="auto"/>
              <w:contextualSpacing/>
              <w:rPr>
                <w:rFonts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宋体" w:hAnsi="宋体"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合计金额大写：人民币（￥）</w:t>
            </w:r>
          </w:p>
        </w:tc>
      </w:tr>
    </w:tbl>
    <w:p>
      <w:pPr>
        <w:spacing w:line="360" w:lineRule="auto"/>
        <w:contextualSpacing/>
        <w:jc w:val="left"/>
        <w:rPr>
          <w:rFonts w:ascii="宋体" w:hAnsi="宋体" w:cs="仿宋_GB2312"/>
          <w:color w:val="auto"/>
          <w:sz w:val="24"/>
          <w:highlight w:val="none"/>
        </w:rPr>
      </w:pPr>
    </w:p>
    <w:p>
      <w:pP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 xml:space="preserve">注: </w:t>
      </w:r>
    </w:p>
    <w:p>
      <w:pPr>
        <w:spacing w:line="360" w:lineRule="auto"/>
        <w:ind w:firstLine="480" w:firstLineChars="200"/>
        <w:contextualSpacing/>
        <w:jc w:val="left"/>
        <w:rPr>
          <w:rFonts w:ascii="宋体" w:hAnsi="宋体" w:cs="仿宋_GB2312"/>
          <w:color w:val="auto"/>
          <w:sz w:val="24"/>
          <w:highlight w:val="none"/>
        </w:rPr>
      </w:pPr>
      <w:r>
        <w:rPr>
          <w:rFonts w:hint="eastAsia" w:ascii="宋体" w:hAnsi="宋体" w:cs="仿宋_GB2312"/>
          <w:color w:val="auto"/>
          <w:sz w:val="24"/>
          <w:highlight w:val="none"/>
        </w:rPr>
        <w:t>1. 供应商的报价表必须加盖供应商电子签章并由法定代表人或者委托代理人签字或者电子签名，</w:t>
      </w:r>
      <w:r>
        <w:rPr>
          <w:rFonts w:hint="eastAsia" w:ascii="宋体" w:hAnsi="宋体" w:cs="仿宋_GB2312"/>
          <w:b/>
          <w:color w:val="auto"/>
          <w:sz w:val="24"/>
          <w:highlight w:val="none"/>
        </w:rPr>
        <w:t>否则其响应文件按无效处理</w:t>
      </w:r>
      <w:r>
        <w:rPr>
          <w:rFonts w:hint="eastAsia" w:ascii="宋体" w:hAnsi="宋体" w:cs="仿宋_GB2312"/>
          <w:color w:val="auto"/>
          <w:sz w:val="24"/>
          <w:highlight w:val="none"/>
        </w:rPr>
        <w:t>。</w:t>
      </w:r>
    </w:p>
    <w:p>
      <w:pPr>
        <w:spacing w:line="360" w:lineRule="auto"/>
        <w:ind w:firstLine="480" w:firstLineChars="200"/>
        <w:contextualSpacing/>
        <w:jc w:val="left"/>
        <w:rPr>
          <w:rFonts w:ascii="宋体" w:hAnsi="宋体" w:cs="仿宋_GB2312"/>
          <w:b/>
          <w:color w:val="auto"/>
          <w:sz w:val="24"/>
          <w:highlight w:val="none"/>
        </w:rPr>
      </w:pPr>
      <w:r>
        <w:rPr>
          <w:rFonts w:hint="eastAsia" w:ascii="宋体" w:hAnsi="宋体" w:cs="仿宋_GB2312"/>
          <w:bCs/>
          <w:color w:val="auto"/>
          <w:sz w:val="24"/>
          <w:highlight w:val="none"/>
        </w:rPr>
        <w:t>2.</w:t>
      </w:r>
      <w:r>
        <w:rPr>
          <w:rFonts w:hint="eastAsia" w:ascii="宋体" w:hAnsi="宋体" w:cs="仿宋_GB2312"/>
          <w:color w:val="auto"/>
          <w:sz w:val="24"/>
          <w:highlight w:val="none"/>
        </w:rPr>
        <w:t xml:space="preserve"> 报价一经涂改，应在涂改处加盖供应商公章或者加盖电子签章或者由法定代表人或者授权委托人签字</w:t>
      </w:r>
      <w:r>
        <w:rPr>
          <w:rFonts w:hint="eastAsia" w:ascii="宋体" w:hAnsi="宋体"/>
          <w:color w:val="auto"/>
          <w:sz w:val="24"/>
          <w:highlight w:val="none"/>
        </w:rPr>
        <w:t>（或者电子签名）</w:t>
      </w:r>
      <w:r>
        <w:rPr>
          <w:rFonts w:hint="eastAsia" w:ascii="宋体" w:hAnsi="宋体" w:cs="仿宋_GB2312"/>
          <w:b/>
          <w:color w:val="auto"/>
          <w:sz w:val="24"/>
          <w:highlight w:val="none"/>
        </w:rPr>
        <w:t>，否则其响应文件按无效处理。</w:t>
      </w:r>
    </w:p>
    <w:p>
      <w:pPr>
        <w:spacing w:line="360" w:lineRule="auto"/>
        <w:ind w:firstLine="480" w:firstLineChars="200"/>
        <w:contextualSpacing/>
        <w:jc w:val="left"/>
        <w:rPr>
          <w:rFonts w:ascii="宋体" w:hAnsi="宋体" w:cs="仿宋_GB2312"/>
          <w:b/>
          <w:color w:val="auto"/>
          <w:sz w:val="24"/>
          <w:highlight w:val="none"/>
        </w:rPr>
      </w:pPr>
      <w:r>
        <w:rPr>
          <w:rFonts w:ascii="宋体" w:hAnsi="宋体" w:cs="仿宋_GB2312"/>
          <w:color w:val="auto"/>
          <w:sz w:val="24"/>
          <w:highlight w:val="none"/>
        </w:rPr>
        <w:t>3</w:t>
      </w:r>
      <w:r>
        <w:rPr>
          <w:rFonts w:hint="eastAsia" w:ascii="宋体" w:hAnsi="宋体" w:cs="仿宋_GB2312"/>
          <w:color w:val="auto"/>
          <w:sz w:val="24"/>
          <w:highlight w:val="none"/>
        </w:rPr>
        <w:t>.如为联合体竞标，“供应商名称”处必须列明联合体各方名称，标注联合体牵头人名称，</w:t>
      </w:r>
      <w:r>
        <w:rPr>
          <w:rFonts w:hint="eastAsia" w:ascii="宋体" w:hAnsi="宋体" w:cs="仿宋_GB2312"/>
          <w:b/>
          <w:color w:val="auto"/>
          <w:sz w:val="24"/>
          <w:highlight w:val="none"/>
        </w:rPr>
        <w:t>否则其响应文件按无效响应处理。</w:t>
      </w:r>
    </w:p>
    <w:p>
      <w:pPr>
        <w:spacing w:line="360" w:lineRule="auto"/>
        <w:ind w:firstLine="480" w:firstLineChars="200"/>
        <w:contextualSpacing/>
        <w:jc w:val="left"/>
        <w:rPr>
          <w:rFonts w:ascii="宋体" w:hAnsi="宋体" w:cs="仿宋_GB2312"/>
          <w:color w:val="auto"/>
          <w:sz w:val="24"/>
          <w:highlight w:val="none"/>
        </w:rPr>
      </w:pPr>
      <w:r>
        <w:rPr>
          <w:rFonts w:ascii="宋体" w:hAnsi="宋体" w:cs="仿宋_GB2312"/>
          <w:color w:val="auto"/>
          <w:sz w:val="24"/>
          <w:highlight w:val="none"/>
        </w:rPr>
        <w:t>4</w:t>
      </w:r>
      <w:r>
        <w:rPr>
          <w:rFonts w:hint="eastAsia" w:ascii="宋体" w:hAnsi="宋体" w:cs="仿宋_GB2312"/>
          <w:color w:val="auto"/>
          <w:sz w:val="24"/>
          <w:highlight w:val="none"/>
        </w:rPr>
        <w:t>. 如为联合体竞标，</w:t>
      </w:r>
      <w:r>
        <w:rPr>
          <w:rFonts w:hint="eastAsia" w:ascii="宋体" w:hAnsi="宋体"/>
          <w:color w:val="auto"/>
          <w:spacing w:val="-6"/>
          <w:sz w:val="24"/>
          <w:highlight w:val="none"/>
        </w:rPr>
        <w:t xml:space="preserve"> 盖章处须加盖联合体牵头人电子签章</w:t>
      </w:r>
      <w:r>
        <w:rPr>
          <w:rFonts w:hint="eastAsia" w:ascii="宋体" w:hAnsi="宋体" w:cs="仿宋_GB2312"/>
          <w:color w:val="auto"/>
          <w:sz w:val="24"/>
          <w:highlight w:val="none"/>
        </w:rPr>
        <w:t>，</w:t>
      </w:r>
      <w:r>
        <w:rPr>
          <w:rFonts w:hint="eastAsia" w:ascii="宋体" w:hAnsi="宋体" w:cs="仿宋_GB2312"/>
          <w:b/>
          <w:color w:val="auto"/>
          <w:sz w:val="24"/>
          <w:highlight w:val="none"/>
        </w:rPr>
        <w:t>否则其响应文件按无效处理。</w:t>
      </w:r>
    </w:p>
    <w:p>
      <w:pPr>
        <w:spacing w:line="360" w:lineRule="auto"/>
        <w:ind w:firstLine="480" w:firstLineChars="200"/>
        <w:contextualSpacing/>
        <w:rPr>
          <w:rFonts w:ascii="宋体" w:hAnsi="宋体" w:cs="仿宋_GB2312"/>
          <w:color w:val="auto"/>
          <w:sz w:val="24"/>
          <w:highlight w:val="none"/>
        </w:rPr>
      </w:pPr>
      <w:r>
        <w:rPr>
          <w:rFonts w:ascii="宋体" w:hAnsi="宋体" w:cs="仿宋_GB2312"/>
          <w:color w:val="auto"/>
          <w:sz w:val="24"/>
          <w:highlight w:val="none"/>
        </w:rPr>
        <w:t>5</w:t>
      </w:r>
      <w:r>
        <w:rPr>
          <w:rFonts w:hint="eastAsia" w:ascii="宋体" w:hAnsi="宋体" w:cs="仿宋_GB2312"/>
          <w:color w:val="auto"/>
          <w:sz w:val="24"/>
          <w:highlight w:val="none"/>
        </w:rPr>
        <w:t>.</w:t>
      </w:r>
      <w:r>
        <w:rPr>
          <w:rFonts w:hint="eastAsia" w:ascii="宋体" w:hAnsi="宋体" w:cs="仿宋_GB2312"/>
          <w:color w:val="auto"/>
          <w:spacing w:val="-6"/>
          <w:sz w:val="24"/>
          <w:highlight w:val="none"/>
        </w:rPr>
        <w:t>如有多分标，分别列明各分标的报价表，</w:t>
      </w:r>
      <w:r>
        <w:rPr>
          <w:rFonts w:hint="eastAsia" w:ascii="宋体" w:hAnsi="宋体" w:cs="仿宋_GB2312"/>
          <w:b/>
          <w:color w:val="auto"/>
          <w:spacing w:val="-6"/>
          <w:sz w:val="24"/>
          <w:highlight w:val="none"/>
        </w:rPr>
        <w:t>否则其响应文件按无效响应处理。</w:t>
      </w:r>
    </w:p>
    <w:p>
      <w:pPr>
        <w:spacing w:line="360" w:lineRule="auto"/>
        <w:ind w:right="-817" w:rightChars="-389"/>
        <w:contextualSpacing/>
        <w:rPr>
          <w:rFonts w:ascii="宋体" w:hAnsi="宋体" w:cs="仿宋_GB2312"/>
          <w:color w:val="auto"/>
          <w:sz w:val="24"/>
          <w:highlight w:val="none"/>
        </w:rPr>
      </w:pPr>
    </w:p>
    <w:p>
      <w:pP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pP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pPr>
        <w:spacing w:line="360" w:lineRule="auto"/>
        <w:ind w:right="-817" w:rightChars="-389" w:firstLine="4080" w:firstLineChars="1700"/>
        <w:contextualSpacing/>
        <w:rPr>
          <w:rFonts w:ascii="宋体" w:hAnsi="宋体" w:cs="仿宋_GB2312"/>
          <w:b/>
          <w:color w:val="auto"/>
          <w:sz w:val="24"/>
          <w:highlight w:val="none"/>
        </w:rPr>
      </w:pPr>
      <w:r>
        <w:rPr>
          <w:rFonts w:hint="eastAsia" w:ascii="宋体" w:hAnsi="宋体" w:cs="仿宋_GB2312"/>
          <w:color w:val="auto"/>
          <w:sz w:val="24"/>
          <w:highlight w:val="none"/>
        </w:rPr>
        <w:t>日期：   年   月   日</w:t>
      </w:r>
    </w:p>
    <w:p>
      <w:pPr>
        <w:spacing w:line="360" w:lineRule="auto"/>
        <w:ind w:right="420"/>
        <w:contextualSpacing/>
        <w:jc w:val="left"/>
        <w:rPr>
          <w:rFonts w:ascii="宋体" w:hAnsi="宋体"/>
          <w:b/>
          <w:color w:val="auto"/>
          <w:sz w:val="32"/>
          <w:szCs w:val="32"/>
          <w:highlight w:val="none"/>
        </w:rPr>
      </w:pPr>
      <w:r>
        <w:rPr>
          <w:rFonts w:ascii="宋体" w:hAnsi="宋体"/>
          <w:b/>
          <w:bCs/>
          <w:color w:val="auto"/>
          <w:sz w:val="32"/>
          <w:szCs w:val="32"/>
          <w:highlight w:val="none"/>
        </w:rPr>
        <w:br w:type="page"/>
      </w:r>
      <w:r>
        <w:rPr>
          <w:rFonts w:hint="eastAsia" w:ascii="宋体" w:hAnsi="宋体"/>
          <w:b/>
          <w:bCs/>
          <w:color w:val="auto"/>
          <w:sz w:val="32"/>
          <w:szCs w:val="32"/>
          <w:highlight w:val="none"/>
        </w:rPr>
        <w:t>三、</w:t>
      </w:r>
      <w:r>
        <w:rPr>
          <w:rFonts w:hint="eastAsia" w:ascii="宋体" w:hAnsi="宋体"/>
          <w:b/>
          <w:color w:val="auto"/>
          <w:sz w:val="32"/>
          <w:szCs w:val="32"/>
          <w:highlight w:val="none"/>
        </w:rPr>
        <w:t xml:space="preserve">商务技术文件格式 </w:t>
      </w:r>
    </w:p>
    <w:p>
      <w:pPr>
        <w:snapToGrid w:val="0"/>
        <w:spacing w:before="156" w:beforeLines="5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1.商务技术文件封面格式</w:t>
      </w:r>
    </w:p>
    <w:p>
      <w:pPr>
        <w:snapToGrid w:val="0"/>
        <w:spacing w:before="156" w:beforeLines="50" w:after="50"/>
        <w:rPr>
          <w:rFonts w:ascii="宋体" w:hAnsi="宋体"/>
          <w:bCs/>
          <w:color w:val="auto"/>
          <w:sz w:val="32"/>
          <w:szCs w:val="20"/>
          <w:highlight w:val="none"/>
        </w:rPr>
      </w:pPr>
    </w:p>
    <w:p>
      <w:pPr>
        <w:snapToGrid w:val="0"/>
        <w:spacing w:before="156" w:beforeLines="50" w:after="50"/>
        <w:jc w:val="center"/>
        <w:rPr>
          <w:rFonts w:ascii="宋体" w:hAnsi="宋体"/>
          <w:color w:val="auto"/>
          <w:sz w:val="24"/>
          <w:szCs w:val="20"/>
          <w:highlight w:val="none"/>
        </w:rPr>
      </w:pPr>
      <w:r>
        <w:rPr>
          <w:rFonts w:hint="eastAsia" w:ascii="宋体" w:hAnsi="宋体"/>
          <w:color w:val="auto"/>
          <w:sz w:val="44"/>
          <w:szCs w:val="44"/>
          <w:highlight w:val="none"/>
        </w:rPr>
        <w:t>电 子 响 应 文 件</w:t>
      </w:r>
    </w:p>
    <w:p>
      <w:pPr>
        <w:snapToGrid w:val="0"/>
        <w:spacing w:before="156" w:beforeLines="50" w:after="50"/>
        <w:rPr>
          <w:rFonts w:ascii="宋体" w:hAnsi="宋体"/>
          <w:color w:val="auto"/>
          <w:sz w:val="24"/>
          <w:szCs w:val="20"/>
          <w:highlight w:val="none"/>
        </w:rPr>
      </w:pPr>
    </w:p>
    <w:p>
      <w:pPr>
        <w:snapToGrid w:val="0"/>
        <w:spacing w:before="156" w:beforeLines="50" w:after="50"/>
        <w:rPr>
          <w:rFonts w:ascii="宋体" w:hAnsi="宋体"/>
          <w:color w:val="auto"/>
          <w:sz w:val="24"/>
          <w:szCs w:val="20"/>
          <w:highlight w:val="none"/>
        </w:rPr>
      </w:pPr>
    </w:p>
    <w:p>
      <w:pPr>
        <w:snapToGrid w:val="0"/>
        <w:spacing w:before="156"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pPr>
        <w:snapToGrid w:val="0"/>
        <w:spacing w:before="156" w:beforeLines="50" w:after="50"/>
        <w:rPr>
          <w:rFonts w:ascii="宋体" w:hAnsi="宋体"/>
          <w:bCs/>
          <w:color w:val="auto"/>
          <w:sz w:val="24"/>
          <w:szCs w:val="20"/>
          <w:highlight w:val="none"/>
        </w:rPr>
      </w:pPr>
    </w:p>
    <w:p>
      <w:pPr>
        <w:snapToGrid w:val="0"/>
        <w:spacing w:before="156" w:beforeLines="50" w:after="50"/>
        <w:rPr>
          <w:rFonts w:ascii="宋体" w:hAnsi="宋体"/>
          <w:bCs/>
          <w:color w:val="auto"/>
          <w:sz w:val="24"/>
          <w:szCs w:val="20"/>
          <w:highlight w:val="none"/>
        </w:rPr>
      </w:pPr>
    </w:p>
    <w:p>
      <w:pPr>
        <w:snapToGrid w:val="0"/>
        <w:spacing w:before="156" w:beforeLines="50" w:after="50"/>
        <w:rPr>
          <w:rFonts w:ascii="宋体" w:hAnsi="宋体"/>
          <w:bCs/>
          <w:color w:val="auto"/>
          <w:sz w:val="24"/>
          <w:szCs w:val="20"/>
          <w:highlight w:val="none"/>
        </w:rPr>
      </w:pPr>
    </w:p>
    <w:p>
      <w:pPr>
        <w:snapToGrid w:val="0"/>
        <w:spacing w:before="156" w:beforeLines="50" w:after="50"/>
        <w:rPr>
          <w:rFonts w:ascii="宋体" w:hAnsi="宋体"/>
          <w:bCs/>
          <w:color w:val="auto"/>
          <w:sz w:val="24"/>
          <w:szCs w:val="20"/>
          <w:highlight w:val="none"/>
        </w:rPr>
      </w:pPr>
    </w:p>
    <w:p>
      <w:pPr>
        <w:snapToGrid w:val="0"/>
        <w:spacing w:before="156" w:beforeLines="50" w:after="50"/>
        <w:rPr>
          <w:rFonts w:ascii="宋体" w:hAnsi="宋体"/>
          <w:bCs/>
          <w:color w:val="auto"/>
          <w:sz w:val="24"/>
          <w:szCs w:val="20"/>
          <w:highlight w:val="none"/>
        </w:rPr>
      </w:pPr>
    </w:p>
    <w:p>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pPr>
        <w:snapToGrid w:val="0"/>
        <w:spacing w:before="156" w:beforeLines="50" w:after="50"/>
        <w:ind w:firstLine="720" w:firstLineChars="225"/>
        <w:rPr>
          <w:rFonts w:ascii="宋体" w:hAnsi="宋体" w:cs="仿宋_GB2312"/>
          <w:bCs/>
          <w:color w:val="auto"/>
          <w:sz w:val="32"/>
          <w:szCs w:val="32"/>
          <w:highlight w:val="none"/>
        </w:rPr>
      </w:pPr>
    </w:p>
    <w:p>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pPr>
        <w:snapToGrid w:val="0"/>
        <w:spacing w:before="156" w:beforeLines="50" w:after="50"/>
        <w:ind w:firstLine="720" w:firstLineChars="225"/>
        <w:rPr>
          <w:rFonts w:ascii="宋体" w:hAnsi="宋体" w:cs="仿宋_GB2312"/>
          <w:bCs/>
          <w:color w:val="auto"/>
          <w:sz w:val="32"/>
          <w:szCs w:val="32"/>
          <w:highlight w:val="none"/>
        </w:rPr>
      </w:pPr>
    </w:p>
    <w:p>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pPr>
        <w:snapToGrid w:val="0"/>
        <w:spacing w:before="156" w:beforeLines="50" w:after="50"/>
        <w:ind w:firstLine="720" w:firstLineChars="225"/>
        <w:rPr>
          <w:rFonts w:ascii="宋体" w:hAnsi="宋体" w:cs="仿宋_GB2312"/>
          <w:bCs/>
          <w:color w:val="auto"/>
          <w:sz w:val="32"/>
          <w:szCs w:val="32"/>
          <w:highlight w:val="none"/>
        </w:rPr>
      </w:pPr>
    </w:p>
    <w:p>
      <w:pPr>
        <w:pStyle w:val="8"/>
        <w:snapToGrid w:val="0"/>
        <w:spacing w:before="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pPr>
        <w:pStyle w:val="8"/>
        <w:snapToGrid w:val="0"/>
        <w:spacing w:before="50" w:after="50"/>
        <w:ind w:firstLine="640" w:firstLineChars="200"/>
        <w:rPr>
          <w:rFonts w:ascii="宋体" w:hAnsi="宋体" w:cs="仿宋_GB2312"/>
          <w:bCs/>
          <w:color w:val="auto"/>
          <w:sz w:val="32"/>
          <w:szCs w:val="32"/>
          <w:highlight w:val="none"/>
        </w:rPr>
      </w:pPr>
    </w:p>
    <w:p>
      <w:pPr>
        <w:pStyle w:val="8"/>
        <w:snapToGrid w:val="0"/>
        <w:spacing w:before="50" w:after="50"/>
        <w:ind w:firstLine="720" w:firstLineChars="225"/>
        <w:rPr>
          <w:rFonts w:ascii="宋体" w:hAnsi="宋体" w:cs="仿宋_GB2312"/>
          <w:bCs/>
          <w:color w:val="auto"/>
          <w:sz w:val="32"/>
          <w:szCs w:val="32"/>
          <w:highlight w:val="none"/>
        </w:rPr>
      </w:pPr>
    </w:p>
    <w:p>
      <w:pPr>
        <w:pStyle w:val="8"/>
        <w:snapToGrid w:val="0"/>
        <w:spacing w:before="50" w:after="50"/>
        <w:ind w:firstLine="0"/>
        <w:rPr>
          <w:rFonts w:ascii="宋体" w:hAnsi="宋体" w:cs="仿宋_GB2312"/>
          <w:bCs/>
          <w:color w:val="auto"/>
          <w:sz w:val="32"/>
          <w:szCs w:val="32"/>
          <w:highlight w:val="none"/>
        </w:rPr>
      </w:pPr>
    </w:p>
    <w:p>
      <w:pPr>
        <w:pStyle w:val="8"/>
        <w:snapToGrid w:val="0"/>
        <w:spacing w:before="50" w:after="50"/>
        <w:ind w:firstLine="1280" w:firstLineChars="400"/>
        <w:rPr>
          <w:rFonts w:ascii="宋体" w:hAnsi="宋体" w:cs="仿宋_GB2312"/>
          <w:bCs/>
          <w:color w:val="auto"/>
          <w:sz w:val="32"/>
          <w:szCs w:val="32"/>
          <w:highlight w:val="none"/>
        </w:rPr>
      </w:pPr>
    </w:p>
    <w:p>
      <w:pPr>
        <w:snapToGrid w:val="0"/>
        <w:spacing w:before="156"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pPr>
        <w:snapToGrid w:val="0"/>
        <w:spacing w:before="156" w:beforeLines="50" w:after="50" w:line="360" w:lineRule="auto"/>
        <w:ind w:right="480" w:firstLine="240" w:firstLineChars="100"/>
        <w:jc w:val="left"/>
        <w:rPr>
          <w:rFonts w:ascii="宋体" w:hAnsi="宋体"/>
          <w:b/>
          <w:bCs/>
          <w:color w:val="auto"/>
          <w:sz w:val="24"/>
          <w:highlight w:val="none"/>
        </w:rPr>
      </w:pPr>
      <w:r>
        <w:rPr>
          <w:rFonts w:ascii="宋体" w:hAnsi="宋体"/>
          <w:color w:val="auto"/>
          <w:sz w:val="24"/>
          <w:highlight w:val="none"/>
        </w:rPr>
        <w:br w:type="page"/>
      </w:r>
      <w:r>
        <w:rPr>
          <w:rFonts w:hint="eastAsia" w:ascii="宋体" w:hAnsi="宋体"/>
          <w:b/>
          <w:bCs/>
          <w:color w:val="auto"/>
          <w:sz w:val="32"/>
          <w:szCs w:val="32"/>
          <w:highlight w:val="none"/>
        </w:rPr>
        <w:t>2.商务技术文件目录</w:t>
      </w:r>
    </w:p>
    <w:p>
      <w:pPr>
        <w:snapToGrid w:val="0"/>
        <w:spacing w:before="156" w:beforeLines="50" w:after="50" w:line="360" w:lineRule="auto"/>
        <w:ind w:firstLine="640" w:firstLineChars="200"/>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pPr>
        <w:spacing w:line="400" w:lineRule="exact"/>
        <w:rPr>
          <w:rFonts w:ascii="仿宋_GB2312" w:hAnsi="仿宋_GB2312" w:eastAsia="仿宋_GB2312" w:cs="仿宋_GB2312"/>
          <w:color w:val="auto"/>
          <w:sz w:val="32"/>
          <w:szCs w:val="32"/>
          <w:highlight w:val="none"/>
        </w:rPr>
      </w:pPr>
    </w:p>
    <w:p>
      <w:pPr>
        <w:spacing w:line="520" w:lineRule="exact"/>
        <w:jc w:val="center"/>
        <w:rPr>
          <w:rFonts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无串通竞标行为的承诺函</w:t>
      </w:r>
    </w:p>
    <w:p>
      <w:pPr>
        <w:spacing w:line="360" w:lineRule="auto"/>
        <w:ind w:firstLine="640" w:firstLineChars="200"/>
        <w:contextualSpacing/>
        <w:rPr>
          <w:rFonts w:ascii="仿宋_GB2312" w:hAnsi="仿宋_GB2312" w:eastAsia="仿宋_GB2312" w:cs="仿宋_GB2312"/>
          <w:color w:val="auto"/>
          <w:sz w:val="32"/>
          <w:szCs w:val="32"/>
          <w:highlight w:val="none"/>
        </w:rPr>
      </w:pPr>
    </w:p>
    <w:p>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 xml:space="preserve">1.不同供应商的响应文件由同一单位或者个人编制； </w:t>
      </w:r>
    </w:p>
    <w:p>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6.不同供应商的磋商保证金从同一单位或者个人账户转出。</w:t>
      </w:r>
    </w:p>
    <w:p>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pPr>
        <w:spacing w:line="360" w:lineRule="auto"/>
        <w:ind w:firstLine="480" w:firstLineChars="200"/>
        <w:contextualSpacing/>
        <w:rPr>
          <w:rFonts w:ascii="宋体" w:hAnsi="宋体" w:cs="仿宋_GB2312"/>
          <w:color w:val="auto"/>
          <w:sz w:val="24"/>
          <w:highlight w:val="none"/>
        </w:rPr>
      </w:pPr>
    </w:p>
    <w:p>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pPr>
        <w:spacing w:line="360" w:lineRule="auto"/>
        <w:contextualSpacing/>
        <w:rPr>
          <w:rFonts w:ascii="宋体" w:hAnsi="宋体" w:cs="仿宋_GB2312"/>
          <w:color w:val="auto"/>
          <w:sz w:val="24"/>
          <w:highlight w:val="none"/>
        </w:rPr>
      </w:pPr>
    </w:p>
    <w:p>
      <w:pPr>
        <w:spacing w:line="360" w:lineRule="auto"/>
        <w:ind w:firstLine="3600" w:firstLineChars="1500"/>
        <w:contextualSpacing/>
        <w:rPr>
          <w:rFonts w:ascii="宋体" w:hAnsi="宋体" w:cs="仿宋_GB2312"/>
          <w:color w:val="auto"/>
          <w:sz w:val="24"/>
          <w:highlight w:val="none"/>
        </w:rPr>
      </w:pPr>
      <w:r>
        <w:rPr>
          <w:rFonts w:hint="eastAsia" w:ascii="宋体" w:hAnsi="宋体" w:cs="仿宋_GB2312"/>
          <w:color w:val="auto"/>
          <w:sz w:val="24"/>
          <w:highlight w:val="none"/>
        </w:rPr>
        <w:t>供应商（电子签章）：</w:t>
      </w:r>
    </w:p>
    <w:p>
      <w:pPr>
        <w:spacing w:line="360" w:lineRule="auto"/>
        <w:ind w:firstLine="480" w:firstLineChars="200"/>
        <w:contextualSpacing/>
        <w:jc w:val="center"/>
        <w:rPr>
          <w:rFonts w:ascii="仿宋_GB2312" w:hAnsi="仿宋_GB2312" w:eastAsia="仿宋_GB2312" w:cs="仿宋_GB2312"/>
          <w:color w:val="auto"/>
          <w:sz w:val="32"/>
          <w:szCs w:val="32"/>
          <w:highlight w:val="none"/>
        </w:rPr>
      </w:pPr>
      <w:r>
        <w:rPr>
          <w:rFonts w:hint="eastAsia" w:ascii="宋体" w:hAnsi="宋体" w:cs="仿宋_GB2312"/>
          <w:color w:val="auto"/>
          <w:sz w:val="24"/>
          <w:highlight w:val="none"/>
        </w:rPr>
        <w:t xml:space="preserve">                               年   月   日</w:t>
      </w:r>
    </w:p>
    <w:p>
      <w:pPr>
        <w:spacing w:line="520" w:lineRule="exact"/>
        <w:jc w:val="center"/>
        <w:rPr>
          <w:rFonts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法定代表人证明书</w:t>
      </w:r>
    </w:p>
    <w:p>
      <w:pPr>
        <w:spacing w:line="360" w:lineRule="auto"/>
        <w:ind w:left="540"/>
        <w:contextualSpacing/>
        <w:rPr>
          <w:rFonts w:ascii="仿宋_GB2312" w:hAnsi="仿宋_GB2312" w:eastAsia="仿宋_GB2312" w:cs="仿宋_GB2312"/>
          <w:color w:val="auto"/>
          <w:sz w:val="32"/>
          <w:szCs w:val="32"/>
          <w:highlight w:val="none"/>
        </w:rPr>
      </w:pPr>
    </w:p>
    <w:p>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供应商名称：</w:t>
      </w:r>
    </w:p>
    <w:p>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地    址：</w:t>
      </w:r>
    </w:p>
    <w:p>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姓    名：性     别：</w:t>
      </w:r>
    </w:p>
    <w:p>
      <w:pPr>
        <w:spacing w:line="360" w:lineRule="auto"/>
        <w:ind w:left="540"/>
        <w:contextualSpacing/>
        <w:rPr>
          <w:rFonts w:ascii="宋体" w:hAnsi="宋体" w:cs="仿宋_GB2312"/>
          <w:color w:val="auto"/>
          <w:sz w:val="24"/>
          <w:highlight w:val="none"/>
          <w:u w:val="single"/>
        </w:rPr>
      </w:pPr>
      <w:r>
        <w:rPr>
          <w:rFonts w:hint="eastAsia" w:ascii="宋体" w:hAnsi="宋体" w:cs="仿宋_GB2312"/>
          <w:color w:val="auto"/>
          <w:sz w:val="24"/>
          <w:highlight w:val="none"/>
        </w:rPr>
        <w:t>年    龄：职     务：</w:t>
      </w:r>
    </w:p>
    <w:p>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身份证号码：</w:t>
      </w:r>
    </w:p>
    <w:p>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的法定代表人。</w:t>
      </w:r>
    </w:p>
    <w:p>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特此证明。</w:t>
      </w:r>
    </w:p>
    <w:p>
      <w:pPr>
        <w:spacing w:line="360" w:lineRule="auto"/>
        <w:ind w:left="540"/>
        <w:contextualSpacing/>
        <w:rPr>
          <w:rFonts w:ascii="宋体" w:hAnsi="宋体" w:cs="仿宋_GB2312"/>
          <w:color w:val="auto"/>
          <w:sz w:val="24"/>
          <w:highlight w:val="none"/>
        </w:rPr>
      </w:pPr>
    </w:p>
    <w:p>
      <w:pPr>
        <w:spacing w:line="360" w:lineRule="auto"/>
        <w:ind w:left="540"/>
        <w:contextualSpacing/>
        <w:rPr>
          <w:rFonts w:ascii="宋体" w:hAnsi="宋体" w:cs="仿宋_GB2312"/>
          <w:color w:val="auto"/>
          <w:sz w:val="24"/>
          <w:highlight w:val="none"/>
        </w:rPr>
      </w:pPr>
    </w:p>
    <w:p>
      <w:pPr>
        <w:spacing w:line="360" w:lineRule="auto"/>
        <w:ind w:left="540"/>
        <w:contextualSpacing/>
        <w:rPr>
          <w:rFonts w:ascii="宋体" w:hAnsi="宋体" w:cs="仿宋_GB2312"/>
          <w:color w:val="auto"/>
          <w:sz w:val="24"/>
          <w:highlight w:val="none"/>
        </w:rPr>
      </w:pPr>
    </w:p>
    <w:p>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pPr>
        <w:spacing w:line="360" w:lineRule="auto"/>
        <w:ind w:left="540"/>
        <w:contextualSpacing/>
        <w:rPr>
          <w:rFonts w:ascii="宋体" w:hAnsi="宋体" w:cs="仿宋_GB2312"/>
          <w:color w:val="auto"/>
          <w:sz w:val="24"/>
          <w:highlight w:val="none"/>
        </w:rPr>
      </w:pPr>
    </w:p>
    <w:p>
      <w:pPr>
        <w:spacing w:line="360" w:lineRule="auto"/>
        <w:ind w:left="540"/>
        <w:contextualSpacing/>
        <w:jc w:val="right"/>
        <w:rPr>
          <w:rFonts w:ascii="宋体" w:hAnsi="宋体" w:cs="仿宋_GB2312"/>
          <w:color w:val="auto"/>
          <w:sz w:val="24"/>
          <w:highlight w:val="none"/>
        </w:rPr>
      </w:pPr>
      <w:r>
        <w:rPr>
          <w:rFonts w:hint="eastAsia" w:ascii="宋体" w:hAnsi="宋体" w:cs="仿宋_GB2312"/>
          <w:color w:val="auto"/>
          <w:sz w:val="24"/>
          <w:highlight w:val="none"/>
        </w:rPr>
        <w:t>供应商（电子签章）：</w:t>
      </w:r>
    </w:p>
    <w:p>
      <w:pPr>
        <w:spacing w:line="360" w:lineRule="auto"/>
        <w:ind w:firstLine="4080" w:firstLineChars="1700"/>
        <w:contextualSpacing/>
        <w:rPr>
          <w:rFonts w:ascii="宋体" w:hAnsi="宋体" w:cs="仿宋_GB2312"/>
          <w:color w:val="auto"/>
          <w:sz w:val="24"/>
          <w:highlight w:val="none"/>
        </w:rPr>
      </w:pPr>
      <w:r>
        <w:rPr>
          <w:rFonts w:hint="eastAsia" w:ascii="宋体" w:hAnsi="宋体" w:cs="仿宋_GB2312"/>
          <w:color w:val="auto"/>
          <w:sz w:val="24"/>
          <w:highlight w:val="none"/>
        </w:rPr>
        <w:t>年月日</w:t>
      </w:r>
    </w:p>
    <w:p>
      <w:pPr>
        <w:spacing w:line="360" w:lineRule="auto"/>
        <w:contextualSpacing/>
        <w:jc w:val="center"/>
        <w:rPr>
          <w:rFonts w:ascii="宋体" w:hAnsi="宋体" w:cs="仿宋_GB2312"/>
          <w:b/>
          <w:color w:val="auto"/>
          <w:sz w:val="24"/>
          <w:highlight w:val="none"/>
        </w:rPr>
      </w:pPr>
    </w:p>
    <w:p>
      <w:pPr>
        <w:spacing w:line="360" w:lineRule="auto"/>
        <w:contextualSpacing/>
        <w:jc w:val="left"/>
        <w:rPr>
          <w:rFonts w:ascii="宋体" w:hAnsi="宋体" w:cs="仿宋_GB2312"/>
          <w:color w:val="auto"/>
          <w:sz w:val="24"/>
          <w:highlight w:val="none"/>
        </w:rPr>
      </w:pPr>
    </w:p>
    <w:p>
      <w:pP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注：自然人竞标的无需提供，联合体竞标的只需牵头人出具。</w:t>
      </w:r>
    </w:p>
    <w:p>
      <w:pPr>
        <w:adjustRightInd w:val="0"/>
        <w:snapToGrid w:val="0"/>
        <w:spacing w:line="300" w:lineRule="auto"/>
        <w:jc w:val="left"/>
        <w:rPr>
          <w:rFonts w:ascii="宋体" w:hAnsi="宋体"/>
          <w:b/>
          <w:color w:val="auto"/>
          <w:szCs w:val="21"/>
          <w:highlight w:val="none"/>
        </w:rPr>
      </w:pPr>
    </w:p>
    <w:p>
      <w:pPr>
        <w:spacing w:line="50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p>
    <w:p>
      <w:pPr>
        <w:spacing w:line="520" w:lineRule="exact"/>
        <w:jc w:val="center"/>
        <w:rPr>
          <w:rFonts w:ascii="方正小标宋简体" w:hAnsi="方正小标宋简体" w:eastAsia="方正小标宋简体" w:cs="方正小标宋简体"/>
          <w:color w:val="auto"/>
          <w:sz w:val="44"/>
          <w:szCs w:val="44"/>
          <w:highlight w:val="none"/>
        </w:rPr>
      </w:pPr>
      <w:bookmarkStart w:id="159" w:name="_Hlk65853643"/>
      <w:r>
        <w:rPr>
          <w:rFonts w:hint="eastAsia" w:ascii="方正小标宋简体" w:hAnsi="方正小标宋简体" w:eastAsia="方正小标宋简体" w:cs="方正小标宋简体"/>
          <w:color w:val="auto"/>
          <w:sz w:val="44"/>
          <w:szCs w:val="44"/>
          <w:highlight w:val="none"/>
        </w:rPr>
        <w:t>授权委托书</w:t>
      </w:r>
    </w:p>
    <w:p>
      <w:pPr>
        <w:spacing w:line="520" w:lineRule="exact"/>
        <w:jc w:val="center"/>
        <w:rPr>
          <w:rFonts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（非联合体竞标格式）</w:t>
      </w:r>
    </w:p>
    <w:p>
      <w:pPr>
        <w:spacing w:line="52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32"/>
          <w:szCs w:val="32"/>
          <w:highlight w:val="none"/>
        </w:rPr>
        <w:t>（如有委托时）</w:t>
      </w:r>
    </w:p>
    <w:p>
      <w:pPr>
        <w:spacing w:line="520" w:lineRule="exact"/>
        <w:rPr>
          <w:rFonts w:ascii="仿宋_GB2312" w:hAnsi="仿宋_GB2312" w:eastAsia="仿宋_GB2312" w:cs="仿宋_GB2312"/>
          <w:color w:val="auto"/>
          <w:sz w:val="32"/>
          <w:szCs w:val="32"/>
          <w:highlight w:val="none"/>
        </w:rPr>
      </w:pPr>
    </w:p>
    <w:p>
      <w:pPr>
        <w:spacing w:line="360" w:lineRule="auto"/>
        <w:rPr>
          <w:rFonts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sym w:font="Wingdings 2" w:char="00A3"/>
      </w:r>
      <w:r>
        <w:rPr>
          <w:rFonts w:hint="eastAsia" w:ascii="宋体" w:hAnsi="宋体" w:cs="仿宋_GB2312"/>
          <w:color w:val="auto"/>
          <w:sz w:val="24"/>
          <w:highlight w:val="none"/>
          <w:u w:val="single"/>
        </w:rPr>
        <w:t>法定代表人/□负责人/□自然人本人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以我方的名义参加项目的竞标活动，并代表我方全权办理针对上述项目的所有采购程序和环节的具体事务和签署相关文件。</w:t>
      </w:r>
    </w:p>
    <w:p>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我方对委托代理人的签字</w:t>
      </w:r>
      <w:r>
        <w:rPr>
          <w:rFonts w:hint="eastAsia" w:ascii="宋体" w:hAnsi="宋体"/>
          <w:color w:val="auto"/>
          <w:sz w:val="24"/>
          <w:highlight w:val="none"/>
        </w:rPr>
        <w:t>或者电子签名</w:t>
      </w:r>
      <w:r>
        <w:rPr>
          <w:rFonts w:hint="eastAsia" w:ascii="宋体" w:hAnsi="宋体" w:cs="仿宋_GB2312"/>
          <w:color w:val="auto"/>
          <w:sz w:val="24"/>
          <w:highlight w:val="none"/>
        </w:rPr>
        <w:t>事项负全部责任。</w:t>
      </w:r>
    </w:p>
    <w:p>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pPr>
        <w:spacing w:line="360" w:lineRule="auto"/>
        <w:rPr>
          <w:rFonts w:ascii="宋体" w:hAnsi="宋体" w:cs="仿宋_GB2312"/>
          <w:color w:val="auto"/>
          <w:sz w:val="24"/>
          <w:highlight w:val="none"/>
        </w:rPr>
      </w:pPr>
    </w:p>
    <w:p>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签字或者电子签名</w:t>
      </w:r>
      <w:r>
        <w:rPr>
          <w:rFonts w:hint="eastAsia" w:ascii="宋体" w:hAnsi="宋体" w:cs="仿宋_GB2312"/>
          <w:color w:val="auto"/>
          <w:sz w:val="24"/>
          <w:highlight w:val="none"/>
        </w:rPr>
        <w:t xml:space="preserve">）：     法定代表人（签字或者盖章或者电子签名）：                    </w:t>
      </w:r>
    </w:p>
    <w:p>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pPr>
        <w:spacing w:line="360" w:lineRule="auto"/>
        <w:contextualSpacing/>
        <w:rPr>
          <w:rFonts w:ascii="宋体" w:hAnsi="宋体" w:cs="仿宋_GB2312"/>
          <w:color w:val="auto"/>
          <w:sz w:val="24"/>
          <w:highlight w:val="none"/>
        </w:rPr>
      </w:pPr>
    </w:p>
    <w:p>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供应商（电子签章）：                      </w:t>
      </w:r>
    </w:p>
    <w:p>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年    月    日</w:t>
      </w:r>
    </w:p>
    <w:p>
      <w:pPr>
        <w:spacing w:line="360" w:lineRule="auto"/>
        <w:rPr>
          <w:rFonts w:ascii="宋体" w:hAnsi="宋体" w:cs="仿宋_GB2312"/>
          <w:color w:val="auto"/>
          <w:sz w:val="24"/>
          <w:highlight w:val="none"/>
        </w:rPr>
      </w:pPr>
    </w:p>
    <w:p>
      <w:pPr>
        <w:spacing w:line="360" w:lineRule="auto"/>
        <w:rPr>
          <w:rFonts w:ascii="宋体" w:hAnsi="宋体" w:cs="仿宋_GB2312"/>
          <w:color w:val="auto"/>
          <w:sz w:val="24"/>
          <w:highlight w:val="none"/>
        </w:rPr>
      </w:pPr>
      <w:r>
        <w:rPr>
          <w:rFonts w:hint="eastAsia" w:ascii="宋体" w:hAnsi="宋体" w:cs="仿宋_GB2312"/>
          <w:color w:val="auto"/>
          <w:sz w:val="24"/>
          <w:highlight w:val="none"/>
        </w:rPr>
        <w:t>注：1. 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否则其响应文件按无效响应处理。</w:t>
      </w:r>
    </w:p>
    <w:p>
      <w:pPr>
        <w:spacing w:line="360" w:lineRule="auto"/>
        <w:ind w:firstLine="480" w:firstLineChars="200"/>
        <w:jc w:val="left"/>
        <w:rPr>
          <w:rFonts w:ascii="宋体" w:hAnsi="宋体" w:cs="仿宋_GB2312"/>
          <w:color w:val="auto"/>
          <w:sz w:val="24"/>
          <w:highlight w:val="none"/>
        </w:rPr>
      </w:pPr>
      <w:r>
        <w:rPr>
          <w:rFonts w:ascii="宋体" w:hAnsi="宋体" w:cs="仿宋_GB2312"/>
          <w:color w:val="auto"/>
          <w:sz w:val="24"/>
          <w:highlight w:val="none"/>
        </w:rPr>
        <w:t>2.</w:t>
      </w:r>
      <w:bookmarkStart w:id="160" w:name="_Hlk65853109"/>
      <w:bookmarkStart w:id="161" w:name="_Hlk65853542"/>
      <w:r>
        <w:rPr>
          <w:rFonts w:hint="eastAsia" w:ascii="宋体" w:hAnsi="宋体" w:cs="仿宋_GB2312"/>
          <w:color w:val="auto"/>
          <w:sz w:val="24"/>
          <w:highlight w:val="none"/>
        </w:rPr>
        <w:t>法人、其他组织竞标时“我方”是指“我单位”，自然人竞标时“我方”是指“本人”。</w:t>
      </w:r>
      <w:bookmarkEnd w:id="160"/>
    </w:p>
    <w:bookmarkEnd w:id="161"/>
    <w:p>
      <w:pPr>
        <w:spacing w:line="360" w:lineRule="auto"/>
        <w:ind w:firstLine="420" w:firstLineChars="200"/>
        <w:jc w:val="left"/>
        <w:rPr>
          <w:rFonts w:ascii="仿宋_GB2312" w:hAnsi="仿宋_GB2312" w:eastAsia="仿宋_GB2312" w:cs="仿宋_GB2312"/>
          <w:color w:val="auto"/>
          <w:szCs w:val="21"/>
          <w:highlight w:val="none"/>
        </w:rPr>
      </w:pPr>
    </w:p>
    <w:p>
      <w:pPr>
        <w:spacing w:line="500" w:lineRule="exact"/>
        <w:jc w:val="center"/>
        <w:rPr>
          <w:rFonts w:ascii="方正小标宋简体" w:hAnsi="方正小标宋简体" w:eastAsia="方正小标宋简体" w:cs="方正小标宋简体"/>
          <w:color w:val="auto"/>
          <w:sz w:val="44"/>
          <w:szCs w:val="44"/>
          <w:highlight w:val="none"/>
        </w:rPr>
      </w:pPr>
      <w:r>
        <w:rPr>
          <w:rFonts w:ascii="仿宋_GB2312" w:hAnsi="仿宋_GB2312" w:eastAsia="仿宋_GB2312" w:cs="仿宋_GB2312"/>
          <w:color w:val="auto"/>
          <w:szCs w:val="21"/>
          <w:highlight w:val="none"/>
        </w:rPr>
        <w:br w:type="page"/>
      </w:r>
      <w:r>
        <w:rPr>
          <w:rFonts w:hint="eastAsia" w:ascii="方正小标宋简体" w:hAnsi="方正小标宋简体" w:eastAsia="方正小标宋简体" w:cs="方正小标宋简体"/>
          <w:color w:val="auto"/>
          <w:sz w:val="44"/>
          <w:szCs w:val="44"/>
          <w:highlight w:val="none"/>
        </w:rPr>
        <w:t>授权委托书</w:t>
      </w:r>
    </w:p>
    <w:p>
      <w:pPr>
        <w:spacing w:line="500" w:lineRule="exact"/>
        <w:jc w:val="center"/>
        <w:rPr>
          <w:rFonts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（联合体竞标格式）</w:t>
      </w:r>
    </w:p>
    <w:p>
      <w:pPr>
        <w:spacing w:line="50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32"/>
          <w:szCs w:val="32"/>
          <w:highlight w:val="none"/>
        </w:rPr>
        <w:t>（如有委托时）</w:t>
      </w:r>
    </w:p>
    <w:p>
      <w:pPr>
        <w:spacing w:line="500" w:lineRule="exact"/>
        <w:jc w:val="center"/>
        <w:rPr>
          <w:rFonts w:ascii="方正小标宋简体" w:hAnsi="方正小标宋简体" w:eastAsia="方正小标宋简体" w:cs="方正小标宋简体"/>
          <w:color w:val="auto"/>
          <w:sz w:val="44"/>
          <w:szCs w:val="44"/>
          <w:highlight w:val="none"/>
        </w:rPr>
      </w:pPr>
    </w:p>
    <w:p>
      <w:pPr>
        <w:spacing w:line="500" w:lineRule="exact"/>
        <w:jc w:val="center"/>
        <w:rPr>
          <w:rFonts w:ascii="仿宋_GB2312" w:hAnsi="仿宋_GB2312" w:eastAsia="仿宋_GB2312" w:cs="仿宋_GB2312"/>
          <w:color w:val="auto"/>
          <w:sz w:val="32"/>
          <w:szCs w:val="32"/>
          <w:highlight w:val="none"/>
        </w:rPr>
      </w:pPr>
    </w:p>
    <w:p>
      <w:pPr>
        <w:spacing w:line="360" w:lineRule="auto"/>
        <w:ind w:firstLine="480" w:firstLineChars="200"/>
        <w:jc w:val="left"/>
        <w:rPr>
          <w:rFonts w:ascii="宋体" w:hAnsi="宋体" w:cs="仿宋_GB2312"/>
          <w:color w:val="auto"/>
          <w:sz w:val="24"/>
          <w:highlight w:val="none"/>
        </w:rPr>
      </w:pPr>
      <w:r>
        <w:rPr>
          <w:rFonts w:hint="eastAsia" w:ascii="宋体" w:hAnsi="宋体" w:cs="仿宋_GB2312"/>
          <w:color w:val="auto"/>
          <w:sz w:val="24"/>
          <w:highlight w:val="none"/>
        </w:rPr>
        <w:t>本授权委托书声明：根据（牵头人名称）与（联合体其他成员名称）签订的《联合体竞标协议书》的内容，（牵头人名称）的法定代表人（姓名）现授权（姓名）为联合委托代理人，并代表我方全权办理针对上述项目的所有采购程序和环节的具体事务和签署相关文件。</w:t>
      </w:r>
    </w:p>
    <w:p>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我方对委托代理人的</w:t>
      </w:r>
      <w:r>
        <w:rPr>
          <w:rFonts w:hint="eastAsia" w:ascii="宋体" w:hAnsi="宋体"/>
          <w:color w:val="auto"/>
          <w:sz w:val="24"/>
          <w:highlight w:val="none"/>
        </w:rPr>
        <w:t>签字或者电子签名</w:t>
      </w:r>
      <w:r>
        <w:rPr>
          <w:rFonts w:hint="eastAsia" w:ascii="宋体" w:hAnsi="宋体" w:cs="仿宋_GB2312"/>
          <w:color w:val="auto"/>
          <w:sz w:val="24"/>
          <w:highlight w:val="none"/>
        </w:rPr>
        <w:t>事项负全部责任。</w:t>
      </w:r>
    </w:p>
    <w:p>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附：法定代表人身份证明书及委托代理人有效身份证正反面复印件</w:t>
      </w:r>
    </w:p>
    <w:p>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牵头人法定代表人（签字或者盖章或者电子签名）：</w:t>
      </w:r>
    </w:p>
    <w:p>
      <w:pPr>
        <w:spacing w:line="360" w:lineRule="auto"/>
        <w:ind w:firstLine="3120" w:firstLineChars="1300"/>
        <w:contextualSpacing/>
        <w:rPr>
          <w:rFonts w:ascii="宋体" w:hAnsi="宋体" w:cs="仿宋_GB2312"/>
          <w:color w:val="auto"/>
          <w:sz w:val="24"/>
          <w:highlight w:val="none"/>
        </w:rPr>
      </w:pPr>
      <w:r>
        <w:rPr>
          <w:rFonts w:hint="eastAsia" w:ascii="宋体" w:hAnsi="宋体" w:cs="仿宋_GB2312"/>
          <w:color w:val="auto"/>
          <w:sz w:val="24"/>
          <w:highlight w:val="none"/>
        </w:rPr>
        <w:t>牵头人（电子签章）：</w:t>
      </w:r>
    </w:p>
    <w:p>
      <w:pPr>
        <w:spacing w:line="360" w:lineRule="auto"/>
        <w:ind w:firstLine="3840" w:firstLineChars="16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pPr>
        <w:spacing w:line="360" w:lineRule="auto"/>
        <w:contextualSpacing/>
        <w:rPr>
          <w:rFonts w:ascii="宋体" w:hAnsi="宋体" w:cs="仿宋_GB2312"/>
          <w:color w:val="auto"/>
          <w:sz w:val="24"/>
          <w:highlight w:val="none"/>
        </w:rPr>
      </w:pPr>
    </w:p>
    <w:p>
      <w:pPr>
        <w:spacing w:line="360" w:lineRule="auto"/>
        <w:ind w:firstLine="3120" w:firstLineChars="1300"/>
        <w:contextualSpacing/>
        <w:rPr>
          <w:rFonts w:ascii="宋体" w:hAnsi="宋体" w:cs="仿宋_GB2312"/>
          <w:color w:val="auto"/>
          <w:sz w:val="24"/>
          <w:highlight w:val="none"/>
        </w:rPr>
      </w:pPr>
      <w:r>
        <w:rPr>
          <w:rFonts w:hint="eastAsia" w:ascii="宋体" w:hAnsi="宋体" w:cs="仿宋_GB2312"/>
          <w:color w:val="auto"/>
          <w:sz w:val="24"/>
          <w:highlight w:val="none"/>
        </w:rPr>
        <w:t>被授权人（签字或者电子签名）：</w:t>
      </w:r>
    </w:p>
    <w:p>
      <w:pPr>
        <w:spacing w:line="360" w:lineRule="auto"/>
        <w:ind w:firstLine="3840" w:firstLineChars="16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pPr>
        <w:spacing w:line="360" w:lineRule="auto"/>
        <w:contextualSpacing/>
        <w:rPr>
          <w:rFonts w:ascii="宋体" w:hAnsi="宋体" w:cs="仿宋_GB2312"/>
          <w:color w:val="auto"/>
          <w:sz w:val="24"/>
          <w:highlight w:val="none"/>
        </w:rPr>
      </w:pPr>
    </w:p>
    <w:p>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注：1. 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否则其响应文件按无效响应处理。</w:t>
      </w:r>
    </w:p>
    <w:p>
      <w:pPr>
        <w:spacing w:line="360" w:lineRule="auto"/>
        <w:ind w:firstLine="480" w:firstLineChars="200"/>
        <w:jc w:val="left"/>
        <w:rPr>
          <w:rFonts w:ascii="宋体" w:hAnsi="宋体" w:cs="仿宋_GB2312"/>
          <w:color w:val="auto"/>
          <w:spacing w:val="-11"/>
          <w:sz w:val="24"/>
          <w:highlight w:val="none"/>
        </w:rPr>
      </w:pPr>
      <w:r>
        <w:rPr>
          <w:rFonts w:ascii="宋体" w:hAnsi="宋体" w:cs="仿宋_GB2312"/>
          <w:color w:val="auto"/>
          <w:sz w:val="24"/>
          <w:highlight w:val="none"/>
        </w:rPr>
        <w:t>2.</w:t>
      </w:r>
      <w:r>
        <w:rPr>
          <w:rFonts w:hint="eastAsia" w:ascii="宋体" w:hAnsi="宋体" w:cs="仿宋_GB2312"/>
          <w:color w:val="auto"/>
          <w:sz w:val="24"/>
          <w:highlight w:val="none"/>
        </w:rPr>
        <w:t>法人、其他组织竞标时“我方”是指“我单位”，自然人竞标时“我方”是指“本人”。</w:t>
      </w:r>
    </w:p>
    <w:bookmarkEnd w:id="159"/>
    <w:p>
      <w:pPr>
        <w:spacing w:line="500" w:lineRule="exact"/>
        <w:jc w:val="center"/>
        <w:rPr>
          <w:rFonts w:ascii="方正小标宋简体" w:hAnsi="方正小标宋简体" w:eastAsia="方正小标宋简体" w:cs="方正小标宋简体"/>
          <w:bCs/>
          <w:color w:val="auto"/>
          <w:sz w:val="44"/>
          <w:szCs w:val="44"/>
          <w:highlight w:val="none"/>
        </w:rPr>
      </w:pPr>
      <w:r>
        <w:rPr>
          <w:rFonts w:hint="eastAsia" w:ascii="仿宋_GB2312" w:hAnsi="仿宋_GB2312" w:eastAsia="仿宋_GB2312" w:cs="仿宋_GB2312"/>
          <w:color w:val="auto"/>
          <w:sz w:val="32"/>
          <w:szCs w:val="32"/>
          <w:highlight w:val="none"/>
        </w:rPr>
        <w:br w:type="page"/>
      </w:r>
      <w:r>
        <w:rPr>
          <w:rFonts w:hint="eastAsia" w:ascii="方正小标宋简体" w:hAnsi="方正小标宋简体" w:eastAsia="方正小标宋简体" w:cs="方正小标宋简体"/>
          <w:bCs/>
          <w:color w:val="auto"/>
          <w:sz w:val="44"/>
          <w:szCs w:val="44"/>
          <w:highlight w:val="none"/>
        </w:rPr>
        <w:t>商务要求偏离表格式</w:t>
      </w:r>
    </w:p>
    <w:p>
      <w:pPr>
        <w:spacing w:line="360" w:lineRule="auto"/>
        <w:contextualSpacing/>
        <w:jc w:val="left"/>
        <w:rPr>
          <w:rFonts w:ascii="宋体" w:hAnsi="宋体"/>
          <w:color w:val="auto"/>
          <w:sz w:val="24"/>
          <w:highlight w:val="none"/>
        </w:rPr>
      </w:pPr>
    </w:p>
    <w:p>
      <w:pPr>
        <w:pStyle w:val="16"/>
        <w:spacing w:line="360" w:lineRule="auto"/>
        <w:contextualSpacing/>
        <w:rPr>
          <w:rFonts w:hAnsi="宋体" w:cs="仿宋_GB2312"/>
          <w:color w:val="auto"/>
          <w:sz w:val="24"/>
          <w:szCs w:val="24"/>
          <w:highlight w:val="none"/>
        </w:rPr>
      </w:pPr>
      <w:r>
        <w:rPr>
          <w:rFonts w:hint="eastAsia" w:hAnsi="宋体" w:cs="仿宋_GB2312"/>
          <w:color w:val="auto"/>
          <w:sz w:val="24"/>
          <w:szCs w:val="24"/>
          <w:highlight w:val="none"/>
        </w:rPr>
        <w:t>所竞分标：</w:t>
      </w:r>
    </w:p>
    <w:p>
      <w:pPr>
        <w:spacing w:line="360" w:lineRule="auto"/>
        <w:contextualSpacing/>
        <w:jc w:val="left"/>
        <w:rPr>
          <w:rFonts w:ascii="宋体" w:hAnsi="宋体" w:cs="仿宋_GB2312"/>
          <w:color w:val="auto"/>
          <w:sz w:val="24"/>
          <w:highlight w:val="none"/>
          <w:u w:val="single"/>
        </w:rPr>
      </w:pPr>
    </w:p>
    <w:tbl>
      <w:tblPr>
        <w:tblStyle w:val="25"/>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项目</w:t>
            </w:r>
          </w:p>
        </w:tc>
        <w:tc>
          <w:tcPr>
            <w:tcW w:w="2668"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磋商文件商务要求</w:t>
            </w:r>
          </w:p>
        </w:tc>
        <w:tc>
          <w:tcPr>
            <w:tcW w:w="2350"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供应商的响应</w:t>
            </w:r>
          </w:p>
        </w:tc>
        <w:tc>
          <w:tcPr>
            <w:tcW w:w="2112"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pPr>
              <w:spacing w:line="360" w:lineRule="auto"/>
              <w:ind w:left="43"/>
              <w:contextualSpacing/>
              <w:jc w:val="center"/>
              <w:rPr>
                <w:rFonts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pPr>
              <w:spacing w:line="360" w:lineRule="auto"/>
              <w:ind w:left="43"/>
              <w:contextualSpacing/>
              <w:jc w:val="center"/>
              <w:rPr>
                <w:rFonts w:ascii="宋体" w:hAnsi="宋体"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w:t>
            </w:r>
          </w:p>
        </w:tc>
        <w:tc>
          <w:tcPr>
            <w:tcW w:w="2668"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highlight w:val="none"/>
              </w:rPr>
            </w:pPr>
          </w:p>
        </w:tc>
      </w:tr>
    </w:tbl>
    <w:p>
      <w:pPr>
        <w:pStyle w:val="12"/>
        <w:spacing w:after="0" w:line="360" w:lineRule="auto"/>
        <w:contextualSpacing/>
        <w:rPr>
          <w:rFonts w:ascii="宋体" w:hAnsi="宋体"/>
          <w:color w:val="auto"/>
          <w:kern w:val="0"/>
          <w:sz w:val="24"/>
          <w:szCs w:val="24"/>
          <w:highlight w:val="none"/>
        </w:rPr>
      </w:pPr>
      <w:r>
        <w:rPr>
          <w:rFonts w:hint="eastAsia" w:ascii="宋体" w:hAnsi="宋体"/>
          <w:color w:val="auto"/>
          <w:kern w:val="0"/>
          <w:sz w:val="24"/>
          <w:szCs w:val="24"/>
          <w:highlight w:val="none"/>
        </w:rPr>
        <w:t>注：</w:t>
      </w:r>
    </w:p>
    <w:p>
      <w:pPr>
        <w:pStyle w:val="12"/>
        <w:spacing w:after="0" w:line="360" w:lineRule="auto"/>
        <w:contextualSpacing/>
        <w:rPr>
          <w:rFonts w:ascii="宋体" w:hAnsi="宋体"/>
          <w:color w:val="auto"/>
          <w:kern w:val="0"/>
          <w:sz w:val="24"/>
          <w:szCs w:val="24"/>
          <w:highlight w:val="none"/>
        </w:rPr>
      </w:pPr>
      <w:r>
        <w:rPr>
          <w:rFonts w:hint="eastAsia" w:ascii="宋体" w:hAnsi="宋体"/>
          <w:color w:val="auto"/>
          <w:kern w:val="0"/>
          <w:sz w:val="24"/>
          <w:szCs w:val="24"/>
          <w:highlight w:val="none"/>
        </w:rPr>
        <w:t>1. 说明：应对照磋商文件“第三章 采购需求”中的商务要求逐条作出明确响应，并作出偏离说明。</w:t>
      </w:r>
    </w:p>
    <w:p>
      <w:pPr>
        <w:spacing w:line="360" w:lineRule="auto"/>
        <w:contextualSpacing/>
        <w:jc w:val="left"/>
        <w:rPr>
          <w:rFonts w:ascii="宋体" w:hAnsi="宋体" w:cs="仿宋_GB2312"/>
          <w:color w:val="auto"/>
          <w:sz w:val="24"/>
          <w:highlight w:val="none"/>
          <w:u w:val="single"/>
        </w:rPr>
      </w:pPr>
      <w:r>
        <w:rPr>
          <w:rFonts w:hint="eastAsia" w:ascii="宋体" w:hAnsi="宋体"/>
          <w:color w:val="auto"/>
          <w:kern w:val="0"/>
          <w:sz w:val="24"/>
          <w:highlight w:val="none"/>
        </w:rPr>
        <w:t>2.供应商应根据自身的承诺，对照磋商文件要求在“偏离说明”中注明“正偏离”、“负偏离”或者“无偏离”。既不属于“正偏离”也不属于“负偏离”即为“无偏离”。</w:t>
      </w:r>
    </w:p>
    <w:p>
      <w:pPr>
        <w:spacing w:line="360" w:lineRule="auto"/>
        <w:ind w:right="-817" w:rightChars="-389"/>
        <w:contextualSpacing/>
        <w:rPr>
          <w:rFonts w:ascii="宋体" w:hAnsi="宋体" w:cs="仿宋_GB2312"/>
          <w:color w:val="auto"/>
          <w:sz w:val="24"/>
          <w:highlight w:val="none"/>
        </w:rPr>
      </w:pPr>
    </w:p>
    <w:p>
      <w:pPr>
        <w:spacing w:line="360" w:lineRule="auto"/>
        <w:ind w:right="-817" w:rightChars="-389"/>
        <w:contextualSpacing/>
        <w:jc w:val="center"/>
        <w:rPr>
          <w:rFonts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pP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pPr>
        <w:spacing w:line="360" w:lineRule="auto"/>
        <w:ind w:right="-817" w:rightChars="-389" w:firstLine="4080" w:firstLineChars="1700"/>
        <w:contextualSpacing/>
        <w:rPr>
          <w:rFonts w:ascii="仿宋_GB2312" w:hAnsi="仿宋_GB2312" w:eastAsia="仿宋_GB2312" w:cs="仿宋_GB2312"/>
          <w:b/>
          <w:color w:val="auto"/>
          <w:sz w:val="32"/>
          <w:szCs w:val="32"/>
          <w:highlight w:val="none"/>
        </w:rPr>
      </w:pPr>
      <w:r>
        <w:rPr>
          <w:rFonts w:hint="eastAsia" w:ascii="宋体" w:hAnsi="宋体" w:cs="仿宋_GB2312"/>
          <w:color w:val="auto"/>
          <w:sz w:val="24"/>
          <w:highlight w:val="none"/>
        </w:rPr>
        <w:t>日期：   年   月   日</w:t>
      </w:r>
    </w:p>
    <w:p>
      <w:pPr>
        <w:adjustRightInd w:val="0"/>
        <w:snapToGrid w:val="0"/>
        <w:spacing w:line="520" w:lineRule="exact"/>
        <w:ind w:firstLine="7040" w:firstLineChars="1600"/>
        <w:jc w:val="center"/>
        <w:rPr>
          <w:rFonts w:ascii="方正小标宋简体" w:hAnsi="方正小标宋简体" w:eastAsia="方正小标宋简体" w:cs="方正小标宋简体"/>
          <w:bCs/>
          <w:color w:val="auto"/>
          <w:sz w:val="44"/>
          <w:szCs w:val="44"/>
          <w:highlight w:val="none"/>
        </w:rPr>
      </w:pPr>
    </w:p>
    <w:p>
      <w:pPr>
        <w:adjustRightInd w:val="0"/>
        <w:snapToGrid w:val="0"/>
        <w:spacing w:line="520" w:lineRule="exact"/>
        <w:ind w:firstLine="7040" w:firstLineChars="1600"/>
        <w:jc w:val="center"/>
        <w:rPr>
          <w:rFonts w:ascii="方正小标宋简体" w:hAnsi="方正小标宋简体" w:eastAsia="方正小标宋简体" w:cs="方正小标宋简体"/>
          <w:bCs/>
          <w:color w:val="auto"/>
          <w:sz w:val="44"/>
          <w:szCs w:val="44"/>
          <w:highlight w:val="none"/>
        </w:rPr>
      </w:pPr>
    </w:p>
    <w:p>
      <w:pPr>
        <w:adjustRightInd w:val="0"/>
        <w:snapToGrid w:val="0"/>
        <w:spacing w:line="520" w:lineRule="exact"/>
        <w:ind w:firstLine="7040" w:firstLineChars="1600"/>
        <w:jc w:val="center"/>
        <w:rPr>
          <w:rFonts w:ascii="方正小标宋简体" w:hAnsi="方正小标宋简体" w:eastAsia="方正小标宋简体" w:cs="方正小标宋简体"/>
          <w:bCs/>
          <w:color w:val="auto"/>
          <w:sz w:val="44"/>
          <w:szCs w:val="44"/>
          <w:highlight w:val="none"/>
        </w:rPr>
      </w:pPr>
    </w:p>
    <w:p>
      <w:pPr>
        <w:adjustRightInd w:val="0"/>
        <w:snapToGrid w:val="0"/>
        <w:spacing w:line="520" w:lineRule="exact"/>
        <w:ind w:firstLine="7040" w:firstLineChars="1600"/>
        <w:jc w:val="center"/>
        <w:rPr>
          <w:rFonts w:ascii="方正小标宋简体" w:hAnsi="方正小标宋简体" w:eastAsia="方正小标宋简体" w:cs="方正小标宋简体"/>
          <w:bCs/>
          <w:color w:val="auto"/>
          <w:sz w:val="44"/>
          <w:szCs w:val="44"/>
          <w:highlight w:val="none"/>
        </w:rPr>
      </w:pPr>
    </w:p>
    <w:p>
      <w:pPr>
        <w:adjustRightInd w:val="0"/>
        <w:snapToGrid w:val="0"/>
        <w:spacing w:line="520" w:lineRule="exact"/>
        <w:rPr>
          <w:rFonts w:ascii="宋体" w:hAnsi="宋体"/>
          <w:color w:val="auto"/>
          <w:szCs w:val="21"/>
          <w:highlight w:val="none"/>
          <w:u w:val="single"/>
        </w:rPr>
      </w:pPr>
    </w:p>
    <w:p>
      <w:pPr>
        <w:adjustRightInd w:val="0"/>
        <w:snapToGrid w:val="0"/>
        <w:spacing w:line="300" w:lineRule="auto"/>
        <w:jc w:val="center"/>
        <w:rPr>
          <w:rFonts w:ascii="方正小标宋简体" w:hAnsi="方正小标宋简体" w:eastAsia="方正小标宋简体" w:cs="方正小标宋简体"/>
          <w:bCs/>
          <w:color w:val="auto"/>
          <w:sz w:val="44"/>
          <w:szCs w:val="44"/>
          <w:highlight w:val="none"/>
        </w:rPr>
      </w:pPr>
      <w:r>
        <w:rPr>
          <w:rFonts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技术要求偏离表</w:t>
      </w:r>
    </w:p>
    <w:p>
      <w:pPr>
        <w:spacing w:line="520" w:lineRule="exact"/>
        <w:rPr>
          <w:rFonts w:ascii="仿宋_GB2312" w:hAnsi="仿宋_GB2312" w:eastAsia="仿宋_GB2312" w:cs="仿宋_GB2312"/>
          <w:color w:val="auto"/>
          <w:sz w:val="32"/>
          <w:szCs w:val="32"/>
          <w:highlight w:val="none"/>
        </w:rPr>
      </w:pPr>
    </w:p>
    <w:p>
      <w:pPr>
        <w:spacing w:line="360" w:lineRule="auto"/>
        <w:contextualSpacing/>
        <w:rPr>
          <w:rFonts w:ascii="宋体" w:hAnsi="宋体" w:cs="仿宋_GB2312"/>
          <w:color w:val="auto"/>
          <w:sz w:val="24"/>
          <w:highlight w:val="none"/>
          <w:u w:val="single"/>
        </w:rPr>
      </w:pPr>
      <w:r>
        <w:rPr>
          <w:rFonts w:hint="eastAsia" w:ascii="宋体" w:hAnsi="宋体" w:cs="仿宋_GB2312"/>
          <w:color w:val="auto"/>
          <w:sz w:val="24"/>
          <w:highlight w:val="none"/>
        </w:rPr>
        <w:t>采购项目编号：</w:t>
      </w:r>
    </w:p>
    <w:p>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采购项目名称：</w:t>
      </w:r>
    </w:p>
    <w:p>
      <w:pPr>
        <w:spacing w:line="360" w:lineRule="auto"/>
        <w:contextualSpacing/>
        <w:rPr>
          <w:rFonts w:ascii="宋体" w:hAnsi="宋体" w:cs="仿宋_GB2312"/>
          <w:color w:val="auto"/>
          <w:sz w:val="24"/>
          <w:highlight w:val="none"/>
          <w:u w:val="single"/>
        </w:rPr>
      </w:pPr>
      <w:r>
        <w:rPr>
          <w:rFonts w:hint="eastAsia" w:ascii="宋体" w:hAnsi="宋体" w:cs="仿宋_GB2312"/>
          <w:color w:val="auto"/>
          <w:sz w:val="24"/>
          <w:highlight w:val="none"/>
        </w:rPr>
        <w:t>分标号：</w:t>
      </w:r>
    </w:p>
    <w:tbl>
      <w:tblPr>
        <w:tblStyle w:val="25"/>
        <w:tblW w:w="909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6"/>
        <w:gridCol w:w="915"/>
        <w:gridCol w:w="3038"/>
        <w:gridCol w:w="2734"/>
        <w:gridCol w:w="149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pPr>
              <w:pStyle w:val="14"/>
              <w:spacing w:line="360" w:lineRule="auto"/>
              <w:ind w:firstLine="0" w:firstLineChars="0"/>
              <w:contextualSpacing/>
              <w:jc w:val="center"/>
              <w:rPr>
                <w:rFonts w:ascii="宋体" w:hAnsi="宋体" w:eastAsia="宋体" w:cs="仿宋_GB2312"/>
                <w:color w:val="auto"/>
                <w:kern w:val="2"/>
                <w:sz w:val="24"/>
                <w:szCs w:val="24"/>
                <w:highlight w:val="none"/>
              </w:rPr>
            </w:pPr>
            <w:bookmarkStart w:id="162" w:name="_Toc254970729"/>
            <w:bookmarkStart w:id="163" w:name="_Toc173211900"/>
            <w:bookmarkStart w:id="164" w:name="_Toc297193185"/>
            <w:bookmarkStart w:id="165" w:name="_Toc373333689"/>
            <w:bookmarkStart w:id="166" w:name="_Toc383699906"/>
            <w:bookmarkStart w:id="167" w:name="_Toc173066401"/>
            <w:bookmarkStart w:id="168" w:name="_Toc295404981"/>
            <w:bookmarkStart w:id="169" w:name="_Toc301781611"/>
            <w:bookmarkStart w:id="170" w:name="_Toc254970588"/>
            <w:r>
              <w:rPr>
                <w:rFonts w:hint="eastAsia" w:ascii="宋体" w:hAnsi="宋体" w:eastAsia="宋体" w:cs="仿宋_GB2312"/>
                <w:color w:val="auto"/>
                <w:kern w:val="2"/>
                <w:sz w:val="24"/>
                <w:szCs w:val="24"/>
                <w:highlight w:val="none"/>
              </w:rPr>
              <w:t>序号</w:t>
            </w:r>
            <w:bookmarkEnd w:id="162"/>
            <w:bookmarkEnd w:id="163"/>
            <w:bookmarkEnd w:id="164"/>
            <w:bookmarkEnd w:id="165"/>
            <w:bookmarkEnd w:id="166"/>
            <w:bookmarkEnd w:id="167"/>
            <w:bookmarkEnd w:id="168"/>
            <w:bookmarkEnd w:id="169"/>
            <w:bookmarkEnd w:id="170"/>
          </w:p>
        </w:tc>
        <w:tc>
          <w:tcPr>
            <w:tcW w:w="915" w:type="dxa"/>
            <w:tcBorders>
              <w:right w:val="single" w:color="auto" w:sz="4" w:space="0"/>
            </w:tcBorders>
            <w:vAlign w:val="center"/>
          </w:tcPr>
          <w:p>
            <w:pPr>
              <w:pStyle w:val="14"/>
              <w:spacing w:line="360" w:lineRule="auto"/>
              <w:ind w:firstLine="0" w:firstLineChars="0"/>
              <w:contextualSpacing/>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名称</w:t>
            </w:r>
          </w:p>
        </w:tc>
        <w:tc>
          <w:tcPr>
            <w:tcW w:w="3038" w:type="dxa"/>
            <w:tcBorders>
              <w:left w:val="single" w:color="auto" w:sz="4" w:space="0"/>
            </w:tcBorders>
            <w:vAlign w:val="center"/>
          </w:tcPr>
          <w:p>
            <w:pPr>
              <w:pStyle w:val="14"/>
              <w:spacing w:line="360" w:lineRule="auto"/>
              <w:ind w:firstLine="0" w:firstLineChars="0"/>
              <w:contextualSpacing/>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磋商文件技术要求</w:t>
            </w:r>
          </w:p>
        </w:tc>
        <w:tc>
          <w:tcPr>
            <w:tcW w:w="2734" w:type="dxa"/>
            <w:vAlign w:val="center"/>
          </w:tcPr>
          <w:p>
            <w:pPr>
              <w:pStyle w:val="14"/>
              <w:spacing w:line="360" w:lineRule="auto"/>
              <w:ind w:firstLine="0" w:firstLineChars="0"/>
              <w:contextualSpacing/>
              <w:jc w:val="center"/>
              <w:rPr>
                <w:rFonts w:ascii="宋体" w:hAnsi="宋体" w:eastAsia="宋体" w:cs="仿宋_GB2312"/>
                <w:color w:val="auto"/>
                <w:kern w:val="2"/>
                <w:sz w:val="24"/>
                <w:szCs w:val="24"/>
                <w:highlight w:val="none"/>
              </w:rPr>
            </w:pPr>
            <w:bookmarkStart w:id="171" w:name="_Toc301781613"/>
            <w:bookmarkStart w:id="172" w:name="_Toc173211902"/>
            <w:bookmarkStart w:id="173" w:name="_Toc383699908"/>
            <w:bookmarkStart w:id="174" w:name="_Toc254970731"/>
            <w:bookmarkStart w:id="175" w:name="_Toc297193187"/>
            <w:bookmarkStart w:id="176" w:name="_Toc373333691"/>
            <w:bookmarkStart w:id="177" w:name="_Toc254970590"/>
            <w:bookmarkStart w:id="178" w:name="_Toc173066403"/>
            <w:bookmarkStart w:id="179" w:name="_Toc295404983"/>
            <w:r>
              <w:rPr>
                <w:rFonts w:hint="eastAsia" w:ascii="宋体" w:hAnsi="宋体" w:eastAsia="宋体" w:cs="仿宋_GB2312"/>
                <w:color w:val="auto"/>
                <w:kern w:val="2"/>
                <w:sz w:val="24"/>
                <w:szCs w:val="24"/>
                <w:highlight w:val="none"/>
              </w:rPr>
              <w:t>竞标响应</w:t>
            </w:r>
            <w:bookmarkEnd w:id="171"/>
            <w:bookmarkEnd w:id="172"/>
            <w:bookmarkEnd w:id="173"/>
            <w:bookmarkEnd w:id="174"/>
            <w:bookmarkEnd w:id="175"/>
            <w:bookmarkEnd w:id="176"/>
            <w:bookmarkEnd w:id="177"/>
            <w:bookmarkEnd w:id="178"/>
            <w:bookmarkEnd w:id="179"/>
          </w:p>
        </w:tc>
        <w:tc>
          <w:tcPr>
            <w:tcW w:w="1492" w:type="dxa"/>
            <w:vAlign w:val="center"/>
          </w:tcPr>
          <w:p>
            <w:pPr>
              <w:pStyle w:val="14"/>
              <w:spacing w:line="360" w:lineRule="auto"/>
              <w:ind w:firstLine="0" w:firstLineChars="0"/>
              <w:contextualSpacing/>
              <w:jc w:val="center"/>
              <w:rPr>
                <w:rFonts w:ascii="宋体" w:hAnsi="宋体" w:eastAsia="宋体" w:cs="仿宋_GB2312"/>
                <w:color w:val="auto"/>
                <w:kern w:val="2"/>
                <w:sz w:val="24"/>
                <w:szCs w:val="24"/>
                <w:highlight w:val="none"/>
              </w:rPr>
            </w:pPr>
            <w:bookmarkStart w:id="180" w:name="_Toc254970591"/>
            <w:bookmarkStart w:id="181" w:name="_Toc173066404"/>
            <w:bookmarkStart w:id="182" w:name="_Toc254970732"/>
            <w:bookmarkStart w:id="183" w:name="_Toc301781614"/>
            <w:bookmarkStart w:id="184" w:name="_Toc173211903"/>
            <w:bookmarkStart w:id="185" w:name="_Toc297193188"/>
            <w:bookmarkStart w:id="186" w:name="_Toc373333692"/>
            <w:bookmarkStart w:id="187" w:name="_Toc295404984"/>
            <w:bookmarkStart w:id="188" w:name="_Toc383699909"/>
            <w:r>
              <w:rPr>
                <w:rFonts w:hint="eastAsia" w:ascii="宋体" w:hAnsi="宋体" w:eastAsia="宋体" w:cs="仿宋_GB2312"/>
                <w:color w:val="auto"/>
                <w:kern w:val="2"/>
                <w:sz w:val="24"/>
                <w:szCs w:val="24"/>
                <w:highlight w:val="none"/>
              </w:rPr>
              <w:t>偏离</w:t>
            </w:r>
            <w:bookmarkEnd w:id="180"/>
            <w:bookmarkEnd w:id="181"/>
            <w:bookmarkEnd w:id="182"/>
            <w:bookmarkEnd w:id="183"/>
            <w:bookmarkEnd w:id="184"/>
            <w:bookmarkEnd w:id="185"/>
            <w:bookmarkEnd w:id="186"/>
            <w:bookmarkEnd w:id="187"/>
            <w:bookmarkEnd w:id="188"/>
            <w:bookmarkStart w:id="189" w:name="_Toc254970733"/>
            <w:bookmarkStart w:id="190" w:name="_Toc173066405"/>
            <w:bookmarkStart w:id="191" w:name="_Toc295404985"/>
            <w:bookmarkStart w:id="192" w:name="_Toc373333693"/>
            <w:bookmarkStart w:id="193" w:name="_Toc301781615"/>
            <w:bookmarkStart w:id="194" w:name="_Toc383699910"/>
            <w:bookmarkStart w:id="195" w:name="_Toc254970592"/>
            <w:bookmarkStart w:id="196" w:name="_Toc297193189"/>
            <w:bookmarkStart w:id="197" w:name="_Toc173211904"/>
            <w:r>
              <w:rPr>
                <w:rFonts w:hint="eastAsia" w:ascii="宋体" w:hAnsi="宋体" w:eastAsia="宋体" w:cs="仿宋_GB2312"/>
                <w:color w:val="auto"/>
                <w:kern w:val="2"/>
                <w:sz w:val="24"/>
                <w:szCs w:val="24"/>
                <w:highlight w:val="none"/>
              </w:rPr>
              <w:t>说明</w:t>
            </w:r>
            <w:bookmarkEnd w:id="189"/>
            <w:bookmarkEnd w:id="190"/>
            <w:bookmarkEnd w:id="191"/>
            <w:bookmarkEnd w:id="192"/>
            <w:bookmarkEnd w:id="193"/>
            <w:bookmarkEnd w:id="194"/>
            <w:bookmarkEnd w:id="195"/>
            <w:bookmarkEnd w:id="196"/>
            <w:bookmarkEnd w:id="197"/>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pPr>
              <w:pStyle w:val="14"/>
              <w:spacing w:line="360" w:lineRule="auto"/>
              <w:ind w:firstLine="0" w:firstLineChars="0"/>
              <w:contextualSpacing/>
              <w:jc w:val="center"/>
              <w:rPr>
                <w:rFonts w:ascii="宋体" w:hAnsi="宋体" w:eastAsia="宋体" w:cs="仿宋_GB2312"/>
                <w:color w:val="auto"/>
                <w:kern w:val="2"/>
                <w:sz w:val="24"/>
                <w:szCs w:val="24"/>
                <w:highlight w:val="none"/>
              </w:rPr>
            </w:pPr>
            <w:bookmarkStart w:id="198" w:name="_Toc295404986"/>
            <w:bookmarkStart w:id="199" w:name="_Toc254970593"/>
            <w:bookmarkStart w:id="200" w:name="_Toc383699911"/>
            <w:bookmarkStart w:id="201" w:name="_Toc297193190"/>
            <w:bookmarkStart w:id="202" w:name="_Toc173066406"/>
            <w:bookmarkStart w:id="203" w:name="_Toc254970734"/>
            <w:bookmarkStart w:id="204" w:name="_Toc301781616"/>
            <w:bookmarkStart w:id="205" w:name="_Toc173211905"/>
            <w:bookmarkStart w:id="206" w:name="_Toc373333694"/>
            <w:r>
              <w:rPr>
                <w:rFonts w:hint="eastAsia" w:ascii="宋体" w:hAnsi="宋体" w:eastAsia="宋体" w:cs="仿宋_GB2312"/>
                <w:color w:val="auto"/>
                <w:kern w:val="2"/>
                <w:sz w:val="24"/>
                <w:szCs w:val="24"/>
                <w:highlight w:val="none"/>
              </w:rPr>
              <w:t>1</w:t>
            </w:r>
            <w:bookmarkEnd w:id="198"/>
            <w:bookmarkEnd w:id="199"/>
            <w:bookmarkEnd w:id="200"/>
            <w:bookmarkEnd w:id="201"/>
            <w:bookmarkEnd w:id="202"/>
            <w:bookmarkEnd w:id="203"/>
            <w:bookmarkEnd w:id="204"/>
            <w:bookmarkEnd w:id="205"/>
            <w:bookmarkEnd w:id="206"/>
          </w:p>
        </w:tc>
        <w:tc>
          <w:tcPr>
            <w:tcW w:w="915" w:type="dxa"/>
            <w:tcBorders>
              <w:right w:val="single" w:color="auto" w:sz="4" w:space="0"/>
            </w:tcBorders>
            <w:vAlign w:val="center"/>
          </w:tcPr>
          <w:p>
            <w:pPr>
              <w:pStyle w:val="1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3038" w:type="dxa"/>
            <w:tcBorders>
              <w:left w:val="single" w:color="auto" w:sz="4" w:space="0"/>
            </w:tcBorders>
            <w:vAlign w:val="center"/>
          </w:tcPr>
          <w:p>
            <w:pPr>
              <w:pStyle w:val="1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2734" w:type="dxa"/>
            <w:vAlign w:val="center"/>
          </w:tcPr>
          <w:p>
            <w:pPr>
              <w:pStyle w:val="1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1492" w:type="dxa"/>
            <w:vAlign w:val="center"/>
          </w:tcPr>
          <w:p>
            <w:pPr>
              <w:pStyle w:val="14"/>
              <w:spacing w:line="360" w:lineRule="auto"/>
              <w:ind w:firstLine="0" w:firstLineChars="0"/>
              <w:contextualSpacing/>
              <w:jc w:val="center"/>
              <w:rPr>
                <w:rFonts w:ascii="宋体" w:hAnsi="宋体" w:eastAsia="宋体" w:cs="仿宋_GB2312"/>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pPr>
              <w:pStyle w:val="14"/>
              <w:spacing w:line="360" w:lineRule="auto"/>
              <w:ind w:firstLine="0" w:firstLineChars="0"/>
              <w:contextualSpacing/>
              <w:jc w:val="center"/>
              <w:rPr>
                <w:rFonts w:ascii="宋体" w:hAnsi="宋体" w:eastAsia="宋体" w:cs="仿宋_GB2312"/>
                <w:color w:val="auto"/>
                <w:kern w:val="2"/>
                <w:sz w:val="24"/>
                <w:szCs w:val="24"/>
                <w:highlight w:val="none"/>
              </w:rPr>
            </w:pPr>
            <w:bookmarkStart w:id="207" w:name="_Toc254970594"/>
            <w:bookmarkStart w:id="208" w:name="_Toc383699912"/>
            <w:bookmarkStart w:id="209" w:name="_Toc301781617"/>
            <w:bookmarkStart w:id="210" w:name="_Toc173211906"/>
            <w:bookmarkStart w:id="211" w:name="_Toc373333695"/>
            <w:bookmarkStart w:id="212" w:name="_Toc254970735"/>
            <w:bookmarkStart w:id="213" w:name="_Toc297193191"/>
            <w:bookmarkStart w:id="214" w:name="_Toc173066407"/>
            <w:bookmarkStart w:id="215" w:name="_Toc295404987"/>
            <w:r>
              <w:rPr>
                <w:rFonts w:hint="eastAsia" w:ascii="宋体" w:hAnsi="宋体" w:eastAsia="宋体" w:cs="仿宋_GB2312"/>
                <w:color w:val="auto"/>
                <w:kern w:val="2"/>
                <w:sz w:val="24"/>
                <w:szCs w:val="24"/>
                <w:highlight w:val="none"/>
              </w:rPr>
              <w:t>2</w:t>
            </w:r>
            <w:bookmarkEnd w:id="207"/>
            <w:bookmarkEnd w:id="208"/>
            <w:bookmarkEnd w:id="209"/>
            <w:bookmarkEnd w:id="210"/>
            <w:bookmarkEnd w:id="211"/>
            <w:bookmarkEnd w:id="212"/>
            <w:bookmarkEnd w:id="213"/>
            <w:bookmarkEnd w:id="214"/>
            <w:bookmarkEnd w:id="215"/>
          </w:p>
        </w:tc>
        <w:tc>
          <w:tcPr>
            <w:tcW w:w="915" w:type="dxa"/>
            <w:tcBorders>
              <w:right w:val="single" w:color="auto" w:sz="4" w:space="0"/>
            </w:tcBorders>
            <w:vAlign w:val="center"/>
          </w:tcPr>
          <w:p>
            <w:pPr>
              <w:pStyle w:val="1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3038" w:type="dxa"/>
            <w:tcBorders>
              <w:left w:val="single" w:color="auto" w:sz="4" w:space="0"/>
            </w:tcBorders>
            <w:vAlign w:val="center"/>
          </w:tcPr>
          <w:p>
            <w:pPr>
              <w:pStyle w:val="1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2734" w:type="dxa"/>
            <w:vAlign w:val="center"/>
          </w:tcPr>
          <w:p>
            <w:pPr>
              <w:pStyle w:val="1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1492" w:type="dxa"/>
            <w:vAlign w:val="center"/>
          </w:tcPr>
          <w:p>
            <w:pPr>
              <w:pStyle w:val="14"/>
              <w:spacing w:line="360" w:lineRule="auto"/>
              <w:ind w:firstLine="0" w:firstLineChars="0"/>
              <w:contextualSpacing/>
              <w:jc w:val="center"/>
              <w:rPr>
                <w:rFonts w:ascii="宋体" w:hAnsi="宋体" w:eastAsia="宋体" w:cs="仿宋_GB2312"/>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pPr>
              <w:pStyle w:val="14"/>
              <w:spacing w:line="360" w:lineRule="auto"/>
              <w:ind w:firstLine="0" w:firstLineChars="0"/>
              <w:contextualSpacing/>
              <w:jc w:val="center"/>
              <w:rPr>
                <w:rFonts w:ascii="宋体" w:hAnsi="宋体" w:eastAsia="宋体" w:cs="仿宋_GB2312"/>
                <w:color w:val="auto"/>
                <w:kern w:val="2"/>
                <w:sz w:val="24"/>
                <w:szCs w:val="24"/>
                <w:highlight w:val="none"/>
              </w:rPr>
            </w:pPr>
            <w:bookmarkStart w:id="216" w:name="_Toc301781618"/>
            <w:bookmarkStart w:id="217" w:name="_Toc254970595"/>
            <w:bookmarkStart w:id="218" w:name="_Toc295404988"/>
            <w:bookmarkStart w:id="219" w:name="_Toc173066408"/>
            <w:bookmarkStart w:id="220" w:name="_Toc173211907"/>
            <w:bookmarkStart w:id="221" w:name="_Toc383699913"/>
            <w:bookmarkStart w:id="222" w:name="_Toc254970736"/>
            <w:bookmarkStart w:id="223" w:name="_Toc373333696"/>
            <w:bookmarkStart w:id="224" w:name="_Toc297193192"/>
            <w:r>
              <w:rPr>
                <w:rFonts w:hint="eastAsia" w:ascii="宋体" w:hAnsi="宋体" w:eastAsia="宋体" w:cs="仿宋_GB2312"/>
                <w:color w:val="auto"/>
                <w:kern w:val="2"/>
                <w:sz w:val="24"/>
                <w:szCs w:val="24"/>
                <w:highlight w:val="none"/>
              </w:rPr>
              <w:t>3</w:t>
            </w:r>
            <w:bookmarkEnd w:id="216"/>
            <w:bookmarkEnd w:id="217"/>
            <w:bookmarkEnd w:id="218"/>
            <w:bookmarkEnd w:id="219"/>
            <w:bookmarkEnd w:id="220"/>
            <w:bookmarkEnd w:id="221"/>
            <w:bookmarkEnd w:id="222"/>
            <w:bookmarkEnd w:id="223"/>
            <w:bookmarkEnd w:id="224"/>
          </w:p>
        </w:tc>
        <w:tc>
          <w:tcPr>
            <w:tcW w:w="915" w:type="dxa"/>
            <w:tcBorders>
              <w:right w:val="single" w:color="auto" w:sz="4" w:space="0"/>
            </w:tcBorders>
            <w:vAlign w:val="center"/>
          </w:tcPr>
          <w:p>
            <w:pPr>
              <w:pStyle w:val="1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3038" w:type="dxa"/>
            <w:tcBorders>
              <w:left w:val="single" w:color="auto" w:sz="4" w:space="0"/>
            </w:tcBorders>
            <w:vAlign w:val="center"/>
          </w:tcPr>
          <w:p>
            <w:pPr>
              <w:pStyle w:val="1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2734" w:type="dxa"/>
            <w:vAlign w:val="center"/>
          </w:tcPr>
          <w:p>
            <w:pPr>
              <w:pStyle w:val="1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1492" w:type="dxa"/>
            <w:vAlign w:val="center"/>
          </w:tcPr>
          <w:p>
            <w:pPr>
              <w:pStyle w:val="14"/>
              <w:spacing w:line="360" w:lineRule="auto"/>
              <w:ind w:firstLine="0" w:firstLineChars="0"/>
              <w:contextualSpacing/>
              <w:jc w:val="center"/>
              <w:rPr>
                <w:rFonts w:ascii="宋体" w:hAnsi="宋体" w:eastAsia="宋体" w:cs="仿宋_GB2312"/>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pPr>
              <w:pStyle w:val="14"/>
              <w:spacing w:line="360" w:lineRule="auto"/>
              <w:ind w:firstLine="0" w:firstLineChars="0"/>
              <w:contextualSpacing/>
              <w:jc w:val="center"/>
              <w:rPr>
                <w:rFonts w:ascii="宋体" w:hAnsi="宋体" w:eastAsia="宋体" w:cs="仿宋_GB2312"/>
                <w:color w:val="auto"/>
                <w:kern w:val="2"/>
                <w:sz w:val="24"/>
                <w:szCs w:val="24"/>
                <w:highlight w:val="none"/>
              </w:rPr>
            </w:pPr>
            <w:bookmarkStart w:id="225" w:name="_Toc295404989"/>
            <w:bookmarkStart w:id="226" w:name="_Toc383699914"/>
            <w:bookmarkStart w:id="227" w:name="_Toc373333697"/>
            <w:bookmarkStart w:id="228" w:name="_Toc254970596"/>
            <w:bookmarkStart w:id="229" w:name="_Toc254970737"/>
            <w:bookmarkStart w:id="230" w:name="_Toc173066409"/>
            <w:bookmarkStart w:id="231" w:name="_Toc173211908"/>
            <w:bookmarkStart w:id="232" w:name="_Toc301781619"/>
            <w:bookmarkStart w:id="233" w:name="_Toc297193193"/>
            <w:r>
              <w:rPr>
                <w:rFonts w:hint="eastAsia" w:ascii="宋体" w:hAnsi="宋体" w:eastAsia="宋体" w:cs="仿宋_GB2312"/>
                <w:color w:val="auto"/>
                <w:kern w:val="2"/>
                <w:sz w:val="24"/>
                <w:szCs w:val="24"/>
                <w:highlight w:val="none"/>
              </w:rPr>
              <w:t>4</w:t>
            </w:r>
            <w:bookmarkEnd w:id="225"/>
            <w:bookmarkEnd w:id="226"/>
            <w:bookmarkEnd w:id="227"/>
            <w:bookmarkEnd w:id="228"/>
            <w:bookmarkEnd w:id="229"/>
            <w:bookmarkEnd w:id="230"/>
            <w:bookmarkEnd w:id="231"/>
            <w:bookmarkEnd w:id="232"/>
            <w:bookmarkEnd w:id="233"/>
          </w:p>
        </w:tc>
        <w:tc>
          <w:tcPr>
            <w:tcW w:w="915" w:type="dxa"/>
            <w:tcBorders>
              <w:right w:val="single" w:color="auto" w:sz="4" w:space="0"/>
            </w:tcBorders>
            <w:vAlign w:val="center"/>
          </w:tcPr>
          <w:p>
            <w:pPr>
              <w:pStyle w:val="1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3038" w:type="dxa"/>
            <w:tcBorders>
              <w:left w:val="single" w:color="auto" w:sz="4" w:space="0"/>
            </w:tcBorders>
            <w:vAlign w:val="center"/>
          </w:tcPr>
          <w:p>
            <w:pPr>
              <w:pStyle w:val="1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2734" w:type="dxa"/>
            <w:vAlign w:val="center"/>
          </w:tcPr>
          <w:p>
            <w:pPr>
              <w:pStyle w:val="1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1492" w:type="dxa"/>
            <w:vAlign w:val="center"/>
          </w:tcPr>
          <w:p>
            <w:pPr>
              <w:pStyle w:val="14"/>
              <w:spacing w:line="360" w:lineRule="auto"/>
              <w:ind w:firstLine="0" w:firstLineChars="0"/>
              <w:contextualSpacing/>
              <w:jc w:val="center"/>
              <w:rPr>
                <w:rFonts w:ascii="宋体" w:hAnsi="宋体" w:eastAsia="宋体" w:cs="仿宋_GB2312"/>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pPr>
              <w:pStyle w:val="14"/>
              <w:spacing w:line="360" w:lineRule="auto"/>
              <w:ind w:firstLine="0" w:firstLineChars="0"/>
              <w:contextualSpacing/>
              <w:jc w:val="center"/>
              <w:rPr>
                <w:rFonts w:ascii="宋体" w:hAnsi="宋体" w:eastAsia="宋体" w:cs="仿宋_GB2312"/>
                <w:color w:val="auto"/>
                <w:kern w:val="2"/>
                <w:sz w:val="24"/>
                <w:szCs w:val="24"/>
                <w:highlight w:val="none"/>
              </w:rPr>
            </w:pPr>
            <w:bookmarkStart w:id="234" w:name="_Toc254970738"/>
            <w:bookmarkStart w:id="235" w:name="_Toc297193194"/>
            <w:bookmarkStart w:id="236" w:name="_Toc373333698"/>
            <w:bookmarkStart w:id="237" w:name="_Toc383699915"/>
            <w:bookmarkStart w:id="238" w:name="_Toc295404990"/>
            <w:bookmarkStart w:id="239" w:name="_Toc173211909"/>
            <w:bookmarkStart w:id="240" w:name="_Toc173066410"/>
            <w:bookmarkStart w:id="241" w:name="_Toc301781620"/>
            <w:bookmarkStart w:id="242" w:name="_Toc254970597"/>
            <w:r>
              <w:rPr>
                <w:rFonts w:hint="eastAsia" w:ascii="宋体" w:hAnsi="宋体" w:eastAsia="宋体" w:cs="仿宋_GB2312"/>
                <w:color w:val="auto"/>
                <w:kern w:val="2"/>
                <w:sz w:val="24"/>
                <w:szCs w:val="24"/>
                <w:highlight w:val="none"/>
              </w:rPr>
              <w:t>5</w:t>
            </w:r>
            <w:bookmarkEnd w:id="234"/>
            <w:bookmarkEnd w:id="235"/>
            <w:bookmarkEnd w:id="236"/>
            <w:bookmarkEnd w:id="237"/>
            <w:bookmarkEnd w:id="238"/>
            <w:bookmarkEnd w:id="239"/>
            <w:bookmarkEnd w:id="240"/>
            <w:bookmarkEnd w:id="241"/>
            <w:bookmarkEnd w:id="242"/>
          </w:p>
        </w:tc>
        <w:tc>
          <w:tcPr>
            <w:tcW w:w="915" w:type="dxa"/>
            <w:tcBorders>
              <w:right w:val="single" w:color="auto" w:sz="4" w:space="0"/>
            </w:tcBorders>
            <w:vAlign w:val="center"/>
          </w:tcPr>
          <w:p>
            <w:pPr>
              <w:pStyle w:val="1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3038" w:type="dxa"/>
            <w:tcBorders>
              <w:left w:val="single" w:color="auto" w:sz="4" w:space="0"/>
            </w:tcBorders>
            <w:vAlign w:val="center"/>
          </w:tcPr>
          <w:p>
            <w:pPr>
              <w:pStyle w:val="1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2734" w:type="dxa"/>
            <w:vAlign w:val="center"/>
          </w:tcPr>
          <w:p>
            <w:pPr>
              <w:pStyle w:val="1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1492" w:type="dxa"/>
            <w:vAlign w:val="center"/>
          </w:tcPr>
          <w:p>
            <w:pPr>
              <w:pStyle w:val="14"/>
              <w:spacing w:line="360" w:lineRule="auto"/>
              <w:ind w:firstLine="0" w:firstLineChars="0"/>
              <w:contextualSpacing/>
              <w:jc w:val="center"/>
              <w:rPr>
                <w:rFonts w:ascii="宋体" w:hAnsi="宋体" w:eastAsia="宋体" w:cs="仿宋_GB2312"/>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6" w:type="dxa"/>
            <w:vAlign w:val="center"/>
          </w:tcPr>
          <w:p>
            <w:pPr>
              <w:pStyle w:val="14"/>
              <w:spacing w:line="360" w:lineRule="auto"/>
              <w:ind w:firstLine="0" w:firstLineChars="0"/>
              <w:contextualSpacing/>
              <w:jc w:val="center"/>
              <w:rPr>
                <w:rFonts w:ascii="宋体" w:hAnsi="宋体" w:eastAsia="宋体" w:cs="仿宋_GB2312"/>
                <w:color w:val="auto"/>
                <w:kern w:val="2"/>
                <w:sz w:val="24"/>
                <w:szCs w:val="24"/>
                <w:highlight w:val="none"/>
              </w:rPr>
            </w:pPr>
            <w:bookmarkStart w:id="243" w:name="_Toc173066415"/>
            <w:bookmarkStart w:id="244" w:name="_Toc254970743"/>
            <w:bookmarkStart w:id="245" w:name="_Toc383699916"/>
            <w:bookmarkStart w:id="246" w:name="_Toc373333699"/>
            <w:bookmarkStart w:id="247" w:name="_Toc254970602"/>
            <w:bookmarkStart w:id="248" w:name="_Toc173211914"/>
            <w:bookmarkStart w:id="249" w:name="_Toc301781621"/>
            <w:bookmarkStart w:id="250" w:name="_Toc295404991"/>
            <w:bookmarkStart w:id="251" w:name="_Toc297193195"/>
            <w:r>
              <w:rPr>
                <w:rFonts w:hint="eastAsia" w:ascii="宋体" w:hAnsi="宋体" w:eastAsia="宋体" w:cs="仿宋_GB2312"/>
                <w:color w:val="auto"/>
                <w:kern w:val="2"/>
                <w:sz w:val="24"/>
                <w:szCs w:val="24"/>
                <w:highlight w:val="none"/>
              </w:rPr>
              <w:t>…</w:t>
            </w:r>
            <w:bookmarkEnd w:id="243"/>
            <w:bookmarkEnd w:id="244"/>
            <w:bookmarkEnd w:id="245"/>
            <w:bookmarkEnd w:id="246"/>
            <w:bookmarkEnd w:id="247"/>
            <w:bookmarkEnd w:id="248"/>
            <w:bookmarkEnd w:id="249"/>
            <w:bookmarkEnd w:id="250"/>
            <w:bookmarkEnd w:id="251"/>
          </w:p>
        </w:tc>
        <w:tc>
          <w:tcPr>
            <w:tcW w:w="915" w:type="dxa"/>
            <w:tcBorders>
              <w:right w:val="single" w:color="auto" w:sz="4" w:space="0"/>
            </w:tcBorders>
            <w:vAlign w:val="center"/>
          </w:tcPr>
          <w:p>
            <w:pPr>
              <w:pStyle w:val="1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3038" w:type="dxa"/>
            <w:tcBorders>
              <w:left w:val="single" w:color="auto" w:sz="4" w:space="0"/>
            </w:tcBorders>
            <w:vAlign w:val="center"/>
          </w:tcPr>
          <w:p>
            <w:pPr>
              <w:pStyle w:val="1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2734" w:type="dxa"/>
            <w:vAlign w:val="center"/>
          </w:tcPr>
          <w:p>
            <w:pPr>
              <w:pStyle w:val="1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1492" w:type="dxa"/>
            <w:tcBorders>
              <w:right w:val="single" w:color="auto" w:sz="4" w:space="0"/>
            </w:tcBorders>
            <w:vAlign w:val="center"/>
          </w:tcPr>
          <w:p>
            <w:pPr>
              <w:pStyle w:val="14"/>
              <w:spacing w:line="360" w:lineRule="auto"/>
              <w:ind w:firstLine="0" w:firstLineChars="0"/>
              <w:contextualSpacing/>
              <w:jc w:val="center"/>
              <w:rPr>
                <w:rFonts w:ascii="宋体" w:hAnsi="宋体" w:eastAsia="宋体" w:cs="仿宋_GB2312"/>
                <w:color w:val="auto"/>
                <w:kern w:val="2"/>
                <w:sz w:val="24"/>
                <w:szCs w:val="24"/>
                <w:highlight w:val="none"/>
              </w:rPr>
            </w:pPr>
          </w:p>
        </w:tc>
      </w:tr>
    </w:tbl>
    <w:p>
      <w:pPr>
        <w:adjustRightInd w:val="0"/>
        <w:spacing w:line="360" w:lineRule="auto"/>
        <w:contextualSpacing/>
        <w:rPr>
          <w:rFonts w:ascii="宋体" w:hAnsi="宋体" w:cs="仿宋_GB2312"/>
          <w:color w:val="auto"/>
          <w:sz w:val="24"/>
          <w:highlight w:val="none"/>
        </w:rPr>
      </w:pPr>
    </w:p>
    <w:p>
      <w:pPr>
        <w:pStyle w:val="14"/>
        <w:spacing w:line="360" w:lineRule="auto"/>
        <w:ind w:firstLine="0" w:firstLineChars="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w:t>
      </w:r>
    </w:p>
    <w:p>
      <w:pPr>
        <w:pStyle w:val="14"/>
        <w:spacing w:line="360" w:lineRule="auto"/>
        <w:ind w:firstLine="0" w:firstLineChars="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 说明：应对照磋商文件“第三章 采购需求”中的技术要求逐条作出明确响应，并作出偏离说明。</w:t>
      </w:r>
    </w:p>
    <w:p>
      <w:pPr>
        <w:pStyle w:val="14"/>
        <w:spacing w:line="360" w:lineRule="auto"/>
        <w:ind w:firstLine="0" w:firstLineChars="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2.供应商应根据自身的承诺，对照磋商文件要求，在“偏离说明”中注明“正偏离”、“负偏离”或者“无偏离”。既不属于“正偏离”也不属于“负偏离”即为“无偏离”。</w:t>
      </w:r>
    </w:p>
    <w:p>
      <w:pPr>
        <w:spacing w:line="360" w:lineRule="auto"/>
        <w:ind w:right="-817" w:rightChars="-389"/>
        <w:contextualSpacing/>
        <w:rPr>
          <w:rFonts w:ascii="宋体" w:hAnsi="宋体" w:cs="仿宋_GB2312"/>
          <w:color w:val="auto"/>
          <w:sz w:val="24"/>
          <w:highlight w:val="none"/>
        </w:rPr>
      </w:pPr>
    </w:p>
    <w:p>
      <w:pPr>
        <w:spacing w:line="360" w:lineRule="auto"/>
        <w:ind w:right="-817" w:rightChars="-389"/>
        <w:contextualSpacing/>
        <w:jc w:val="center"/>
        <w:rPr>
          <w:rFonts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pP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pPr>
        <w:spacing w:line="360" w:lineRule="auto"/>
        <w:ind w:right="-817" w:rightChars="-389" w:firstLine="4080" w:firstLineChars="17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pPr>
        <w:snapToGrid w:val="0"/>
        <w:spacing w:before="156" w:beforeLines="50" w:after="50"/>
        <w:ind w:left="142"/>
        <w:jc w:val="left"/>
        <w:rPr>
          <w:rFonts w:ascii="宋体" w:hAnsi="宋体"/>
          <w:b/>
          <w:color w:val="auto"/>
          <w:sz w:val="24"/>
          <w:highlight w:val="none"/>
        </w:rPr>
      </w:pPr>
      <w:r>
        <w:rPr>
          <w:rFonts w:ascii="宋体" w:hAnsi="宋体" w:cs="仿宋_GB2312"/>
          <w:color w:val="auto"/>
          <w:sz w:val="24"/>
          <w:highlight w:val="none"/>
        </w:rPr>
        <w:br w:type="page"/>
      </w:r>
      <w:r>
        <w:rPr>
          <w:rFonts w:hint="eastAsia" w:ascii="宋体" w:hAnsi="宋体"/>
          <w:b/>
          <w:color w:val="auto"/>
          <w:sz w:val="24"/>
          <w:highlight w:val="none"/>
        </w:rPr>
        <w:t>项目实施人员一览表格式</w:t>
      </w:r>
    </w:p>
    <w:p>
      <w:pPr>
        <w:snapToGrid w:val="0"/>
        <w:spacing w:before="156" w:beforeLines="50" w:after="50"/>
        <w:ind w:left="142"/>
        <w:jc w:val="left"/>
        <w:rPr>
          <w:rFonts w:ascii="宋体" w:hAnsi="宋体"/>
          <w:b/>
          <w:color w:val="auto"/>
          <w:sz w:val="24"/>
          <w:highlight w:val="none"/>
        </w:rPr>
      </w:pPr>
    </w:p>
    <w:p>
      <w:pPr>
        <w:spacing w:line="360" w:lineRule="auto"/>
        <w:ind w:left="142"/>
        <w:contextualSpacing/>
        <w:jc w:val="center"/>
        <w:rPr>
          <w:rFonts w:ascii="宋体" w:hAnsi="宋体"/>
          <w:b/>
          <w:color w:val="auto"/>
          <w:sz w:val="32"/>
          <w:szCs w:val="32"/>
          <w:highlight w:val="none"/>
        </w:rPr>
      </w:pPr>
      <w:r>
        <w:rPr>
          <w:rFonts w:hint="eastAsia" w:ascii="宋体" w:hAnsi="宋体"/>
          <w:b/>
          <w:color w:val="auto"/>
          <w:sz w:val="32"/>
          <w:szCs w:val="32"/>
          <w:highlight w:val="none"/>
        </w:rPr>
        <w:t>项目实施人员一览表</w:t>
      </w:r>
    </w:p>
    <w:p>
      <w:pPr>
        <w:pStyle w:val="16"/>
        <w:spacing w:line="360" w:lineRule="auto"/>
        <w:contextualSpacing/>
        <w:rPr>
          <w:color w:val="auto"/>
          <w:sz w:val="24"/>
          <w:szCs w:val="24"/>
          <w:highlight w:val="none"/>
        </w:rPr>
      </w:pPr>
      <w:r>
        <w:rPr>
          <w:rFonts w:hint="eastAsia"/>
          <w:color w:val="auto"/>
          <w:sz w:val="24"/>
          <w:szCs w:val="24"/>
          <w:highlight w:val="none"/>
        </w:rPr>
        <w:t>所竞分标：分标</w:t>
      </w:r>
    </w:p>
    <w:tbl>
      <w:tblPr>
        <w:tblStyle w:val="25"/>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姓名</w:t>
            </w:r>
          </w:p>
        </w:tc>
        <w:tc>
          <w:tcPr>
            <w:tcW w:w="709" w:type="dxa"/>
            <w:vAlign w:val="center"/>
          </w:tcPr>
          <w:p>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职务</w:t>
            </w:r>
          </w:p>
        </w:tc>
        <w:tc>
          <w:tcPr>
            <w:tcW w:w="1701" w:type="dxa"/>
            <w:vAlign w:val="center"/>
          </w:tcPr>
          <w:p>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专业技术资格（职称）或者职业资格或者执业资格证或者其他证书</w:t>
            </w:r>
          </w:p>
        </w:tc>
        <w:tc>
          <w:tcPr>
            <w:tcW w:w="1420" w:type="dxa"/>
            <w:vAlign w:val="center"/>
          </w:tcPr>
          <w:p>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证书编号</w:t>
            </w:r>
          </w:p>
        </w:tc>
        <w:tc>
          <w:tcPr>
            <w:tcW w:w="1698" w:type="dxa"/>
            <w:vAlign w:val="center"/>
          </w:tcPr>
          <w:p>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参加本单位</w:t>
            </w:r>
          </w:p>
          <w:p>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工作时间</w:t>
            </w:r>
          </w:p>
        </w:tc>
        <w:tc>
          <w:tcPr>
            <w:tcW w:w="1843" w:type="dxa"/>
            <w:vAlign w:val="center"/>
          </w:tcPr>
          <w:p>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劳动合同编号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60" w:lineRule="auto"/>
              <w:contextualSpacing/>
              <w:jc w:val="center"/>
              <w:rPr>
                <w:rFonts w:ascii="宋体" w:hAnsi="宋体"/>
                <w:color w:val="auto"/>
                <w:sz w:val="24"/>
                <w:szCs w:val="20"/>
                <w:highlight w:val="none"/>
              </w:rPr>
            </w:pPr>
          </w:p>
        </w:tc>
        <w:tc>
          <w:tcPr>
            <w:tcW w:w="709" w:type="dxa"/>
            <w:vAlign w:val="center"/>
          </w:tcPr>
          <w:p>
            <w:pPr>
              <w:spacing w:line="360" w:lineRule="auto"/>
              <w:contextualSpacing/>
              <w:jc w:val="center"/>
              <w:rPr>
                <w:rFonts w:ascii="宋体" w:hAnsi="宋体"/>
                <w:color w:val="auto"/>
                <w:sz w:val="24"/>
                <w:szCs w:val="20"/>
                <w:highlight w:val="none"/>
              </w:rPr>
            </w:pPr>
          </w:p>
        </w:tc>
        <w:tc>
          <w:tcPr>
            <w:tcW w:w="1701" w:type="dxa"/>
            <w:vAlign w:val="center"/>
          </w:tcPr>
          <w:p>
            <w:pPr>
              <w:spacing w:line="360" w:lineRule="auto"/>
              <w:contextualSpacing/>
              <w:jc w:val="center"/>
              <w:rPr>
                <w:rFonts w:ascii="宋体" w:hAnsi="宋体"/>
                <w:color w:val="auto"/>
                <w:sz w:val="24"/>
                <w:szCs w:val="20"/>
                <w:highlight w:val="none"/>
              </w:rPr>
            </w:pPr>
          </w:p>
        </w:tc>
        <w:tc>
          <w:tcPr>
            <w:tcW w:w="1420" w:type="dxa"/>
            <w:vAlign w:val="center"/>
          </w:tcPr>
          <w:p>
            <w:pPr>
              <w:spacing w:line="360" w:lineRule="auto"/>
              <w:contextualSpacing/>
              <w:jc w:val="center"/>
              <w:rPr>
                <w:rFonts w:ascii="宋体" w:hAnsi="宋体"/>
                <w:color w:val="auto"/>
                <w:sz w:val="24"/>
                <w:szCs w:val="20"/>
                <w:highlight w:val="none"/>
              </w:rPr>
            </w:pPr>
          </w:p>
        </w:tc>
        <w:tc>
          <w:tcPr>
            <w:tcW w:w="1698" w:type="dxa"/>
            <w:vAlign w:val="center"/>
          </w:tcPr>
          <w:p>
            <w:pPr>
              <w:spacing w:line="360" w:lineRule="auto"/>
              <w:contextualSpacing/>
              <w:jc w:val="center"/>
              <w:rPr>
                <w:rFonts w:ascii="宋体" w:hAnsi="宋体"/>
                <w:color w:val="auto"/>
                <w:sz w:val="24"/>
                <w:szCs w:val="20"/>
                <w:highlight w:val="none"/>
              </w:rPr>
            </w:pPr>
          </w:p>
        </w:tc>
        <w:tc>
          <w:tcPr>
            <w:tcW w:w="1843" w:type="dxa"/>
            <w:vAlign w:val="center"/>
          </w:tcPr>
          <w:p>
            <w:pPr>
              <w:spacing w:line="360" w:lineRule="auto"/>
              <w:contextualSpacing/>
              <w:jc w:val="center"/>
              <w:rPr>
                <w:rFonts w:ascii="宋体" w:hAnsi="宋体"/>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60" w:lineRule="auto"/>
              <w:contextualSpacing/>
              <w:jc w:val="center"/>
              <w:rPr>
                <w:rFonts w:ascii="宋体" w:hAnsi="宋体"/>
                <w:color w:val="auto"/>
                <w:sz w:val="24"/>
                <w:szCs w:val="20"/>
                <w:highlight w:val="none"/>
              </w:rPr>
            </w:pPr>
          </w:p>
        </w:tc>
        <w:tc>
          <w:tcPr>
            <w:tcW w:w="709" w:type="dxa"/>
            <w:vAlign w:val="center"/>
          </w:tcPr>
          <w:p>
            <w:pPr>
              <w:spacing w:line="360" w:lineRule="auto"/>
              <w:contextualSpacing/>
              <w:jc w:val="center"/>
              <w:rPr>
                <w:rFonts w:ascii="宋体" w:hAnsi="宋体"/>
                <w:color w:val="auto"/>
                <w:sz w:val="24"/>
                <w:szCs w:val="20"/>
                <w:highlight w:val="none"/>
              </w:rPr>
            </w:pPr>
          </w:p>
        </w:tc>
        <w:tc>
          <w:tcPr>
            <w:tcW w:w="1701" w:type="dxa"/>
            <w:vAlign w:val="center"/>
          </w:tcPr>
          <w:p>
            <w:pPr>
              <w:spacing w:line="360" w:lineRule="auto"/>
              <w:contextualSpacing/>
              <w:jc w:val="center"/>
              <w:rPr>
                <w:rFonts w:ascii="宋体" w:hAnsi="宋体"/>
                <w:color w:val="auto"/>
                <w:sz w:val="24"/>
                <w:szCs w:val="20"/>
                <w:highlight w:val="none"/>
              </w:rPr>
            </w:pPr>
          </w:p>
        </w:tc>
        <w:tc>
          <w:tcPr>
            <w:tcW w:w="1420" w:type="dxa"/>
            <w:vAlign w:val="center"/>
          </w:tcPr>
          <w:p>
            <w:pPr>
              <w:spacing w:line="360" w:lineRule="auto"/>
              <w:contextualSpacing/>
              <w:jc w:val="center"/>
              <w:rPr>
                <w:rFonts w:ascii="宋体" w:hAnsi="宋体"/>
                <w:color w:val="auto"/>
                <w:sz w:val="24"/>
                <w:szCs w:val="20"/>
                <w:highlight w:val="none"/>
              </w:rPr>
            </w:pPr>
          </w:p>
        </w:tc>
        <w:tc>
          <w:tcPr>
            <w:tcW w:w="1698" w:type="dxa"/>
            <w:vAlign w:val="center"/>
          </w:tcPr>
          <w:p>
            <w:pPr>
              <w:spacing w:line="360" w:lineRule="auto"/>
              <w:contextualSpacing/>
              <w:jc w:val="center"/>
              <w:rPr>
                <w:rFonts w:ascii="宋体" w:hAnsi="宋体"/>
                <w:color w:val="auto"/>
                <w:sz w:val="24"/>
                <w:szCs w:val="20"/>
                <w:highlight w:val="none"/>
              </w:rPr>
            </w:pPr>
          </w:p>
        </w:tc>
        <w:tc>
          <w:tcPr>
            <w:tcW w:w="1843" w:type="dxa"/>
            <w:vAlign w:val="center"/>
          </w:tcPr>
          <w:p>
            <w:pPr>
              <w:spacing w:line="360" w:lineRule="auto"/>
              <w:contextualSpacing/>
              <w:jc w:val="center"/>
              <w:rPr>
                <w:rFonts w:ascii="宋体" w:hAnsi="宋体"/>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pPr>
              <w:spacing w:line="360" w:lineRule="auto"/>
              <w:contextualSpacing/>
              <w:jc w:val="center"/>
              <w:rPr>
                <w:rFonts w:ascii="宋体" w:hAnsi="宋体"/>
                <w:color w:val="auto"/>
                <w:sz w:val="24"/>
                <w:szCs w:val="20"/>
                <w:highlight w:val="none"/>
              </w:rPr>
            </w:pPr>
          </w:p>
        </w:tc>
        <w:tc>
          <w:tcPr>
            <w:tcW w:w="709" w:type="dxa"/>
            <w:vAlign w:val="center"/>
          </w:tcPr>
          <w:p>
            <w:pPr>
              <w:spacing w:line="360" w:lineRule="auto"/>
              <w:contextualSpacing/>
              <w:jc w:val="center"/>
              <w:rPr>
                <w:rFonts w:ascii="宋体" w:hAnsi="宋体"/>
                <w:color w:val="auto"/>
                <w:sz w:val="24"/>
                <w:szCs w:val="20"/>
                <w:highlight w:val="none"/>
              </w:rPr>
            </w:pPr>
          </w:p>
        </w:tc>
        <w:tc>
          <w:tcPr>
            <w:tcW w:w="1701" w:type="dxa"/>
            <w:vAlign w:val="center"/>
          </w:tcPr>
          <w:p>
            <w:pPr>
              <w:spacing w:line="360" w:lineRule="auto"/>
              <w:contextualSpacing/>
              <w:jc w:val="center"/>
              <w:rPr>
                <w:rFonts w:ascii="宋体" w:hAnsi="宋体"/>
                <w:color w:val="auto"/>
                <w:sz w:val="24"/>
                <w:szCs w:val="20"/>
                <w:highlight w:val="none"/>
              </w:rPr>
            </w:pPr>
          </w:p>
        </w:tc>
        <w:tc>
          <w:tcPr>
            <w:tcW w:w="1420" w:type="dxa"/>
            <w:vAlign w:val="center"/>
          </w:tcPr>
          <w:p>
            <w:pPr>
              <w:spacing w:line="360" w:lineRule="auto"/>
              <w:contextualSpacing/>
              <w:jc w:val="center"/>
              <w:rPr>
                <w:rFonts w:ascii="宋体" w:hAnsi="宋体"/>
                <w:color w:val="auto"/>
                <w:sz w:val="24"/>
                <w:szCs w:val="20"/>
                <w:highlight w:val="none"/>
              </w:rPr>
            </w:pPr>
          </w:p>
        </w:tc>
        <w:tc>
          <w:tcPr>
            <w:tcW w:w="1698" w:type="dxa"/>
            <w:vAlign w:val="center"/>
          </w:tcPr>
          <w:p>
            <w:pPr>
              <w:spacing w:line="360" w:lineRule="auto"/>
              <w:contextualSpacing/>
              <w:jc w:val="center"/>
              <w:rPr>
                <w:rFonts w:ascii="宋体" w:hAnsi="宋体"/>
                <w:color w:val="auto"/>
                <w:sz w:val="24"/>
                <w:szCs w:val="20"/>
                <w:highlight w:val="none"/>
              </w:rPr>
            </w:pPr>
          </w:p>
        </w:tc>
        <w:tc>
          <w:tcPr>
            <w:tcW w:w="1843" w:type="dxa"/>
            <w:vAlign w:val="center"/>
          </w:tcPr>
          <w:p>
            <w:pPr>
              <w:spacing w:line="360" w:lineRule="auto"/>
              <w:contextualSpacing/>
              <w:jc w:val="center"/>
              <w:rPr>
                <w:rFonts w:ascii="宋体" w:hAnsi="宋体"/>
                <w:color w:val="auto"/>
                <w:sz w:val="24"/>
                <w:szCs w:val="20"/>
                <w:highlight w:val="none"/>
              </w:rPr>
            </w:pPr>
          </w:p>
        </w:tc>
      </w:tr>
    </w:tbl>
    <w:p>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注：</w:t>
      </w:r>
    </w:p>
    <w:p>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在填写时，如本表格不适合供应商的实际情况，可根据本表格式自行制表填写。</w:t>
      </w:r>
    </w:p>
    <w:p>
      <w:pPr>
        <w:spacing w:line="360" w:lineRule="auto"/>
        <w:contextualSpacing/>
        <w:jc w:val="left"/>
        <w:rPr>
          <w:rFonts w:ascii="宋体" w:hAnsi="宋体"/>
          <w:color w:val="auto"/>
          <w:sz w:val="24"/>
          <w:szCs w:val="20"/>
          <w:highlight w:val="none"/>
        </w:rPr>
      </w:pPr>
      <w:r>
        <w:rPr>
          <w:rFonts w:ascii="宋体" w:hAnsi="宋体"/>
          <w:color w:val="auto"/>
          <w:sz w:val="24"/>
          <w:szCs w:val="20"/>
          <w:highlight w:val="none"/>
        </w:rPr>
        <w:t>2.</w:t>
      </w:r>
      <w:r>
        <w:rPr>
          <w:rFonts w:hint="eastAsia" w:ascii="宋体" w:hAnsi="宋体"/>
          <w:color w:val="auto"/>
          <w:sz w:val="24"/>
          <w:szCs w:val="20"/>
          <w:highlight w:val="none"/>
        </w:rPr>
        <w:t>供应商应当附本表所列证书的复印件并加盖供应商电子签章。</w:t>
      </w:r>
    </w:p>
    <w:p>
      <w:pPr>
        <w:spacing w:line="360" w:lineRule="auto"/>
        <w:contextualSpacing/>
        <w:rPr>
          <w:rFonts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p>
    <w:p>
      <w:pPr>
        <w:spacing w:line="360" w:lineRule="auto"/>
        <w:contextualSpacing/>
        <w:jc w:val="left"/>
        <w:rPr>
          <w:rFonts w:ascii="宋体" w:hAnsi="宋体"/>
          <w:color w:val="auto"/>
          <w:sz w:val="24"/>
          <w:szCs w:val="20"/>
          <w:highlight w:val="none"/>
        </w:rPr>
      </w:pPr>
      <w:r>
        <w:rPr>
          <w:rFonts w:hint="eastAsia" w:ascii="宋体" w:hAnsi="宋体"/>
          <w:color w:val="auto"/>
          <w:spacing w:val="20"/>
          <w:sz w:val="24"/>
          <w:highlight w:val="none"/>
        </w:rPr>
        <w:t>供应商（电子签章）：              日 期：</w:t>
      </w:r>
    </w:p>
    <w:p>
      <w:pPr>
        <w:snapToGrid w:val="0"/>
        <w:spacing w:before="50" w:after="156" w:afterLines="50"/>
        <w:jc w:val="left"/>
        <w:rPr>
          <w:rFonts w:ascii="宋体" w:hAnsi="宋体"/>
          <w:color w:val="auto"/>
          <w:sz w:val="24"/>
          <w:szCs w:val="20"/>
          <w:highlight w:val="none"/>
        </w:rPr>
      </w:pPr>
    </w:p>
    <w:p>
      <w:pPr>
        <w:snapToGrid w:val="0"/>
        <w:spacing w:before="50" w:after="50" w:line="360" w:lineRule="auto"/>
        <w:ind w:right="-817" w:rightChars="-389" w:firstLine="5461" w:firstLineChars="1700"/>
        <w:rPr>
          <w:rFonts w:ascii="仿宋_GB2312" w:hAnsi="仿宋_GB2312" w:eastAsia="仿宋_GB2312" w:cs="仿宋_GB2312"/>
          <w:b/>
          <w:color w:val="auto"/>
          <w:sz w:val="32"/>
          <w:szCs w:val="32"/>
          <w:highlight w:val="none"/>
        </w:rPr>
      </w:pPr>
    </w:p>
    <w:p>
      <w:pPr>
        <w:spacing w:line="300" w:lineRule="auto"/>
        <w:rPr>
          <w:rFonts w:ascii="宋体" w:hAnsi="宋体"/>
          <w:color w:val="auto"/>
          <w:szCs w:val="21"/>
          <w:highlight w:val="none"/>
        </w:rPr>
      </w:pPr>
      <w:r>
        <w:rPr>
          <w:rFonts w:ascii="宋体" w:hAnsi="宋体"/>
          <w:b/>
          <w:bCs/>
          <w:color w:val="auto"/>
          <w:sz w:val="24"/>
          <w:highlight w:val="none"/>
        </w:rPr>
        <w:br w:type="page"/>
      </w:r>
      <w:r>
        <w:rPr>
          <w:rFonts w:hint="eastAsia" w:ascii="宋体" w:hAnsi="宋体"/>
          <w:b/>
          <w:bCs/>
          <w:color w:val="auto"/>
          <w:sz w:val="24"/>
          <w:highlight w:val="none"/>
        </w:rPr>
        <w:t>其他文书、文件格式</w:t>
      </w:r>
    </w:p>
    <w:p>
      <w:pPr>
        <w:jc w:val="center"/>
        <w:rPr>
          <w:rFonts w:ascii="方正小标宋简体" w:hAnsi="方正小标宋简体" w:eastAsia="方正小标宋简体" w:cs="方正小标宋简体"/>
          <w:color w:val="auto"/>
          <w:sz w:val="44"/>
          <w:szCs w:val="44"/>
          <w:highlight w:val="none"/>
        </w:rPr>
      </w:pPr>
      <w:bookmarkStart w:id="252" w:name="_Toc71365926"/>
      <w:r>
        <w:rPr>
          <w:rFonts w:hint="eastAsia" w:ascii="方正小标宋简体" w:hAnsi="方正小标宋简体" w:eastAsia="方正小标宋简体" w:cs="方正小标宋简体"/>
          <w:color w:val="auto"/>
          <w:sz w:val="44"/>
          <w:szCs w:val="44"/>
          <w:highlight w:val="none"/>
        </w:rPr>
        <w:t>中小企业声明函（服务）</w:t>
      </w:r>
      <w:bookmarkEnd w:id="252"/>
    </w:p>
    <w:p>
      <w:pPr>
        <w:spacing w:before="2" w:line="500" w:lineRule="exact"/>
        <w:ind w:firstLine="708" w:firstLineChars="294"/>
        <w:rPr>
          <w:rFonts w:ascii="宋体" w:hAnsi="宋体" w:cs="宋体"/>
          <w:b/>
          <w:bCs/>
          <w:color w:val="auto"/>
          <w:sz w:val="24"/>
          <w:highlight w:val="none"/>
        </w:rPr>
      </w:pPr>
    </w:p>
    <w:p>
      <w:pPr>
        <w:pStyle w:val="13"/>
        <w:spacing w:line="500" w:lineRule="exact"/>
        <w:ind w:right="142" w:firstLine="705" w:firstLineChars="294"/>
        <w:rPr>
          <w:rFonts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w:t>
      </w:r>
      <w:r>
        <w:rPr>
          <w:rFonts w:hint="eastAsia" w:ascii="宋体" w:hAnsi="宋体"/>
          <w:color w:val="auto"/>
          <w:sz w:val="24"/>
          <w:highlight w:val="none"/>
        </w:rPr>
        <w:t>服务全部由符合政策要求的中小企业承接。相关企业（含联合体中的中小企业、签订分包意向协议的中小企业）的具体情况如下：</w:t>
      </w:r>
    </w:p>
    <w:p>
      <w:pPr>
        <w:tabs>
          <w:tab w:val="left" w:pos="1384"/>
          <w:tab w:val="left" w:pos="4562"/>
          <w:tab w:val="left" w:pos="6803"/>
        </w:tabs>
        <w:spacing w:before="13" w:line="500" w:lineRule="exact"/>
        <w:ind w:right="142" w:firstLine="772" w:firstLineChars="322"/>
        <w:rPr>
          <w:rFonts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，从业人员人，营业收入为万元，资产总额为万元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pPr>
        <w:tabs>
          <w:tab w:val="left" w:pos="1065"/>
          <w:tab w:val="left" w:pos="4262"/>
          <w:tab w:val="left" w:pos="6477"/>
        </w:tabs>
        <w:spacing w:before="20" w:line="500" w:lineRule="exact"/>
        <w:ind w:right="84" w:firstLine="772" w:firstLineChars="322"/>
        <w:rPr>
          <w:rFonts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，从业人员人，营业收入为万元，资产总额为万元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pPr>
        <w:pStyle w:val="13"/>
        <w:spacing w:before="34" w:line="500" w:lineRule="exact"/>
        <w:ind w:right="142" w:firstLine="705" w:firstLineChars="294"/>
        <w:rPr>
          <w:rFonts w:ascii="宋体" w:hAnsi="宋体"/>
          <w:color w:val="auto"/>
          <w:sz w:val="24"/>
          <w:highlight w:val="none"/>
        </w:rPr>
      </w:pPr>
      <w:r>
        <w:rPr>
          <w:rFonts w:ascii="宋体" w:hAnsi="宋体"/>
          <w:color w:val="auto"/>
          <w:sz w:val="24"/>
          <w:highlight w:val="none"/>
        </w:rPr>
        <w:t xml:space="preserve">…… </w:t>
      </w:r>
    </w:p>
    <w:p>
      <w:pPr>
        <w:pStyle w:val="13"/>
        <w:spacing w:before="34" w:line="500" w:lineRule="exact"/>
        <w:ind w:right="142" w:firstLine="705" w:firstLineChars="294"/>
        <w:rPr>
          <w:rFonts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pPr>
        <w:pStyle w:val="13"/>
        <w:spacing w:before="25" w:line="500" w:lineRule="exact"/>
        <w:ind w:right="142" w:firstLine="705" w:firstLineChars="294"/>
        <w:rPr>
          <w:rFonts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pPr>
        <w:pStyle w:val="13"/>
        <w:spacing w:before="56" w:line="500" w:lineRule="exact"/>
        <w:ind w:right="1808" w:firstLine="705" w:firstLineChars="294"/>
        <w:rPr>
          <w:rFonts w:ascii="宋体" w:hAnsi="宋体"/>
          <w:color w:val="auto"/>
          <w:sz w:val="24"/>
          <w:highlight w:val="none"/>
        </w:rPr>
      </w:pPr>
    </w:p>
    <w:p>
      <w:pPr>
        <w:pStyle w:val="13"/>
        <w:spacing w:before="56" w:line="500" w:lineRule="exact"/>
        <w:ind w:right="650" w:firstLine="5625" w:firstLineChars="2344"/>
        <w:rPr>
          <w:rFonts w:ascii="宋体" w:hAnsi="宋体"/>
          <w:color w:val="auto"/>
          <w:sz w:val="24"/>
          <w:highlight w:val="none"/>
        </w:rPr>
      </w:pPr>
      <w:r>
        <w:rPr>
          <w:rFonts w:ascii="宋体" w:hAnsi="宋体"/>
          <w:color w:val="auto"/>
          <w:sz w:val="24"/>
          <w:highlight w:val="none"/>
        </w:rPr>
        <w:t xml:space="preserve">企业名称（章）： </w:t>
      </w:r>
    </w:p>
    <w:p>
      <w:pPr>
        <w:pStyle w:val="13"/>
        <w:spacing w:before="56" w:line="500" w:lineRule="exact"/>
        <w:ind w:right="1808" w:firstLine="5625" w:firstLineChars="2344"/>
        <w:rPr>
          <w:rFonts w:ascii="宋体" w:hAnsi="宋体"/>
          <w:color w:val="auto"/>
          <w:sz w:val="24"/>
          <w:highlight w:val="none"/>
        </w:rPr>
      </w:pPr>
      <w:r>
        <w:rPr>
          <w:rFonts w:ascii="宋体" w:hAnsi="宋体"/>
          <w:color w:val="auto"/>
          <w:sz w:val="24"/>
          <w:highlight w:val="none"/>
        </w:rPr>
        <w:t>日 期：</w:t>
      </w:r>
    </w:p>
    <w:p>
      <w:pPr>
        <w:spacing w:line="520" w:lineRule="exact"/>
        <w:jc w:val="left"/>
        <w:rPr>
          <w:rFonts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pPr>
        <w:spacing w:line="520" w:lineRule="exact"/>
        <w:jc w:val="center"/>
        <w:rPr>
          <w:rFonts w:ascii="仿宋_GB2312" w:hAnsi="仿宋_GB2312" w:eastAsia="仿宋_GB2312" w:cs="仿宋_GB2312"/>
          <w:color w:val="auto"/>
          <w:sz w:val="32"/>
          <w:szCs w:val="32"/>
          <w:highlight w:val="none"/>
        </w:rPr>
      </w:pPr>
      <w:r>
        <w:rPr>
          <w:rFonts w:ascii="宋体" w:hAnsi="宋体"/>
          <w:color w:val="auto"/>
          <w:sz w:val="24"/>
          <w:highlight w:val="none"/>
        </w:rPr>
        <w:br w:type="page"/>
      </w:r>
      <w:r>
        <w:rPr>
          <w:rFonts w:hint="eastAsia" w:ascii="方正小标宋简体" w:hAnsi="方正小标宋简体" w:eastAsia="方正小标宋简体" w:cs="方正小标宋简体"/>
          <w:color w:val="auto"/>
          <w:sz w:val="44"/>
          <w:szCs w:val="44"/>
          <w:highlight w:val="none"/>
        </w:rPr>
        <w:t>残疾人福利性单位声明函</w:t>
      </w:r>
    </w:p>
    <w:p>
      <w:pPr>
        <w:spacing w:line="360" w:lineRule="auto"/>
        <w:contextualSpacing/>
        <w:rPr>
          <w:rFonts w:ascii="仿宋_GB2312" w:hAnsi="仿宋_GB2312" w:eastAsia="仿宋_GB2312" w:cs="仿宋_GB2312"/>
          <w:color w:val="auto"/>
          <w:sz w:val="32"/>
          <w:szCs w:val="32"/>
          <w:highlight w:val="none"/>
        </w:rPr>
      </w:pPr>
    </w:p>
    <w:p>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pPr>
        <w:spacing w:line="360" w:lineRule="auto"/>
        <w:contextualSpacing/>
        <w:rPr>
          <w:rFonts w:ascii="宋体" w:hAnsi="宋体" w:cs="仿宋_GB2312"/>
          <w:color w:val="auto"/>
          <w:sz w:val="24"/>
          <w:highlight w:val="none"/>
        </w:rPr>
      </w:pPr>
    </w:p>
    <w:p>
      <w:pPr>
        <w:spacing w:line="360" w:lineRule="auto"/>
        <w:contextualSpacing/>
        <w:rPr>
          <w:rFonts w:ascii="宋体" w:hAnsi="宋体" w:cs="仿宋_GB2312"/>
          <w:color w:val="auto"/>
          <w:sz w:val="24"/>
          <w:highlight w:val="none"/>
        </w:rPr>
      </w:pPr>
    </w:p>
    <w:p>
      <w:pPr>
        <w:spacing w:line="360" w:lineRule="auto"/>
        <w:contextualSpacing/>
        <w:rPr>
          <w:rFonts w:ascii="宋体" w:hAnsi="宋体" w:cs="仿宋_GB2312"/>
          <w:color w:val="auto"/>
          <w:sz w:val="24"/>
          <w:highlight w:val="none"/>
        </w:rPr>
      </w:pPr>
    </w:p>
    <w:p>
      <w:pPr>
        <w:spacing w:line="360" w:lineRule="auto"/>
        <w:ind w:firstLine="2400" w:firstLineChars="1000"/>
        <w:contextualSpacing/>
        <w:rPr>
          <w:rFonts w:ascii="宋体" w:hAnsi="宋体" w:cs="仿宋_GB2312"/>
          <w:color w:val="auto"/>
          <w:sz w:val="24"/>
          <w:highlight w:val="none"/>
        </w:rPr>
      </w:pPr>
      <w:r>
        <w:rPr>
          <w:rFonts w:hint="eastAsia" w:ascii="宋体" w:hAnsi="宋体" w:cs="仿宋_GB2312"/>
          <w:color w:val="auto"/>
          <w:sz w:val="24"/>
          <w:highlight w:val="none"/>
        </w:rPr>
        <w:t>单位名称（盖章）：</w:t>
      </w:r>
    </w:p>
    <w:p>
      <w:pPr>
        <w:spacing w:line="360" w:lineRule="auto"/>
        <w:ind w:firstLine="3600" w:firstLineChars="1500"/>
        <w:contextualSpacing/>
        <w:rPr>
          <w:rFonts w:ascii="宋体" w:hAnsi="宋体" w:cs="仿宋_GB2312"/>
          <w:color w:val="auto"/>
          <w:sz w:val="24"/>
          <w:highlight w:val="none"/>
        </w:rPr>
      </w:pPr>
      <w:r>
        <w:rPr>
          <w:rFonts w:hint="eastAsia" w:ascii="宋体" w:hAnsi="宋体" w:cs="仿宋_GB2312"/>
          <w:color w:val="auto"/>
          <w:sz w:val="24"/>
          <w:highlight w:val="none"/>
        </w:rPr>
        <w:t>日  期：</w:t>
      </w:r>
    </w:p>
    <w:p>
      <w:pPr>
        <w:spacing w:line="360" w:lineRule="auto"/>
        <w:contextualSpacing/>
        <w:rPr>
          <w:rFonts w:ascii="宋体" w:hAnsi="宋体" w:cs="仿宋_GB2312"/>
          <w:color w:val="auto"/>
          <w:sz w:val="24"/>
          <w:highlight w:val="none"/>
        </w:rPr>
      </w:pPr>
    </w:p>
    <w:p>
      <w:pPr>
        <w:spacing w:line="360" w:lineRule="auto"/>
        <w:contextualSpacing/>
        <w:rPr>
          <w:rFonts w:ascii="宋体" w:hAnsi="宋体" w:cs="仿宋_GB2312"/>
          <w:color w:val="auto"/>
          <w:sz w:val="24"/>
          <w:highlight w:val="none"/>
        </w:rPr>
      </w:pPr>
    </w:p>
    <w:p>
      <w:pPr>
        <w:spacing w:line="360" w:lineRule="auto"/>
        <w:contextualSpacing/>
        <w:rPr>
          <w:rFonts w:ascii="宋体" w:hAnsi="宋体" w:cs="仿宋_GB2312"/>
          <w:color w:val="auto"/>
          <w:sz w:val="24"/>
          <w:highlight w:val="none"/>
        </w:rPr>
      </w:pPr>
    </w:p>
    <w:p>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pPr>
        <w:spacing w:line="360" w:lineRule="auto"/>
        <w:jc w:val="center"/>
        <w:rPr>
          <w:rFonts w:ascii="宋体" w:hAnsi="宋体" w:cs="仿宋_GB2312"/>
          <w:color w:val="auto"/>
          <w:sz w:val="24"/>
          <w:highlight w:val="none"/>
        </w:rPr>
      </w:pPr>
      <w:r>
        <w:rPr>
          <w:rFonts w:ascii="宋体" w:hAnsi="宋体" w:cs="仿宋_GB2312"/>
          <w:color w:val="auto"/>
          <w:sz w:val="24"/>
          <w:highlight w:val="none"/>
        </w:rPr>
        <w:br w:type="page"/>
      </w:r>
    </w:p>
    <w:p>
      <w:pPr>
        <w:spacing w:line="360" w:lineRule="auto"/>
        <w:jc w:val="center"/>
        <w:rPr>
          <w:rFonts w:ascii="宋体" w:hAnsi="宋体"/>
          <w:b/>
          <w:bCs/>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质疑函（格式）</w:t>
      </w:r>
    </w:p>
    <w:p>
      <w:pPr>
        <w:pStyle w:val="16"/>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一、质疑供应商基本信息：</w:t>
      </w:r>
    </w:p>
    <w:p>
      <w:pPr>
        <w:pStyle w:val="16"/>
        <w:spacing w:line="360" w:lineRule="auto"/>
        <w:ind w:firstLine="480" w:firstLineChars="200"/>
        <w:contextualSpacing/>
        <w:rPr>
          <w:rFonts w:hAnsi="宋体"/>
          <w:bCs/>
          <w:color w:val="auto"/>
          <w:sz w:val="24"/>
          <w:szCs w:val="24"/>
          <w:highlight w:val="none"/>
          <w:u w:val="single"/>
        </w:rPr>
      </w:pPr>
      <w:r>
        <w:rPr>
          <w:rFonts w:hint="eastAsia" w:hAnsi="宋体"/>
          <w:bCs/>
          <w:color w:val="auto"/>
          <w:sz w:val="24"/>
          <w:szCs w:val="24"/>
          <w:highlight w:val="none"/>
        </w:rPr>
        <w:t>质疑供应商：</w:t>
      </w:r>
    </w:p>
    <w:p>
      <w:pPr>
        <w:pStyle w:val="16"/>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pPr>
        <w:pStyle w:val="16"/>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Ansi="宋体"/>
          <w:bCs/>
          <w:color w:val="auto"/>
          <w:sz w:val="24"/>
          <w:szCs w:val="24"/>
          <w:highlight w:val="none"/>
        </w:rPr>
        <w:t>联系电话</w:t>
      </w:r>
      <w:r>
        <w:rPr>
          <w:rFonts w:hint="eastAsia" w:hAnsi="宋体"/>
          <w:bCs/>
          <w:color w:val="auto"/>
          <w:sz w:val="24"/>
          <w:szCs w:val="24"/>
          <w:highlight w:val="none"/>
        </w:rPr>
        <w:t>：</w:t>
      </w:r>
    </w:p>
    <w:p>
      <w:pPr>
        <w:pStyle w:val="16"/>
        <w:spacing w:line="360" w:lineRule="auto"/>
        <w:ind w:firstLine="480" w:firstLineChars="200"/>
        <w:contextualSpacing/>
        <w:rPr>
          <w:rFonts w:hAnsi="宋体"/>
          <w:bCs/>
          <w:color w:val="auto"/>
          <w:sz w:val="24"/>
          <w:szCs w:val="24"/>
          <w:highlight w:val="none"/>
        </w:rPr>
      </w:pPr>
      <w:r>
        <w:rPr>
          <w:rFonts w:hint="eastAsia" w:hAnsi="宋体"/>
          <w:bCs/>
          <w:color w:val="auto"/>
          <w:sz w:val="24"/>
          <w:szCs w:val="24"/>
          <w:highlight w:val="none"/>
        </w:rPr>
        <w:t>授权代表：</w:t>
      </w:r>
    </w:p>
    <w:p>
      <w:pPr>
        <w:pStyle w:val="16"/>
        <w:spacing w:line="360" w:lineRule="auto"/>
        <w:ind w:firstLine="480" w:firstLineChars="200"/>
        <w:contextualSpacing/>
        <w:rPr>
          <w:rFonts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p>
    <w:p>
      <w:pPr>
        <w:pStyle w:val="16"/>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pPr>
        <w:pStyle w:val="16"/>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二、质疑项目基本情况：</w:t>
      </w:r>
    </w:p>
    <w:p>
      <w:pPr>
        <w:pStyle w:val="16"/>
        <w:spacing w:line="360" w:lineRule="auto"/>
        <w:ind w:left="25" w:leftChars="12" w:firstLine="472" w:firstLineChars="197"/>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p>
    <w:p>
      <w:pPr>
        <w:pStyle w:val="16"/>
        <w:spacing w:line="360" w:lineRule="auto"/>
        <w:ind w:left="25" w:leftChars="12" w:firstLine="472" w:firstLineChars="197"/>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p>
    <w:p>
      <w:pPr>
        <w:pStyle w:val="16"/>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采购人名称：</w:t>
      </w:r>
    </w:p>
    <w:p>
      <w:pPr>
        <w:pStyle w:val="16"/>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w:t>
      </w:r>
    </w:p>
    <w:p>
      <w:pPr>
        <w:pStyle w:val="16"/>
        <w:spacing w:line="360" w:lineRule="auto"/>
        <w:ind w:left="25" w:leftChars="12" w:firstLine="352" w:firstLineChars="147"/>
        <w:contextualSpacing/>
        <w:rPr>
          <w:rFonts w:hAnsi="宋体"/>
          <w:color w:val="auto"/>
          <w:sz w:val="24"/>
          <w:szCs w:val="24"/>
          <w:highlight w:val="none"/>
        </w:rPr>
      </w:pPr>
      <w:r>
        <w:rPr>
          <w:rFonts w:hint="eastAsia" w:hAnsi="宋体"/>
          <w:color w:val="auto"/>
          <w:sz w:val="24"/>
          <w:szCs w:val="24"/>
          <w:highlight w:val="none"/>
        </w:rPr>
        <w:t>□采购文件   采购文件获取日期：</w:t>
      </w:r>
    </w:p>
    <w:p>
      <w:pPr>
        <w:pStyle w:val="16"/>
        <w:spacing w:line="360" w:lineRule="auto"/>
        <w:ind w:left="25" w:leftChars="12" w:firstLine="352" w:firstLineChars="147"/>
        <w:contextualSpacing/>
        <w:rPr>
          <w:rFonts w:hAnsi="宋体"/>
          <w:color w:val="auto"/>
          <w:sz w:val="24"/>
          <w:szCs w:val="24"/>
          <w:highlight w:val="none"/>
        </w:rPr>
      </w:pPr>
      <w:r>
        <w:rPr>
          <w:rFonts w:hint="eastAsia" w:hAnsi="宋体"/>
          <w:color w:val="auto"/>
          <w:sz w:val="24"/>
          <w:szCs w:val="24"/>
          <w:highlight w:val="none"/>
        </w:rPr>
        <w:t xml:space="preserve">□采购过程   </w:t>
      </w:r>
    </w:p>
    <w:p>
      <w:pPr>
        <w:pStyle w:val="16"/>
        <w:spacing w:line="360" w:lineRule="auto"/>
        <w:ind w:left="25" w:leftChars="12" w:firstLine="352" w:firstLineChars="147"/>
        <w:contextualSpacing/>
        <w:rPr>
          <w:rFonts w:hAnsi="宋体"/>
          <w:bCs/>
          <w:color w:val="auto"/>
          <w:sz w:val="24"/>
          <w:szCs w:val="24"/>
          <w:highlight w:val="none"/>
          <w:u w:val="single"/>
        </w:rPr>
      </w:pPr>
      <w:r>
        <w:rPr>
          <w:rFonts w:hint="eastAsia" w:hAnsi="宋体"/>
          <w:color w:val="auto"/>
          <w:sz w:val="24"/>
          <w:szCs w:val="24"/>
          <w:highlight w:val="none"/>
        </w:rPr>
        <w:t xml:space="preserve">□成交结果   </w:t>
      </w:r>
    </w:p>
    <w:p>
      <w:pPr>
        <w:pStyle w:val="16"/>
        <w:spacing w:line="360" w:lineRule="auto"/>
        <w:ind w:left="25" w:leftChars="12" w:firstLine="472" w:firstLineChars="196"/>
        <w:contextualSpacing/>
        <w:rPr>
          <w:rFonts w:hAnsi="宋体"/>
          <w:b/>
          <w:color w:val="auto"/>
          <w:sz w:val="24"/>
          <w:szCs w:val="24"/>
          <w:highlight w:val="none"/>
        </w:rPr>
      </w:pPr>
      <w:r>
        <w:rPr>
          <w:rFonts w:hint="eastAsia" w:hAnsi="宋体"/>
          <w:b/>
          <w:color w:val="auto"/>
          <w:sz w:val="24"/>
          <w:szCs w:val="24"/>
          <w:highlight w:val="none"/>
        </w:rPr>
        <w:t>三、质疑事项具体内容</w:t>
      </w:r>
    </w:p>
    <w:p>
      <w:pPr>
        <w:pStyle w:val="16"/>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质疑事项1：</w:t>
      </w:r>
    </w:p>
    <w:p>
      <w:pPr>
        <w:pStyle w:val="16"/>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事实依据：</w:t>
      </w:r>
    </w:p>
    <w:p>
      <w:pPr>
        <w:pStyle w:val="16"/>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法律依据：</w:t>
      </w:r>
    </w:p>
    <w:p>
      <w:pPr>
        <w:pStyle w:val="16"/>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质疑事项2</w:t>
      </w:r>
    </w:p>
    <w:p>
      <w:pPr>
        <w:pStyle w:val="16"/>
        <w:spacing w:line="360" w:lineRule="auto"/>
        <w:ind w:left="25" w:leftChars="12" w:firstLine="472" w:firstLineChars="197"/>
        <w:contextualSpacing/>
        <w:rPr>
          <w:rFonts w:hAnsi="宋体"/>
          <w:color w:val="auto"/>
          <w:sz w:val="24"/>
          <w:szCs w:val="24"/>
          <w:highlight w:val="none"/>
        </w:rPr>
      </w:pPr>
      <w:r>
        <w:rPr>
          <w:rFonts w:hAnsi="宋体"/>
          <w:color w:val="auto"/>
          <w:sz w:val="24"/>
          <w:szCs w:val="24"/>
          <w:highlight w:val="none"/>
        </w:rPr>
        <w:t>……</w:t>
      </w:r>
    </w:p>
    <w:p>
      <w:pPr>
        <w:pStyle w:val="16"/>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四、与质疑事项相关的质疑请求：</w:t>
      </w:r>
    </w:p>
    <w:p>
      <w:pPr>
        <w:pStyle w:val="16"/>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请求：</w:t>
      </w:r>
    </w:p>
    <w:p>
      <w:pPr>
        <w:pStyle w:val="16"/>
        <w:spacing w:line="360" w:lineRule="auto"/>
        <w:ind w:left="25" w:leftChars="12" w:firstLine="352" w:firstLineChars="147"/>
        <w:contextualSpacing/>
        <w:rPr>
          <w:rFonts w:hAnsi="宋体"/>
          <w:color w:val="auto"/>
          <w:sz w:val="24"/>
          <w:szCs w:val="24"/>
          <w:highlight w:val="none"/>
        </w:rPr>
      </w:pPr>
    </w:p>
    <w:p>
      <w:pPr>
        <w:pStyle w:val="16"/>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签字（签章）：                                       公章：</w:t>
      </w:r>
    </w:p>
    <w:p>
      <w:pPr>
        <w:pStyle w:val="16"/>
        <w:spacing w:line="360" w:lineRule="auto"/>
        <w:ind w:firstLine="480" w:firstLineChars="200"/>
        <w:contextualSpacing/>
        <w:rPr>
          <w:rFonts w:hAnsi="宋体"/>
          <w:b/>
          <w:color w:val="auto"/>
          <w:sz w:val="24"/>
          <w:szCs w:val="24"/>
          <w:highlight w:val="none"/>
        </w:rPr>
      </w:pPr>
      <w:r>
        <w:rPr>
          <w:rFonts w:hint="eastAsia" w:hAnsi="宋体"/>
          <w:color w:val="auto"/>
          <w:sz w:val="24"/>
          <w:szCs w:val="24"/>
          <w:highlight w:val="none"/>
        </w:rPr>
        <w:t>日期：</w:t>
      </w:r>
    </w:p>
    <w:p>
      <w:pPr>
        <w:pStyle w:val="16"/>
        <w:spacing w:line="360" w:lineRule="auto"/>
        <w:contextualSpacing/>
        <w:rPr>
          <w:rFonts w:hAnsi="宋体"/>
          <w:b/>
          <w:color w:val="auto"/>
          <w:sz w:val="24"/>
          <w:szCs w:val="24"/>
          <w:highlight w:val="none"/>
        </w:rPr>
      </w:pPr>
      <w:r>
        <w:rPr>
          <w:rFonts w:hint="eastAsia" w:hAnsi="宋体"/>
          <w:b/>
          <w:color w:val="auto"/>
          <w:sz w:val="24"/>
          <w:szCs w:val="24"/>
          <w:highlight w:val="none"/>
        </w:rPr>
        <w:t>说明：</w:t>
      </w:r>
    </w:p>
    <w:p>
      <w:pPr>
        <w:pStyle w:val="16"/>
        <w:spacing w:line="360" w:lineRule="auto"/>
        <w:ind w:left="25" w:leftChars="12" w:firstLine="354" w:firstLineChars="147"/>
        <w:contextualSpacing/>
        <w:rPr>
          <w:rFonts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pPr>
        <w:pStyle w:val="16"/>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16"/>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pPr>
        <w:pStyle w:val="16"/>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4.质疑函的质疑请求应与质疑事项相关。</w:t>
      </w:r>
    </w:p>
    <w:p>
      <w:pPr>
        <w:pStyle w:val="16"/>
        <w:spacing w:line="360" w:lineRule="auto"/>
        <w:ind w:left="25" w:leftChars="12" w:firstLine="354" w:firstLineChars="147"/>
        <w:contextualSpacing/>
        <w:rPr>
          <w:rFonts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pPr>
        <w:pStyle w:val="16"/>
        <w:snapToGrid w:val="0"/>
        <w:rPr>
          <w:b/>
          <w:color w:val="auto"/>
          <w:sz w:val="24"/>
          <w:szCs w:val="24"/>
          <w:highlight w:val="none"/>
        </w:rPr>
      </w:pPr>
    </w:p>
    <w:p>
      <w:pPr>
        <w:rPr>
          <w:color w:val="auto"/>
          <w:sz w:val="32"/>
          <w:szCs w:val="40"/>
          <w:highlight w:val="none"/>
        </w:rPr>
      </w:pPr>
    </w:p>
    <w:p>
      <w:pPr>
        <w:rPr>
          <w:color w:val="auto"/>
          <w:sz w:val="32"/>
          <w:szCs w:val="40"/>
          <w:highlight w:val="none"/>
        </w:rPr>
      </w:pPr>
    </w:p>
    <w:p>
      <w:pPr>
        <w:rPr>
          <w:color w:val="auto"/>
          <w:sz w:val="32"/>
          <w:szCs w:val="40"/>
          <w:highlight w:val="none"/>
        </w:rPr>
      </w:pPr>
    </w:p>
    <w:p>
      <w:pPr>
        <w:rPr>
          <w:color w:val="auto"/>
          <w:sz w:val="32"/>
          <w:szCs w:val="40"/>
          <w:highlight w:val="none"/>
        </w:rPr>
      </w:pPr>
    </w:p>
    <w:p>
      <w:pPr>
        <w:rPr>
          <w:color w:val="auto"/>
          <w:sz w:val="32"/>
          <w:szCs w:val="40"/>
          <w:highlight w:val="none"/>
        </w:rPr>
      </w:pPr>
    </w:p>
    <w:p>
      <w:pPr>
        <w:rPr>
          <w:color w:val="auto"/>
          <w:sz w:val="32"/>
          <w:szCs w:val="40"/>
          <w:highlight w:val="none"/>
        </w:rPr>
      </w:pPr>
    </w:p>
    <w:p>
      <w:pPr>
        <w:rPr>
          <w:color w:val="auto"/>
          <w:sz w:val="32"/>
          <w:szCs w:val="40"/>
          <w:highlight w:val="none"/>
        </w:rPr>
      </w:pPr>
    </w:p>
    <w:p>
      <w:pPr>
        <w:rPr>
          <w:color w:val="auto"/>
          <w:sz w:val="32"/>
          <w:szCs w:val="40"/>
          <w:highlight w:val="none"/>
        </w:rPr>
      </w:pPr>
    </w:p>
    <w:p>
      <w:pPr>
        <w:rPr>
          <w:color w:val="auto"/>
          <w:sz w:val="32"/>
          <w:szCs w:val="40"/>
          <w:highlight w:val="none"/>
        </w:rPr>
      </w:pPr>
    </w:p>
    <w:p>
      <w:pPr>
        <w:rPr>
          <w:color w:val="auto"/>
          <w:sz w:val="32"/>
          <w:szCs w:val="40"/>
          <w:highlight w:val="none"/>
        </w:rPr>
      </w:pPr>
    </w:p>
    <w:p>
      <w:pPr>
        <w:rPr>
          <w:color w:val="auto"/>
          <w:sz w:val="32"/>
          <w:szCs w:val="40"/>
          <w:highlight w:val="none"/>
        </w:rPr>
      </w:pPr>
    </w:p>
    <w:p>
      <w:pPr>
        <w:rPr>
          <w:color w:val="auto"/>
          <w:sz w:val="32"/>
          <w:szCs w:val="40"/>
          <w:highlight w:val="none"/>
        </w:rPr>
      </w:pPr>
    </w:p>
    <w:p>
      <w:pPr>
        <w:rPr>
          <w:color w:val="auto"/>
          <w:sz w:val="32"/>
          <w:szCs w:val="40"/>
          <w:highlight w:val="none"/>
        </w:rPr>
      </w:pPr>
    </w:p>
    <w:p>
      <w:pPr>
        <w:rPr>
          <w:color w:val="auto"/>
          <w:sz w:val="32"/>
          <w:szCs w:val="40"/>
          <w:highlight w:val="none"/>
        </w:rPr>
      </w:pPr>
    </w:p>
    <w:p>
      <w:pPr>
        <w:spacing w:line="360" w:lineRule="auto"/>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投诉书（格式）</w:t>
      </w:r>
    </w:p>
    <w:p>
      <w:pPr>
        <w:pStyle w:val="16"/>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pPr>
        <w:pStyle w:val="16"/>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供应商：</w:t>
      </w:r>
    </w:p>
    <w:p>
      <w:pPr>
        <w:pStyle w:val="16"/>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pPr>
        <w:pStyle w:val="16"/>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法定代表人/主要负责人：</w:t>
      </w:r>
    </w:p>
    <w:p>
      <w:pPr>
        <w:pStyle w:val="16"/>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p>
    <w:p>
      <w:pPr>
        <w:pStyle w:val="16"/>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授权代表：</w:t>
      </w:r>
      <w:r>
        <w:rPr>
          <w:rFonts w:hAnsi="宋体"/>
          <w:bCs/>
          <w:color w:val="auto"/>
          <w:sz w:val="24"/>
          <w:szCs w:val="24"/>
          <w:highlight w:val="none"/>
        </w:rPr>
        <w:t>联系</w:t>
      </w:r>
      <w:r>
        <w:rPr>
          <w:rFonts w:hint="eastAsia" w:hAnsi="宋体"/>
          <w:bCs/>
          <w:color w:val="auto"/>
          <w:sz w:val="24"/>
          <w:szCs w:val="24"/>
          <w:highlight w:val="none"/>
        </w:rPr>
        <w:t>电话：</w:t>
      </w:r>
    </w:p>
    <w:p>
      <w:pPr>
        <w:pStyle w:val="16"/>
        <w:snapToGrid w:val="0"/>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p>
    <w:p>
      <w:pPr>
        <w:pStyle w:val="16"/>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p>
    <w:p>
      <w:pPr>
        <w:pStyle w:val="16"/>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被投诉人1：</w:t>
      </w:r>
    </w:p>
    <w:p>
      <w:pPr>
        <w:pStyle w:val="16"/>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地址：</w:t>
      </w:r>
    </w:p>
    <w:p>
      <w:pPr>
        <w:pStyle w:val="16"/>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p>
    <w:p>
      <w:pPr>
        <w:pStyle w:val="16"/>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联系人：</w:t>
      </w:r>
      <w:r>
        <w:rPr>
          <w:rFonts w:hAnsi="宋体"/>
          <w:bCs/>
          <w:color w:val="auto"/>
          <w:sz w:val="24"/>
          <w:szCs w:val="24"/>
          <w:highlight w:val="none"/>
        </w:rPr>
        <w:t>联系</w:t>
      </w:r>
      <w:r>
        <w:rPr>
          <w:rFonts w:hint="eastAsia" w:hAnsi="宋体"/>
          <w:bCs/>
          <w:color w:val="auto"/>
          <w:sz w:val="24"/>
          <w:szCs w:val="24"/>
          <w:highlight w:val="none"/>
        </w:rPr>
        <w:t>电话：</w:t>
      </w:r>
    </w:p>
    <w:p>
      <w:pPr>
        <w:pStyle w:val="16"/>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被投诉人2：</w:t>
      </w:r>
    </w:p>
    <w:p>
      <w:pPr>
        <w:pStyle w:val="16"/>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w:t>
      </w:r>
    </w:p>
    <w:p>
      <w:pPr>
        <w:pStyle w:val="16"/>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相关供应商：</w:t>
      </w:r>
    </w:p>
    <w:p>
      <w:pPr>
        <w:pStyle w:val="16"/>
        <w:snapToGrid w:val="0"/>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pPr>
        <w:pStyle w:val="16"/>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联系人：</w:t>
      </w:r>
      <w:r>
        <w:rPr>
          <w:rFonts w:hAnsi="宋体"/>
          <w:bCs/>
          <w:color w:val="auto"/>
          <w:sz w:val="24"/>
          <w:szCs w:val="24"/>
          <w:highlight w:val="none"/>
        </w:rPr>
        <w:t>联系</w:t>
      </w:r>
      <w:r>
        <w:rPr>
          <w:rFonts w:hint="eastAsia" w:hAnsi="宋体"/>
          <w:bCs/>
          <w:color w:val="auto"/>
          <w:sz w:val="24"/>
          <w:szCs w:val="24"/>
          <w:highlight w:val="none"/>
        </w:rPr>
        <w:t>电话：</w:t>
      </w:r>
    </w:p>
    <w:p>
      <w:pPr>
        <w:pStyle w:val="16"/>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二、投诉项目基本情况：</w:t>
      </w:r>
    </w:p>
    <w:p>
      <w:pPr>
        <w:pStyle w:val="16"/>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p>
    <w:p>
      <w:pPr>
        <w:pStyle w:val="16"/>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p>
    <w:p>
      <w:pPr>
        <w:pStyle w:val="16"/>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采购人名称：</w:t>
      </w:r>
    </w:p>
    <w:p>
      <w:pPr>
        <w:pStyle w:val="16"/>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代理机构名称：</w:t>
      </w:r>
    </w:p>
    <w:p>
      <w:pPr>
        <w:pStyle w:val="16"/>
        <w:spacing w:line="360" w:lineRule="auto"/>
        <w:ind w:left="25" w:leftChars="12" w:firstLine="472" w:firstLineChars="197"/>
        <w:rPr>
          <w:rFonts w:hAnsi="宋体"/>
          <w:bCs/>
          <w:color w:val="auto"/>
          <w:sz w:val="24"/>
          <w:szCs w:val="24"/>
          <w:highlight w:val="none"/>
          <w:u w:val="single"/>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p>
    <w:p>
      <w:pPr>
        <w:pStyle w:val="16"/>
        <w:spacing w:line="360" w:lineRule="auto"/>
        <w:ind w:left="25" w:leftChars="12" w:firstLine="472" w:firstLineChars="197"/>
        <w:rPr>
          <w:rFonts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p>
    <w:p>
      <w:pPr>
        <w:pStyle w:val="16"/>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三、质疑基本情况</w:t>
      </w:r>
    </w:p>
    <w:p>
      <w:pPr>
        <w:pStyle w:val="16"/>
        <w:spacing w:line="360" w:lineRule="auto"/>
        <w:ind w:firstLine="480" w:firstLineChars="200"/>
        <w:rPr>
          <w:rFonts w:hAnsi="宋体"/>
          <w:color w:val="auto"/>
          <w:sz w:val="24"/>
          <w:szCs w:val="24"/>
          <w:highlight w:val="none"/>
        </w:rPr>
      </w:pPr>
      <w:r>
        <w:rPr>
          <w:rFonts w:hint="eastAsia" w:hAnsi="宋体"/>
          <w:color w:val="auto"/>
          <w:sz w:val="24"/>
          <w:szCs w:val="24"/>
          <w:highlight w:val="none"/>
        </w:rPr>
        <w:t>投诉人于年月日，向提出质疑，质疑事项为：</w:t>
      </w:r>
    </w:p>
    <w:p>
      <w:pPr>
        <w:pStyle w:val="16"/>
        <w:spacing w:line="360" w:lineRule="auto"/>
        <w:ind w:firstLine="241"/>
        <w:rPr>
          <w:rFonts w:hAnsi="宋体"/>
          <w:bCs/>
          <w:color w:val="auto"/>
          <w:sz w:val="24"/>
          <w:szCs w:val="24"/>
          <w:highlight w:val="none"/>
          <w:u w:val="single"/>
        </w:rPr>
      </w:pPr>
    </w:p>
    <w:p>
      <w:pPr>
        <w:pStyle w:val="16"/>
        <w:spacing w:line="360" w:lineRule="auto"/>
        <w:ind w:firstLine="241"/>
        <w:rPr>
          <w:rFonts w:hAnsi="宋体"/>
          <w:bCs/>
          <w:color w:val="auto"/>
          <w:sz w:val="24"/>
          <w:szCs w:val="24"/>
          <w:highlight w:val="none"/>
          <w:u w:val="single"/>
        </w:rPr>
      </w:pPr>
    </w:p>
    <w:p>
      <w:pPr>
        <w:pStyle w:val="16"/>
        <w:spacing w:line="360" w:lineRule="auto"/>
        <w:ind w:firstLine="480" w:firstLineChars="200"/>
        <w:rPr>
          <w:rFonts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rPr>
        <w:t>年月日，</w:t>
      </w:r>
      <w:r>
        <w:rPr>
          <w:rFonts w:hint="eastAsia" w:hAnsi="宋体"/>
          <w:bCs/>
          <w:color w:val="auto"/>
          <w:sz w:val="24"/>
          <w:szCs w:val="24"/>
          <w:highlight w:val="none"/>
        </w:rPr>
        <w:t xml:space="preserve">就质疑事项作出了答复/没有在法定期限内作出答复。                                                                                             </w:t>
      </w:r>
    </w:p>
    <w:p>
      <w:pPr>
        <w:pStyle w:val="16"/>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四、投诉事项具体内容</w:t>
      </w:r>
    </w:p>
    <w:p>
      <w:pPr>
        <w:pStyle w:val="16"/>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投诉事项1：</w:t>
      </w:r>
    </w:p>
    <w:p>
      <w:pPr>
        <w:pStyle w:val="16"/>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事实依据：</w:t>
      </w:r>
    </w:p>
    <w:p>
      <w:pPr>
        <w:pStyle w:val="16"/>
        <w:spacing w:line="360" w:lineRule="auto"/>
        <w:ind w:left="25" w:leftChars="12" w:firstLine="472" w:firstLineChars="197"/>
        <w:rPr>
          <w:rFonts w:hAnsi="宋体"/>
          <w:color w:val="auto"/>
          <w:sz w:val="24"/>
          <w:szCs w:val="24"/>
          <w:highlight w:val="none"/>
        </w:rPr>
      </w:pPr>
    </w:p>
    <w:p>
      <w:pPr>
        <w:pStyle w:val="16"/>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法律依据：</w:t>
      </w:r>
    </w:p>
    <w:p>
      <w:pPr>
        <w:pStyle w:val="16"/>
        <w:spacing w:line="360" w:lineRule="auto"/>
        <w:ind w:left="25" w:leftChars="12" w:firstLine="352" w:firstLineChars="147"/>
        <w:rPr>
          <w:rFonts w:hAnsi="宋体"/>
          <w:bCs/>
          <w:color w:val="auto"/>
          <w:sz w:val="24"/>
          <w:szCs w:val="24"/>
          <w:highlight w:val="none"/>
          <w:u w:val="single"/>
        </w:rPr>
      </w:pPr>
    </w:p>
    <w:p>
      <w:pPr>
        <w:pStyle w:val="16"/>
        <w:spacing w:line="360" w:lineRule="auto"/>
        <w:ind w:left="25" w:leftChars="12" w:firstLine="472" w:firstLineChars="197"/>
        <w:rPr>
          <w:rFonts w:hAnsi="宋体"/>
          <w:bCs/>
          <w:color w:val="auto"/>
          <w:sz w:val="24"/>
          <w:szCs w:val="24"/>
          <w:highlight w:val="none"/>
        </w:rPr>
      </w:pPr>
      <w:r>
        <w:rPr>
          <w:rFonts w:hint="eastAsia" w:hAnsi="宋体"/>
          <w:color w:val="auto"/>
          <w:sz w:val="24"/>
          <w:szCs w:val="24"/>
          <w:highlight w:val="none"/>
        </w:rPr>
        <w:t xml:space="preserve">投诉事项2  </w:t>
      </w:r>
    </w:p>
    <w:p>
      <w:pPr>
        <w:pStyle w:val="16"/>
        <w:spacing w:line="360" w:lineRule="auto"/>
        <w:ind w:left="25" w:leftChars="12" w:firstLine="472" w:firstLineChars="197"/>
        <w:rPr>
          <w:rFonts w:hAnsi="宋体"/>
          <w:bCs/>
          <w:color w:val="auto"/>
          <w:sz w:val="24"/>
          <w:szCs w:val="24"/>
          <w:highlight w:val="none"/>
        </w:rPr>
      </w:pPr>
      <w:r>
        <w:rPr>
          <w:rFonts w:hAnsi="宋体"/>
          <w:bCs/>
          <w:color w:val="auto"/>
          <w:sz w:val="24"/>
          <w:szCs w:val="24"/>
          <w:highlight w:val="none"/>
        </w:rPr>
        <w:t>……</w:t>
      </w:r>
    </w:p>
    <w:p>
      <w:pPr>
        <w:pStyle w:val="16"/>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五、与投诉事项相关的投诉请求：</w:t>
      </w:r>
    </w:p>
    <w:p>
      <w:pPr>
        <w:pStyle w:val="16"/>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请求：</w:t>
      </w:r>
    </w:p>
    <w:p>
      <w:pPr>
        <w:pStyle w:val="16"/>
        <w:spacing w:line="360" w:lineRule="auto"/>
        <w:ind w:left="25" w:leftChars="12" w:firstLine="352" w:firstLineChars="147"/>
        <w:rPr>
          <w:rFonts w:hAnsi="宋体"/>
          <w:color w:val="auto"/>
          <w:sz w:val="24"/>
          <w:szCs w:val="24"/>
          <w:highlight w:val="none"/>
        </w:rPr>
      </w:pPr>
    </w:p>
    <w:p>
      <w:pPr>
        <w:pStyle w:val="16"/>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签字（签章）：                                       公章：</w:t>
      </w:r>
    </w:p>
    <w:p>
      <w:pPr>
        <w:pStyle w:val="16"/>
        <w:spacing w:line="360" w:lineRule="auto"/>
        <w:ind w:left="25" w:leftChars="12" w:firstLine="352" w:firstLineChars="147"/>
        <w:rPr>
          <w:rFonts w:hAnsi="宋体"/>
          <w:color w:val="auto"/>
          <w:sz w:val="24"/>
          <w:szCs w:val="24"/>
          <w:highlight w:val="none"/>
        </w:rPr>
      </w:pPr>
    </w:p>
    <w:p>
      <w:pPr>
        <w:pStyle w:val="16"/>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日期：</w:t>
      </w:r>
    </w:p>
    <w:p>
      <w:pPr>
        <w:pStyle w:val="16"/>
        <w:spacing w:line="360" w:lineRule="auto"/>
        <w:ind w:left="25" w:leftChars="12" w:firstLine="475" w:firstLineChars="197"/>
        <w:rPr>
          <w:rFonts w:hAnsi="宋体"/>
          <w:b/>
          <w:color w:val="auto"/>
          <w:sz w:val="24"/>
          <w:szCs w:val="24"/>
          <w:highlight w:val="none"/>
        </w:rPr>
      </w:pPr>
    </w:p>
    <w:p>
      <w:pPr>
        <w:pStyle w:val="16"/>
        <w:snapToGrid w:val="0"/>
        <w:spacing w:line="360" w:lineRule="auto"/>
        <w:rPr>
          <w:rFonts w:hAnsi="宋体"/>
          <w:b/>
          <w:color w:val="auto"/>
          <w:sz w:val="24"/>
          <w:szCs w:val="24"/>
          <w:highlight w:val="none"/>
        </w:rPr>
      </w:pPr>
      <w:r>
        <w:rPr>
          <w:rFonts w:hint="eastAsia" w:hAnsi="宋体"/>
          <w:b/>
          <w:color w:val="auto"/>
          <w:sz w:val="24"/>
          <w:szCs w:val="24"/>
          <w:highlight w:val="none"/>
        </w:rPr>
        <w:t>说明：</w:t>
      </w:r>
    </w:p>
    <w:p>
      <w:pPr>
        <w:pStyle w:val="16"/>
        <w:spacing w:line="360" w:lineRule="auto"/>
        <w:ind w:left="25" w:leftChars="12" w:firstLine="354" w:firstLineChars="147"/>
        <w:rPr>
          <w:rFonts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pPr>
        <w:pStyle w:val="16"/>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pPr>
        <w:pStyle w:val="16"/>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pPr>
        <w:pStyle w:val="16"/>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pPr>
        <w:pStyle w:val="16"/>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5.投诉书的投诉请求应与投诉事项相关。</w:t>
      </w:r>
    </w:p>
    <w:p>
      <w:pPr>
        <w:pStyle w:val="16"/>
        <w:spacing w:line="360" w:lineRule="auto"/>
        <w:ind w:left="25" w:leftChars="12" w:firstLine="354" w:firstLineChars="147"/>
        <w:rPr>
          <w:rFonts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pPr>
        <w:pStyle w:val="3"/>
        <w:jc w:val="center"/>
        <w:rPr>
          <w:color w:val="auto"/>
          <w:highlight w:val="none"/>
        </w:rPr>
      </w:pPr>
      <w:bookmarkStart w:id="253" w:name="_Toc74323461"/>
      <w:r>
        <w:rPr>
          <w:rFonts w:hint="eastAsia"/>
          <w:color w:val="auto"/>
          <w:highlight w:val="none"/>
        </w:rPr>
        <w:t>第六章合同文本</w:t>
      </w:r>
      <w:bookmarkEnd w:id="253"/>
    </w:p>
    <w:p>
      <w:pPr>
        <w:spacing w:line="520" w:lineRule="exact"/>
        <w:rPr>
          <w:rFonts w:ascii="宋体" w:hAnsi="宋体" w:cs="Courier New"/>
          <w:b/>
          <w:color w:val="auto"/>
          <w:sz w:val="32"/>
          <w:szCs w:val="32"/>
          <w:highlight w:val="none"/>
        </w:rPr>
      </w:pPr>
    </w:p>
    <w:p>
      <w:pPr>
        <w:spacing w:line="360" w:lineRule="auto"/>
        <w:ind w:right="800"/>
        <w:rPr>
          <w:rFonts w:ascii="宋体" w:hAnsi="宋体" w:cs="宋体"/>
          <w:bCs/>
          <w:color w:val="auto"/>
          <w:szCs w:val="21"/>
          <w:highlight w:val="none"/>
          <w:u w:val="single"/>
        </w:rPr>
      </w:pPr>
      <w:r>
        <w:rPr>
          <w:rFonts w:hint="eastAsia" w:ascii="宋体" w:hAnsi="宋体" w:cs="宋体"/>
          <w:color w:val="auto"/>
          <w:szCs w:val="21"/>
          <w:highlight w:val="none"/>
        </w:rPr>
        <w:t>采购计划号：</w:t>
      </w:r>
      <w:r>
        <w:rPr>
          <w:rFonts w:hint="eastAsia" w:ascii="宋体" w:hAnsi="宋体" w:cs="宋体"/>
          <w:bCs/>
          <w:color w:val="auto"/>
          <w:szCs w:val="21"/>
          <w:highlight w:val="none"/>
        </w:rPr>
        <w:t>合同编号：</w:t>
      </w:r>
    </w:p>
    <w:p>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采购人（甲方）：   供应商（乙方）：</w:t>
      </w:r>
    </w:p>
    <w:p>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项目名称：项目编号：</w:t>
      </w:r>
    </w:p>
    <w:p>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签订地点：   签订时间：</w:t>
      </w:r>
    </w:p>
    <w:p>
      <w:pPr>
        <w:spacing w:line="360" w:lineRule="auto"/>
        <w:rPr>
          <w:rFonts w:ascii="宋体" w:hAnsi="宋体" w:cs="宋体"/>
          <w:color w:val="auto"/>
          <w:szCs w:val="21"/>
          <w:highlight w:val="none"/>
        </w:rPr>
      </w:pPr>
      <w:r>
        <w:rPr>
          <w:rFonts w:hint="eastAsia" w:ascii="宋体" w:hAnsi="宋体" w:cs="宋体"/>
          <w:color w:val="auto"/>
          <w:szCs w:val="21"/>
          <w:highlight w:val="none"/>
        </w:rPr>
        <w:t>本合同为中小企业预留合同：</w:t>
      </w:r>
      <w:r>
        <w:rPr>
          <w:rFonts w:hint="eastAsia" w:ascii="宋体" w:hAnsi="宋体" w:cs="宋体"/>
          <w:color w:val="auto"/>
          <w:szCs w:val="21"/>
          <w:highlight w:val="none"/>
          <w:u w:val="single"/>
        </w:rPr>
        <w:t>（是/否）</w:t>
      </w:r>
      <w:r>
        <w:rPr>
          <w:rFonts w:hint="eastAsia" w:ascii="宋体" w:hAnsi="宋体" w:cs="宋体"/>
          <w:color w:val="auto"/>
          <w:szCs w:val="21"/>
          <w:highlight w:val="none"/>
        </w:rPr>
        <w:t>。</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根据《中华人民共和国政府采购法》、《中华人民共和国民法典》等法律、法规规定，按照</w:t>
      </w:r>
      <w:r>
        <w:rPr>
          <w:rFonts w:hint="eastAsia" w:ascii="宋体" w:hAnsi="宋体"/>
          <w:color w:val="auto"/>
          <w:szCs w:val="21"/>
          <w:highlight w:val="none"/>
        </w:rPr>
        <w:t>磋商文件规定条款和乙方响应文件及其承诺，甲乙双方签订本合同。</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第一条　合同标的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1、项目一览表</w:t>
      </w:r>
    </w:p>
    <w:tbl>
      <w:tblPr>
        <w:tblStyle w:val="25"/>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1320"/>
        <w:gridCol w:w="1200"/>
        <w:gridCol w:w="1300"/>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2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名称</w:t>
            </w:r>
          </w:p>
        </w:tc>
        <w:tc>
          <w:tcPr>
            <w:tcW w:w="24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服务内容</w:t>
            </w:r>
          </w:p>
        </w:tc>
        <w:tc>
          <w:tcPr>
            <w:tcW w:w="13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  量</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  价</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（元）</w:t>
            </w:r>
          </w:p>
        </w:tc>
        <w:tc>
          <w:tcPr>
            <w:tcW w:w="12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总 价</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2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24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3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3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2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详见报价表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人民币合计金额（大写）：元整（¥）              </w:t>
            </w:r>
          </w:p>
        </w:tc>
      </w:tr>
    </w:tbl>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2、合同合计金额包括但不限于满足本次竞标全部采购需求所应提供的服务，以及伴随的货物和工程（如有）的价格；包含完成本项目服务所需的人工、设备配置、利润和税金等所有费用。</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第二条　质量保证</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乙方所提供的服务及服务内容必须与响应文件承诺相一致，有国家强制性标准的，还必须符合国家强制性标准的规定，没有国家强制性标准但有其他强制性标准的，必须符合其他强制性标准的规定。</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第三条　权利保证</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1、乙方应保证所提供服务在使用时不会侵犯任何第三方的专利权、商标权、工业设计权等知识产权及其他合法权利，且所有权、处分权等没有受到任何限制。</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第四条　交付和验收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1、服务期限：</w:t>
      </w:r>
      <w:r>
        <w:rPr>
          <w:rFonts w:hint="eastAsia" w:ascii="宋体" w:hAnsi="宋体" w:cs="宋体"/>
          <w:color w:val="auto"/>
          <w:szCs w:val="21"/>
          <w:highlight w:val="none"/>
          <w:u w:val="single"/>
        </w:rPr>
        <w:t>起至</w:t>
      </w:r>
      <w:r>
        <w:rPr>
          <w:rFonts w:hint="eastAsia" w:ascii="宋体" w:hAnsi="宋体" w:cs="宋体"/>
          <w:color w:val="auto"/>
          <w:szCs w:val="21"/>
          <w:highlight w:val="none"/>
        </w:rPr>
        <w:t>，服务地点：。</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2、乙方应按响应文件的承诺向甲方提供相应的服务，并提供所服务内容的相关技术资料。</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3、乙方提供不符合响应文件和本合同规定的服务成果，甲方有权拒绝接受。</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乙方完成服务后应及时书面通知甲方进行验收，甲方应在收到通知后七个工作日内进行验收，逾期不开始验收的，乙方可视同验收合格。验收合格后由甲乙双方签署验收单并加盖采购人公章，甲乙双方各执一份。</w:t>
      </w:r>
    </w:p>
    <w:p>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5、甲乙双方应按照《</w:t>
      </w:r>
      <w:r>
        <w:rPr>
          <w:rFonts w:ascii="宋体" w:hAnsi="宋体" w:cs="宋体"/>
          <w:color w:val="auto"/>
          <w:szCs w:val="21"/>
          <w:highlight w:val="none"/>
        </w:rPr>
        <w:t>广西壮族自治区政府采购项目履约验收管理办法</w:t>
      </w:r>
      <w:r>
        <w:rPr>
          <w:rFonts w:hint="eastAsia" w:ascii="宋体" w:hAnsi="宋体" w:cs="宋体"/>
          <w:color w:val="auto"/>
          <w:szCs w:val="21"/>
          <w:highlight w:val="none"/>
        </w:rPr>
        <w:t>》、双方合同、响应文件验收。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6、甲方在初步验收或者最终验收过程中如发现乙方提供的服务成果不满足响应文件及本合同规定的，可暂缓向乙方付款，直到乙方及时完善并提交相应的服务成果且经甲方验收合格后，方可办理付款。</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7、甲方验收时以书面形式提出异议的，乙方应自收到甲方书面异议后五个工作日内及时予以解决，否则甲方有权不出具服务验收合格单。</w:t>
      </w:r>
    </w:p>
    <w:p>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第五条  售后服务及培训</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1、乙方应按照国家有关法律法规和本合同所附的《售后服务承诺》要求为甲方提供相应的售后服务。</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2、甲方应提供必要测试条件（如场地、电源、水源等）。</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3、乙方负责甲方有关人员的培训。培训时间、地点：</w:t>
      </w:r>
      <w:r>
        <w:rPr>
          <w:rFonts w:hint="eastAsia" w:ascii="宋体" w:hAnsi="宋体" w:cs="宋体"/>
          <w:color w:val="auto"/>
          <w:szCs w:val="21"/>
          <w:highlight w:val="none"/>
          <w:u w:val="single"/>
        </w:rPr>
        <w:t>无</w:t>
      </w:r>
      <w:r>
        <w:rPr>
          <w:rFonts w:hint="eastAsia" w:ascii="宋体" w:hAnsi="宋体" w:cs="宋体"/>
          <w:color w:val="auto"/>
          <w:szCs w:val="21"/>
          <w:highlight w:val="none"/>
        </w:rPr>
        <w:t>。</w:t>
      </w:r>
    </w:p>
    <w:p>
      <w:pPr>
        <w:snapToGrid w:val="0"/>
        <w:spacing w:line="360" w:lineRule="auto"/>
        <w:ind w:firstLine="422" w:firstLineChars="200"/>
        <w:rPr>
          <w:rFonts w:ascii="宋体" w:hAnsi="宋体" w:cs="宋体"/>
          <w:color w:val="auto"/>
          <w:szCs w:val="21"/>
          <w:highlight w:val="none"/>
          <w:u w:val="single"/>
        </w:rPr>
      </w:pPr>
      <w:r>
        <w:rPr>
          <w:rFonts w:hint="eastAsia" w:ascii="宋体" w:hAnsi="宋体" w:cs="宋体"/>
          <w:b/>
          <w:color w:val="auto"/>
          <w:szCs w:val="21"/>
          <w:highlight w:val="none"/>
        </w:rPr>
        <w:t>第六条　付款方式</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付款方式：</w:t>
      </w:r>
    </w:p>
    <w:p>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第七条　履约保证金</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履约保证金金额：按合同金额的</w:t>
      </w:r>
      <w:r>
        <w:rPr>
          <w:rFonts w:ascii="宋体" w:hAnsi="宋体" w:cs="宋体"/>
          <w:color w:val="auto"/>
          <w:szCs w:val="21"/>
          <w:highlight w:val="none"/>
          <w:u w:val="single"/>
        </w:rPr>
        <w:t xml:space="preserve">5 </w:t>
      </w:r>
      <w:r>
        <w:rPr>
          <w:rFonts w:hint="eastAsia" w:ascii="宋体" w:hAnsi="宋体" w:cs="宋体"/>
          <w:color w:val="auto"/>
          <w:szCs w:val="21"/>
          <w:highlight w:val="none"/>
        </w:rPr>
        <w:t>%。</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第八条  税费</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本合同执行中相关的一切税费均由乙方负担，合同另有约定的除外。</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第九条　违约责任</w:t>
      </w:r>
    </w:p>
    <w:p>
      <w:pPr>
        <w:snapToGrid w:val="0"/>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1、除不可抗力原因外，乙方没有按照合同规定的时间提供服务的，甲方可要求乙方支付违约金。每推迟一天按合同金额的3‰支付违约金，该违约金累计不超过合同金额的10%。</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2、乙方提供的服务如侵犯了第三方合法权益而引发的任何纠纷或者诉讼，均由乙方负责交涉并承担全部责任。</w:t>
      </w:r>
    </w:p>
    <w:p>
      <w:pPr>
        <w:snapToGrid w:val="0"/>
        <w:spacing w:line="360" w:lineRule="auto"/>
        <w:ind w:firstLine="420" w:firstLineChars="200"/>
        <w:rPr>
          <w:rFonts w:ascii="宋体" w:hAnsi="宋体" w:cs="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、甲方延期付款的，每天向乙方偿付延期款额3‰滞纳金，但滞纳金累计不得超过延期款额5%。</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第十条  不可抗力事件处理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1、在合同有效期内，任何一方因不可抗力事件导致不能履行合同，则合同履行期可延长，其延长期与不可抗力影响期相同。</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2、不可抗力事件发生后，应立即通知对方，并寄送有关权威机构出具的证明。</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3、不可抗力事件延续一百二十天以上，双方应通过友好协商，确定是否继续履行合同。</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第十一条  合同争议解决</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1、因服务质量问题发生争议的，应邀请国家认可的质量检测机构进行鉴定。服务符合标准的，鉴定费由甲方承担；服务不符合标准的，鉴定费由乙方承担。</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2、因履行本合同引起的或者与本合同有关的争议，甲乙双方应首先通过友好协商解决，如果协商不能解决，可向甲方所在地有管辖权的人民法院提起诉讼。</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3、诉讼期间，本合同继续履行。</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第十二条  合同生效及其它</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1、合同经双方法定代表人或者授权代表签字并加盖单位公章后生效（委托代理人签字的需后附授权委托书，格式自拟）。</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2、合同执行中涉及采购资金和采购内容修改或者补充的，须经财政部门审批，并签书面补充协议报财政部门备案，方可作为主合同不可分割的一部分。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3、本合同未尽事宜，遵照《中华人民共和国民法典》有关条文执行。</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第十三条　合同的变更、终止与转让</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1、除《中华人民共和国政府采购法》第五十条规定的情形外，本合同一经签订，甲乙双方不得擅自变更、中止或者终止。</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2、乙方不得擅自转让其应履行的合同义务。</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第十四条　签订本合同依据</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olor w:val="auto"/>
          <w:szCs w:val="21"/>
          <w:highlight w:val="none"/>
        </w:rPr>
        <w:t>成交通知书</w:t>
      </w:r>
      <w:r>
        <w:rPr>
          <w:rFonts w:hint="eastAsia" w:ascii="宋体" w:hAnsi="宋体" w:cs="宋体"/>
          <w:color w:val="auto"/>
          <w:szCs w:val="21"/>
          <w:highlight w:val="none"/>
        </w:rPr>
        <w:t>；</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2、磋商报价表；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3、商务要求偏离表和技术要求偏离表；</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、服务方案；</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5、响应文件中的其他相关文件。</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、上述合同文件互相补充和解释。如果合同文件之间存在矛盾或者不一致之处，以上述文件的排列顺序在先者为准。</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第十五条　</w:t>
      </w:r>
      <w:r>
        <w:rPr>
          <w:rFonts w:hint="eastAsia" w:ascii="宋体" w:hAnsi="宋体" w:cs="宋体"/>
          <w:color w:val="auto"/>
          <w:szCs w:val="21"/>
          <w:highlight w:val="none"/>
        </w:rPr>
        <w:t>本合同一式六份，具有同等法律效力，采购代理机构一份，甲方三份，乙方二份。</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本合同自签订之日起2个工作日内，甲方应当将采购合同在广西壮族自治区财政厅指定的媒体上公告。</w:t>
      </w:r>
    </w:p>
    <w:tbl>
      <w:tblPr>
        <w:tblStyle w:val="25"/>
        <w:tblpPr w:leftFromText="180" w:rightFromText="180" w:vertAnchor="text" w:horzAnchor="margin" w:tblpY="214"/>
        <w:tblW w:w="9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0" w:hRule="atLeast"/>
        </w:trPr>
        <w:tc>
          <w:tcPr>
            <w:tcW w:w="458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甲方：（章）</w:t>
            </w:r>
          </w:p>
          <w:p>
            <w:pPr>
              <w:snapToGrid w:val="0"/>
              <w:spacing w:line="360" w:lineRule="auto"/>
              <w:rPr>
                <w:rFonts w:ascii="宋体" w:hAnsi="宋体" w:cs="宋体"/>
                <w:color w:val="auto"/>
                <w:szCs w:val="21"/>
                <w:highlight w:val="none"/>
              </w:rPr>
            </w:pPr>
          </w:p>
          <w:p>
            <w:pPr>
              <w:snapToGrid w:val="0"/>
              <w:spacing w:line="360" w:lineRule="auto"/>
              <w:rPr>
                <w:rFonts w:ascii="宋体" w:hAnsi="宋体" w:cs="宋体"/>
                <w:color w:val="auto"/>
                <w:szCs w:val="21"/>
                <w:highlight w:val="none"/>
              </w:rPr>
            </w:pPr>
          </w:p>
          <w:p>
            <w:pPr>
              <w:snapToGrid w:val="0"/>
              <w:spacing w:line="360" w:lineRule="auto"/>
              <w:ind w:firstLine="945" w:firstLineChars="450"/>
              <w:jc w:val="right"/>
              <w:rPr>
                <w:rFonts w:ascii="宋体" w:hAnsi="宋体" w:cs="宋体"/>
                <w:color w:val="auto"/>
                <w:szCs w:val="21"/>
                <w:highlight w:val="none"/>
              </w:rPr>
            </w:pPr>
          </w:p>
          <w:p>
            <w:pPr>
              <w:snapToGrid w:val="0"/>
              <w:spacing w:line="360" w:lineRule="auto"/>
              <w:ind w:firstLine="945" w:firstLineChars="450"/>
              <w:jc w:val="right"/>
              <w:rPr>
                <w:rFonts w:ascii="宋体" w:hAnsi="宋体" w:cs="宋体"/>
                <w:color w:val="auto"/>
                <w:szCs w:val="21"/>
                <w:highlight w:val="none"/>
              </w:rPr>
            </w:pPr>
            <w:r>
              <w:rPr>
                <w:rFonts w:hint="eastAsia" w:ascii="宋体" w:hAnsi="宋体" w:cs="宋体"/>
                <w:color w:val="auto"/>
                <w:szCs w:val="21"/>
                <w:highlight w:val="none"/>
              </w:rPr>
              <w:t>年   月   日</w:t>
            </w:r>
          </w:p>
        </w:tc>
        <w:tc>
          <w:tcPr>
            <w:tcW w:w="458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乙方：（章）       </w:t>
            </w:r>
          </w:p>
          <w:p>
            <w:pPr>
              <w:snapToGrid w:val="0"/>
              <w:spacing w:line="360" w:lineRule="auto"/>
              <w:rPr>
                <w:rFonts w:ascii="宋体" w:hAnsi="宋体" w:cs="宋体"/>
                <w:color w:val="auto"/>
                <w:szCs w:val="21"/>
                <w:highlight w:val="none"/>
              </w:rPr>
            </w:pPr>
          </w:p>
          <w:p>
            <w:pPr>
              <w:snapToGrid w:val="0"/>
              <w:spacing w:line="360" w:lineRule="auto"/>
              <w:rPr>
                <w:rFonts w:ascii="宋体" w:hAnsi="宋体" w:cs="宋体"/>
                <w:color w:val="auto"/>
                <w:szCs w:val="21"/>
                <w:highlight w:val="none"/>
              </w:rPr>
            </w:pPr>
          </w:p>
          <w:p>
            <w:pPr>
              <w:snapToGrid w:val="0"/>
              <w:spacing w:line="360" w:lineRule="auto"/>
              <w:jc w:val="right"/>
              <w:rPr>
                <w:rFonts w:ascii="宋体" w:hAnsi="宋体" w:cs="宋体"/>
                <w:color w:val="auto"/>
                <w:szCs w:val="21"/>
                <w:highlight w:val="none"/>
              </w:rPr>
            </w:pPr>
          </w:p>
          <w:p>
            <w:pPr>
              <w:snapToGrid w:val="0"/>
              <w:spacing w:line="360" w:lineRule="auto"/>
              <w:jc w:val="right"/>
              <w:rPr>
                <w:rFonts w:ascii="宋体" w:hAnsi="宋体" w:cs="宋体"/>
                <w:color w:val="auto"/>
                <w:szCs w:val="21"/>
                <w:highlight w:val="none"/>
              </w:rPr>
            </w:pPr>
            <w:r>
              <w:rPr>
                <w:rFonts w:hint="eastAsia" w:ascii="宋体" w:hAnsi="宋体" w:cs="宋体"/>
                <w:color w:val="auto"/>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单位地址：</w:t>
            </w:r>
          </w:p>
        </w:tc>
        <w:tc>
          <w:tcPr>
            <w:tcW w:w="458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单位地址：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法定代表人：</w:t>
            </w:r>
          </w:p>
        </w:tc>
        <w:tc>
          <w:tcPr>
            <w:tcW w:w="458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委托代理人：</w:t>
            </w:r>
          </w:p>
        </w:tc>
        <w:tc>
          <w:tcPr>
            <w:tcW w:w="458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电话：</w:t>
            </w:r>
          </w:p>
        </w:tc>
        <w:tc>
          <w:tcPr>
            <w:tcW w:w="458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开户银行： </w:t>
            </w:r>
          </w:p>
        </w:tc>
        <w:tc>
          <w:tcPr>
            <w:tcW w:w="458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开户银行：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账号：</w:t>
            </w:r>
          </w:p>
        </w:tc>
        <w:tc>
          <w:tcPr>
            <w:tcW w:w="458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邮政编码：</w:t>
            </w:r>
          </w:p>
        </w:tc>
        <w:tc>
          <w:tcPr>
            <w:tcW w:w="458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邮政编码：</w:t>
            </w:r>
          </w:p>
        </w:tc>
      </w:tr>
    </w:tbl>
    <w:p>
      <w:pPr>
        <w:widowControl/>
        <w:jc w:val="left"/>
        <w:rPr>
          <w:rFonts w:ascii="宋体" w:hAnsi="宋体" w:cs="宋体"/>
          <w:color w:val="auto"/>
          <w:sz w:val="20"/>
          <w:szCs w:val="20"/>
          <w:highlight w:val="none"/>
        </w:rPr>
      </w:pPr>
    </w:p>
    <w:p>
      <w:pPr>
        <w:spacing w:before="4"/>
        <w:rPr>
          <w:rFonts w:ascii="宋体" w:hAnsi="宋体" w:cs="宋体"/>
          <w:color w:val="auto"/>
          <w:sz w:val="6"/>
          <w:szCs w:val="6"/>
          <w:highlight w:val="none"/>
        </w:rPr>
      </w:pPr>
    </w:p>
    <w:sectPr>
      <w:footerReference r:id="rId8" w:type="first"/>
      <w:footerReference r:id="rId7" w:type="default"/>
      <w:pgSz w:w="11906" w:h="16838"/>
      <w:pgMar w:top="1440" w:right="1440" w:bottom="1440" w:left="158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4439"/>
        <w:tab w:val="clear" w:pos="4153"/>
      </w:tabs>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9"/>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512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hb9cbIAQAAngMAAA4AAAAAAAAAAQAgAAAAHgEAAGRycy9lMm9Eb2Mu&#10;eG1sUEsFBgAAAAAGAAYAWQEAAFgFA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mc:Fallback>
      </mc:AlternateContent>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443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txbxContent>
                    </wps:txbx>
                    <wps:bodyPr wrap="none" lIns="0" tIns="0" rIns="0" bIns="0">
                      <a:spAutoFit/>
                    </wps:bodyPr>
                  </wps:wsp>
                </a:graphicData>
              </a:graphic>
            </wp:anchor>
          </w:drawing>
        </mc:Choice>
        <mc:Fallback>
          <w:pict>
            <v:shape id="文本框 512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FeU+vPIAQAAngMAAA4AAAAAAAAAAQAgAAAAHgEAAGRycy9lMm9Eb2Mu&#10;eG1sUEsFBgAAAAAGAAYAWQEAAFgFAAAAAA==&#10;">
              <v:fill on="f" focussize="0,0"/>
              <v:stroke on="f"/>
              <v:imagedata o:title=""/>
              <o:lock v:ext="edit" aspectratio="f"/>
              <v:textbox inset="0mm,0mm,0mm,0mm" style="mso-fit-shape-to-text:t;">
                <w:txbxConten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9"/>
                            <w:jc w:val="center"/>
                          </w:pPr>
                          <w:r>
                            <w:fldChar w:fldCharType="begin"/>
                          </w:r>
                          <w:r>
                            <w:instrText xml:space="preserve"> PAGE  \* MERGEFORMAT </w:instrText>
                          </w:r>
                          <w:r>
                            <w:fldChar w:fldCharType="separate"/>
                          </w:r>
                          <w:r>
                            <w:t>12</w:t>
                          </w:r>
                          <w:r>
                            <w:fldChar w:fldCharType="end"/>
                          </w:r>
                        </w:p>
                      </w:txbxContent>
                    </wps:txbx>
                    <wps:bodyPr wrap="none" lIns="0" tIns="0" rIns="0" bIns="0">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8sLxZyQEAAJ4DAAAOAAAAAAAAAAEAIAAAAB4BAABkcnMvZTJvRG9j&#10;LnhtbFBLBQYAAAAABgAGAFkBAABZBQAAAAA=&#10;">
              <v:fill on="f" focussize="0,0"/>
              <v:stroke on="f"/>
              <v:imagedata o:title=""/>
              <o:lock v:ext="edit" aspectratio="f"/>
              <v:textbox inset="0mm,0mm,0mm,0mm" style="mso-fit-shape-to-text:t;">
                <w:txbxContent>
                  <w:p>
                    <w:pPr>
                      <w:pStyle w:val="19"/>
                      <w:jc w:val="center"/>
                    </w:pPr>
                    <w:r>
                      <w:fldChar w:fldCharType="begin"/>
                    </w:r>
                    <w:r>
                      <w:instrText xml:space="preserve"> PAGE  \* MERGEFORMAT </w:instrText>
                    </w:r>
                    <w:r>
                      <w:fldChar w:fldCharType="separate"/>
                    </w:r>
                    <w:r>
                      <w:t>12</w:t>
                    </w:r>
                    <w:r>
                      <w:fldChar w:fldCharType="end"/>
                    </w:r>
                  </w:p>
                </w:txbxContent>
              </v:textbox>
            </v:shape>
          </w:pict>
        </mc:Fallback>
      </mc:AlternateContent>
    </w:r>
  </w:p>
  <w:p>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9"/>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q5RickBAACeAwAADgAAAGRycy9lMm9Eb2MueG1srVNLbtswEN0XyB0I&#10;7mPJAlo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U2tKLEMoMPfv7+7fzj1/nnV/J2&#10;WVVJod5DjYVPHkvjcOcG3Js5DhhMxAcZTPoiJYJ51Pd00VcMkfB0aVWtViWmOOZmB/GL5+s+QHwv&#10;nCHJaGjAB8y6suMjxLF0LkndrLtXWudH1PavAGKOEZG3YLqdmIwTJysOu2Git3PtCdn1uAkNtbj4&#10;lOgHi0KnpZmNMBu7yUgdwd8eIo6Rp0uoIxSySg4+W+Y3rVjaiz/9XPX8W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arlGJyQEAAJ4DAAAOAAAAAAAAAAEAIAAAAB4BAABkcnMvZTJvRG9j&#10;LnhtbFBLBQYAAAAABgAGAFkBAABZBQ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FA7C0E"/>
    <w:multiLevelType w:val="multilevel"/>
    <w:tmpl w:val="1BFA7C0E"/>
    <w:lvl w:ilvl="0" w:tentative="0">
      <w:start w:val="1"/>
      <w:numFmt w:val="decimal"/>
      <w:lvlText w:val="第%1章"/>
      <w:lvlJc w:val="left"/>
      <w:pPr>
        <w:tabs>
          <w:tab w:val="left" w:pos="0"/>
        </w:tabs>
        <w:ind w:left="0" w:firstLine="0"/>
      </w:pPr>
      <w:rPr>
        <w:rFonts w:hint="eastAsia" w:ascii="Times New Roman" w:hAnsi="Times New Roman" w:eastAsia="黑体"/>
        <w:b/>
        <w:i w:val="0"/>
        <w:sz w:val="36"/>
      </w:rPr>
    </w:lvl>
    <w:lvl w:ilvl="1" w:tentative="0">
      <w:start w:val="1"/>
      <w:numFmt w:val="decimal"/>
      <w:isLgl/>
      <w:lvlText w:val="%1.%2"/>
      <w:lvlJc w:val="left"/>
      <w:pPr>
        <w:tabs>
          <w:tab w:val="left" w:pos="0"/>
        </w:tabs>
        <w:ind w:left="0" w:firstLine="0"/>
      </w:pPr>
      <w:rPr>
        <w:rFonts w:hint="default" w:ascii="Times New Roman" w:hAnsi="Times New Roman" w:cs="Times New Roman"/>
        <w:b/>
        <w:i w:val="0"/>
        <w:sz w:val="32"/>
      </w:rPr>
    </w:lvl>
    <w:lvl w:ilvl="2" w:tentative="0">
      <w:start w:val="1"/>
      <w:numFmt w:val="decimal"/>
      <w:isLgl/>
      <w:lvlText w:val="%1.%2.%3"/>
      <w:lvlJc w:val="left"/>
      <w:pPr>
        <w:tabs>
          <w:tab w:val="left" w:pos="2126"/>
        </w:tabs>
        <w:ind w:left="2126" w:firstLine="0"/>
      </w:pPr>
      <w:rPr>
        <w:rFonts w:ascii="Times New Roman" w:hAnsi="Times New Roman" w:cs="Times New Roman"/>
        <w:b/>
        <w:bCs w:val="0"/>
        <w:i w:val="0"/>
        <w:iCs w:val="0"/>
        <w:caps w:val="0"/>
        <w:smallCaps w:val="0"/>
        <w:strike w:val="0"/>
        <w:dstrike w:val="0"/>
        <w:vanish w:val="0"/>
        <w:color w:val="000000"/>
        <w:spacing w:val="0"/>
        <w:position w:val="0"/>
        <w:u w:val="none"/>
        <w:vertAlign w:val="baseline"/>
      </w:rPr>
    </w:lvl>
    <w:lvl w:ilvl="3" w:tentative="0">
      <w:start w:val="1"/>
      <w:numFmt w:val="decimal"/>
      <w:isLgl/>
      <w:lvlText w:val="%1.%2.%3.%4"/>
      <w:lvlJc w:val="left"/>
      <w:pPr>
        <w:tabs>
          <w:tab w:val="left" w:pos="0"/>
        </w:tabs>
        <w:ind w:left="0" w:firstLine="0"/>
      </w:pPr>
      <w:rPr>
        <w:rFonts w:ascii="Times New Roman" w:hAnsi="Times New Roman" w:cs="Times New Roman"/>
        <w:b/>
        <w:bCs w:val="0"/>
        <w:i w:val="0"/>
        <w:iCs w:val="0"/>
        <w:caps w:val="0"/>
        <w:smallCaps w:val="0"/>
        <w:strike w:val="0"/>
        <w:dstrike w:val="0"/>
        <w:vanish w:val="0"/>
        <w:color w:val="000000"/>
        <w:spacing w:val="0"/>
        <w:position w:val="0"/>
        <w:u w:val="none"/>
        <w:vertAlign w:val="baseline"/>
      </w:rPr>
    </w:lvl>
    <w:lvl w:ilvl="4" w:tentative="0">
      <w:start w:val="1"/>
      <w:numFmt w:val="decimal"/>
      <w:isLgl/>
      <w:lvlText w:val="%1.%2.%3.%4.%5"/>
      <w:lvlJc w:val="left"/>
      <w:pPr>
        <w:tabs>
          <w:tab w:val="left" w:pos="0"/>
        </w:tabs>
        <w:ind w:left="0" w:firstLine="0"/>
      </w:pPr>
      <w:rPr>
        <w:rFonts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rPr>
    </w:lvl>
    <w:lvl w:ilvl="5" w:tentative="0">
      <w:start w:val="1"/>
      <w:numFmt w:val="decimal"/>
      <w:isLgl/>
      <w:lvlText w:val="%1.%2.%3.%4.%5.%6"/>
      <w:lvlJc w:val="left"/>
      <w:pPr>
        <w:tabs>
          <w:tab w:val="left" w:pos="0"/>
        </w:tabs>
        <w:ind w:left="0" w:firstLine="0"/>
      </w:pPr>
    </w:lvl>
    <w:lvl w:ilvl="6" w:tentative="0">
      <w:start w:val="1"/>
      <w:numFmt w:val="decimal"/>
      <w:isLgl/>
      <w:lvlText w:val="%1.%2.%3.%4.%5.%6.%7"/>
      <w:lvlJc w:val="left"/>
      <w:pPr>
        <w:tabs>
          <w:tab w:val="left" w:pos="0"/>
        </w:tabs>
        <w:ind w:left="0" w:firstLine="0"/>
      </w:pPr>
    </w:lvl>
    <w:lvl w:ilvl="7" w:tentative="0">
      <w:start w:val="1"/>
      <w:numFmt w:val="decimal"/>
      <w:isLgl/>
      <w:lvlText w:val="%1.%2.%3.%4.%5.%6.%7.%8"/>
      <w:lvlJc w:val="left"/>
      <w:pPr>
        <w:tabs>
          <w:tab w:val="left" w:pos="0"/>
        </w:tabs>
        <w:ind w:left="0" w:firstLine="0"/>
      </w:pPr>
      <w:rPr>
        <w:rFonts w:hint="default" w:ascii="Times New Roman" w:hAnsi="Times New Roman" w:cs="Times New Roman"/>
        <w:b/>
        <w:i w:val="0"/>
        <w:sz w:val="21"/>
        <w:szCs w:val="21"/>
      </w:rPr>
    </w:lvl>
    <w:lvl w:ilvl="8" w:tentative="0">
      <w:start w:val="1"/>
      <w:numFmt w:val="decimal"/>
      <w:isLgl/>
      <w:lvlText w:val="%1.%2.%3.%4.%5.%6.%7.%8.%9"/>
      <w:lvlJc w:val="left"/>
      <w:pPr>
        <w:tabs>
          <w:tab w:val="left" w:pos="0"/>
        </w:tabs>
        <w:ind w:left="0" w:firstLine="0"/>
      </w:pPr>
      <w:rPr>
        <w:rFonts w:hint="default" w:ascii="Arial" w:hAnsi="Arial" w:cs="Times New Roman"/>
        <w:b/>
        <w:i w:val="0"/>
        <w:sz w:val="24"/>
        <w:szCs w:val="24"/>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xZDNmNTY3ZmU1MWU0YWViM2EzMWRmYzZjMjUzMGQifQ=="/>
  </w:docVars>
  <w:rsids>
    <w:rsidRoot w:val="00F34B14"/>
    <w:rsid w:val="000002E0"/>
    <w:rsid w:val="00000672"/>
    <w:rsid w:val="00001013"/>
    <w:rsid w:val="00001799"/>
    <w:rsid w:val="00001AF2"/>
    <w:rsid w:val="00001ECA"/>
    <w:rsid w:val="00002D29"/>
    <w:rsid w:val="00003B93"/>
    <w:rsid w:val="0000474D"/>
    <w:rsid w:val="00005FDF"/>
    <w:rsid w:val="0000644A"/>
    <w:rsid w:val="000070B3"/>
    <w:rsid w:val="000076B8"/>
    <w:rsid w:val="000109DC"/>
    <w:rsid w:val="00010D39"/>
    <w:rsid w:val="0001172C"/>
    <w:rsid w:val="00011BC9"/>
    <w:rsid w:val="00012053"/>
    <w:rsid w:val="00012854"/>
    <w:rsid w:val="00012C21"/>
    <w:rsid w:val="00012EA6"/>
    <w:rsid w:val="00013359"/>
    <w:rsid w:val="000139CF"/>
    <w:rsid w:val="00013AA4"/>
    <w:rsid w:val="00013DFE"/>
    <w:rsid w:val="000141EA"/>
    <w:rsid w:val="0001469F"/>
    <w:rsid w:val="00016ABC"/>
    <w:rsid w:val="000177DB"/>
    <w:rsid w:val="000179C9"/>
    <w:rsid w:val="00017CCC"/>
    <w:rsid w:val="00020227"/>
    <w:rsid w:val="00020263"/>
    <w:rsid w:val="00020455"/>
    <w:rsid w:val="00020813"/>
    <w:rsid w:val="000215D0"/>
    <w:rsid w:val="000220B2"/>
    <w:rsid w:val="0002264C"/>
    <w:rsid w:val="00022731"/>
    <w:rsid w:val="00022792"/>
    <w:rsid w:val="00023E38"/>
    <w:rsid w:val="00024463"/>
    <w:rsid w:val="00025461"/>
    <w:rsid w:val="00025636"/>
    <w:rsid w:val="00025E36"/>
    <w:rsid w:val="00026855"/>
    <w:rsid w:val="00026886"/>
    <w:rsid w:val="0002785D"/>
    <w:rsid w:val="000307BE"/>
    <w:rsid w:val="000329E0"/>
    <w:rsid w:val="000352E9"/>
    <w:rsid w:val="00035494"/>
    <w:rsid w:val="00036125"/>
    <w:rsid w:val="00036A07"/>
    <w:rsid w:val="0003780B"/>
    <w:rsid w:val="00040571"/>
    <w:rsid w:val="00040973"/>
    <w:rsid w:val="0004156E"/>
    <w:rsid w:val="00041713"/>
    <w:rsid w:val="0004440C"/>
    <w:rsid w:val="00046B5E"/>
    <w:rsid w:val="000470CB"/>
    <w:rsid w:val="000509D9"/>
    <w:rsid w:val="000512AF"/>
    <w:rsid w:val="00051ACB"/>
    <w:rsid w:val="000533E7"/>
    <w:rsid w:val="00055D41"/>
    <w:rsid w:val="00056EF6"/>
    <w:rsid w:val="00057CD6"/>
    <w:rsid w:val="00060DCE"/>
    <w:rsid w:val="000610E3"/>
    <w:rsid w:val="000614F3"/>
    <w:rsid w:val="000623B4"/>
    <w:rsid w:val="00062405"/>
    <w:rsid w:val="000634A7"/>
    <w:rsid w:val="00063B0B"/>
    <w:rsid w:val="00063F81"/>
    <w:rsid w:val="00064847"/>
    <w:rsid w:val="00065E08"/>
    <w:rsid w:val="00066C2B"/>
    <w:rsid w:val="000673E2"/>
    <w:rsid w:val="000677E3"/>
    <w:rsid w:val="00067EF1"/>
    <w:rsid w:val="0007063F"/>
    <w:rsid w:val="000707FD"/>
    <w:rsid w:val="00070949"/>
    <w:rsid w:val="000711E4"/>
    <w:rsid w:val="00071E9B"/>
    <w:rsid w:val="000720A1"/>
    <w:rsid w:val="000724D9"/>
    <w:rsid w:val="00072AED"/>
    <w:rsid w:val="00073F47"/>
    <w:rsid w:val="0007492F"/>
    <w:rsid w:val="00074ED8"/>
    <w:rsid w:val="00075B7E"/>
    <w:rsid w:val="00077ACA"/>
    <w:rsid w:val="00077C70"/>
    <w:rsid w:val="00080468"/>
    <w:rsid w:val="000813B5"/>
    <w:rsid w:val="0008191E"/>
    <w:rsid w:val="00081AFA"/>
    <w:rsid w:val="00081BA3"/>
    <w:rsid w:val="00081D2E"/>
    <w:rsid w:val="00081F89"/>
    <w:rsid w:val="00082619"/>
    <w:rsid w:val="00082D02"/>
    <w:rsid w:val="0008381A"/>
    <w:rsid w:val="00083871"/>
    <w:rsid w:val="00083B91"/>
    <w:rsid w:val="0008473C"/>
    <w:rsid w:val="0008520B"/>
    <w:rsid w:val="000857DE"/>
    <w:rsid w:val="000860BD"/>
    <w:rsid w:val="000871B8"/>
    <w:rsid w:val="00087B0A"/>
    <w:rsid w:val="000916DA"/>
    <w:rsid w:val="00091AAB"/>
    <w:rsid w:val="00092442"/>
    <w:rsid w:val="000929EF"/>
    <w:rsid w:val="00092C26"/>
    <w:rsid w:val="000933BE"/>
    <w:rsid w:val="00093B37"/>
    <w:rsid w:val="0009560F"/>
    <w:rsid w:val="0009588E"/>
    <w:rsid w:val="000959EE"/>
    <w:rsid w:val="00096DB9"/>
    <w:rsid w:val="00097183"/>
    <w:rsid w:val="000972CB"/>
    <w:rsid w:val="00097608"/>
    <w:rsid w:val="000A0F35"/>
    <w:rsid w:val="000A1175"/>
    <w:rsid w:val="000A13F3"/>
    <w:rsid w:val="000A23B1"/>
    <w:rsid w:val="000A2B0E"/>
    <w:rsid w:val="000A398F"/>
    <w:rsid w:val="000A448C"/>
    <w:rsid w:val="000A509C"/>
    <w:rsid w:val="000A54A7"/>
    <w:rsid w:val="000A5A17"/>
    <w:rsid w:val="000A5DF3"/>
    <w:rsid w:val="000A6007"/>
    <w:rsid w:val="000A65A6"/>
    <w:rsid w:val="000A70E3"/>
    <w:rsid w:val="000A7275"/>
    <w:rsid w:val="000A7A12"/>
    <w:rsid w:val="000A7A72"/>
    <w:rsid w:val="000A7F5C"/>
    <w:rsid w:val="000B1202"/>
    <w:rsid w:val="000B1801"/>
    <w:rsid w:val="000B1D0C"/>
    <w:rsid w:val="000B2273"/>
    <w:rsid w:val="000B2BC6"/>
    <w:rsid w:val="000B2D03"/>
    <w:rsid w:val="000B37F2"/>
    <w:rsid w:val="000B3815"/>
    <w:rsid w:val="000B3C7B"/>
    <w:rsid w:val="000B3E68"/>
    <w:rsid w:val="000B4321"/>
    <w:rsid w:val="000B6A6B"/>
    <w:rsid w:val="000B6C95"/>
    <w:rsid w:val="000B79FC"/>
    <w:rsid w:val="000C1679"/>
    <w:rsid w:val="000C1EE3"/>
    <w:rsid w:val="000C3AE7"/>
    <w:rsid w:val="000C3CC9"/>
    <w:rsid w:val="000C59C6"/>
    <w:rsid w:val="000C6DE4"/>
    <w:rsid w:val="000C7202"/>
    <w:rsid w:val="000D0A89"/>
    <w:rsid w:val="000D1389"/>
    <w:rsid w:val="000D1798"/>
    <w:rsid w:val="000D2626"/>
    <w:rsid w:val="000D411D"/>
    <w:rsid w:val="000D4589"/>
    <w:rsid w:val="000D4809"/>
    <w:rsid w:val="000D73DD"/>
    <w:rsid w:val="000E1C51"/>
    <w:rsid w:val="000E28AB"/>
    <w:rsid w:val="000E2E3E"/>
    <w:rsid w:val="000E3583"/>
    <w:rsid w:val="000E3AF0"/>
    <w:rsid w:val="000E4E04"/>
    <w:rsid w:val="000E5C8B"/>
    <w:rsid w:val="000E693B"/>
    <w:rsid w:val="000E6D5C"/>
    <w:rsid w:val="000E6EC9"/>
    <w:rsid w:val="000E70B4"/>
    <w:rsid w:val="000E725F"/>
    <w:rsid w:val="000E7B62"/>
    <w:rsid w:val="000F0E1E"/>
    <w:rsid w:val="000F1A1B"/>
    <w:rsid w:val="000F2A95"/>
    <w:rsid w:val="000F3281"/>
    <w:rsid w:val="000F32FD"/>
    <w:rsid w:val="000F3733"/>
    <w:rsid w:val="000F5F8B"/>
    <w:rsid w:val="000F6153"/>
    <w:rsid w:val="000F64AA"/>
    <w:rsid w:val="000F7AF4"/>
    <w:rsid w:val="000F7C33"/>
    <w:rsid w:val="000F7F0C"/>
    <w:rsid w:val="001004D6"/>
    <w:rsid w:val="00101D1B"/>
    <w:rsid w:val="00102676"/>
    <w:rsid w:val="00103646"/>
    <w:rsid w:val="00103918"/>
    <w:rsid w:val="00104897"/>
    <w:rsid w:val="00104EDE"/>
    <w:rsid w:val="00104F54"/>
    <w:rsid w:val="00105CDA"/>
    <w:rsid w:val="00106BEE"/>
    <w:rsid w:val="0010711C"/>
    <w:rsid w:val="00107368"/>
    <w:rsid w:val="00107BDF"/>
    <w:rsid w:val="00107C74"/>
    <w:rsid w:val="0011091C"/>
    <w:rsid w:val="00111266"/>
    <w:rsid w:val="001112EB"/>
    <w:rsid w:val="0011247D"/>
    <w:rsid w:val="00113678"/>
    <w:rsid w:val="00113A7D"/>
    <w:rsid w:val="00113C3E"/>
    <w:rsid w:val="0011465D"/>
    <w:rsid w:val="00115E11"/>
    <w:rsid w:val="00115EEE"/>
    <w:rsid w:val="00115F56"/>
    <w:rsid w:val="00116CA9"/>
    <w:rsid w:val="00116F38"/>
    <w:rsid w:val="001170A4"/>
    <w:rsid w:val="00117AE7"/>
    <w:rsid w:val="00117B85"/>
    <w:rsid w:val="00117CBD"/>
    <w:rsid w:val="0012006A"/>
    <w:rsid w:val="00121979"/>
    <w:rsid w:val="00122064"/>
    <w:rsid w:val="00123CCB"/>
    <w:rsid w:val="00124341"/>
    <w:rsid w:val="00124492"/>
    <w:rsid w:val="00124B12"/>
    <w:rsid w:val="001250A0"/>
    <w:rsid w:val="001263B8"/>
    <w:rsid w:val="001268D1"/>
    <w:rsid w:val="00130217"/>
    <w:rsid w:val="00130783"/>
    <w:rsid w:val="00130A47"/>
    <w:rsid w:val="00130FB0"/>
    <w:rsid w:val="00132B47"/>
    <w:rsid w:val="001337F8"/>
    <w:rsid w:val="001348B4"/>
    <w:rsid w:val="001351CB"/>
    <w:rsid w:val="00135530"/>
    <w:rsid w:val="00135947"/>
    <w:rsid w:val="001359A2"/>
    <w:rsid w:val="00135F92"/>
    <w:rsid w:val="00136020"/>
    <w:rsid w:val="00136445"/>
    <w:rsid w:val="00136A9C"/>
    <w:rsid w:val="00137389"/>
    <w:rsid w:val="00140132"/>
    <w:rsid w:val="00141C9C"/>
    <w:rsid w:val="00142344"/>
    <w:rsid w:val="0014277F"/>
    <w:rsid w:val="001434BE"/>
    <w:rsid w:val="00143AAD"/>
    <w:rsid w:val="00144050"/>
    <w:rsid w:val="00144369"/>
    <w:rsid w:val="0014479F"/>
    <w:rsid w:val="001452B4"/>
    <w:rsid w:val="00145320"/>
    <w:rsid w:val="001476D3"/>
    <w:rsid w:val="001509CF"/>
    <w:rsid w:val="00150D1D"/>
    <w:rsid w:val="001525AA"/>
    <w:rsid w:val="00152A87"/>
    <w:rsid w:val="00152AC1"/>
    <w:rsid w:val="00153BB5"/>
    <w:rsid w:val="00154396"/>
    <w:rsid w:val="00154518"/>
    <w:rsid w:val="00156359"/>
    <w:rsid w:val="00156DD6"/>
    <w:rsid w:val="0016086E"/>
    <w:rsid w:val="001609B9"/>
    <w:rsid w:val="00160D0C"/>
    <w:rsid w:val="00160DD1"/>
    <w:rsid w:val="00161172"/>
    <w:rsid w:val="00161998"/>
    <w:rsid w:val="00161E65"/>
    <w:rsid w:val="00162597"/>
    <w:rsid w:val="001629AF"/>
    <w:rsid w:val="001629FD"/>
    <w:rsid w:val="0016428A"/>
    <w:rsid w:val="001647C9"/>
    <w:rsid w:val="00165627"/>
    <w:rsid w:val="00166033"/>
    <w:rsid w:val="001661A3"/>
    <w:rsid w:val="00166F19"/>
    <w:rsid w:val="00167226"/>
    <w:rsid w:val="0016782B"/>
    <w:rsid w:val="0016784D"/>
    <w:rsid w:val="00167853"/>
    <w:rsid w:val="00167887"/>
    <w:rsid w:val="00172CA8"/>
    <w:rsid w:val="00173256"/>
    <w:rsid w:val="001737B9"/>
    <w:rsid w:val="00173B0E"/>
    <w:rsid w:val="00173E03"/>
    <w:rsid w:val="0017512C"/>
    <w:rsid w:val="001756AF"/>
    <w:rsid w:val="0017586A"/>
    <w:rsid w:val="00175BA6"/>
    <w:rsid w:val="00176CA7"/>
    <w:rsid w:val="00176D0C"/>
    <w:rsid w:val="00176F8E"/>
    <w:rsid w:val="001778C5"/>
    <w:rsid w:val="00177E56"/>
    <w:rsid w:val="00177F0A"/>
    <w:rsid w:val="00180DA0"/>
    <w:rsid w:val="00181EAD"/>
    <w:rsid w:val="00182862"/>
    <w:rsid w:val="00184F57"/>
    <w:rsid w:val="00185091"/>
    <w:rsid w:val="00185544"/>
    <w:rsid w:val="00185617"/>
    <w:rsid w:val="00186FE1"/>
    <w:rsid w:val="00187A14"/>
    <w:rsid w:val="0019171E"/>
    <w:rsid w:val="00192368"/>
    <w:rsid w:val="001923A0"/>
    <w:rsid w:val="001928B1"/>
    <w:rsid w:val="00193537"/>
    <w:rsid w:val="00193846"/>
    <w:rsid w:val="00195379"/>
    <w:rsid w:val="00195424"/>
    <w:rsid w:val="001955FF"/>
    <w:rsid w:val="00197EDD"/>
    <w:rsid w:val="001A02B3"/>
    <w:rsid w:val="001A04BB"/>
    <w:rsid w:val="001A08D0"/>
    <w:rsid w:val="001A1B39"/>
    <w:rsid w:val="001A2120"/>
    <w:rsid w:val="001A28C6"/>
    <w:rsid w:val="001A2E69"/>
    <w:rsid w:val="001A3C34"/>
    <w:rsid w:val="001A3EDE"/>
    <w:rsid w:val="001A4222"/>
    <w:rsid w:val="001A50EA"/>
    <w:rsid w:val="001A5E24"/>
    <w:rsid w:val="001A661D"/>
    <w:rsid w:val="001A6795"/>
    <w:rsid w:val="001A6B27"/>
    <w:rsid w:val="001A6D8B"/>
    <w:rsid w:val="001A6DAA"/>
    <w:rsid w:val="001A7717"/>
    <w:rsid w:val="001A793A"/>
    <w:rsid w:val="001B125A"/>
    <w:rsid w:val="001B1EBA"/>
    <w:rsid w:val="001B2142"/>
    <w:rsid w:val="001B2F2B"/>
    <w:rsid w:val="001B327A"/>
    <w:rsid w:val="001B35DE"/>
    <w:rsid w:val="001B3A13"/>
    <w:rsid w:val="001B3F5C"/>
    <w:rsid w:val="001B57C9"/>
    <w:rsid w:val="001B59FF"/>
    <w:rsid w:val="001B6512"/>
    <w:rsid w:val="001B65D7"/>
    <w:rsid w:val="001B6752"/>
    <w:rsid w:val="001B6768"/>
    <w:rsid w:val="001B6F1F"/>
    <w:rsid w:val="001B7ECC"/>
    <w:rsid w:val="001C025B"/>
    <w:rsid w:val="001C115F"/>
    <w:rsid w:val="001C1EAB"/>
    <w:rsid w:val="001C25A7"/>
    <w:rsid w:val="001C2775"/>
    <w:rsid w:val="001C318C"/>
    <w:rsid w:val="001C35C4"/>
    <w:rsid w:val="001C4287"/>
    <w:rsid w:val="001C4479"/>
    <w:rsid w:val="001C5190"/>
    <w:rsid w:val="001C6081"/>
    <w:rsid w:val="001C73EB"/>
    <w:rsid w:val="001C7B48"/>
    <w:rsid w:val="001D0CFB"/>
    <w:rsid w:val="001D1A0D"/>
    <w:rsid w:val="001D343C"/>
    <w:rsid w:val="001D56E2"/>
    <w:rsid w:val="001D58A1"/>
    <w:rsid w:val="001D58C2"/>
    <w:rsid w:val="001D5A8A"/>
    <w:rsid w:val="001D61CA"/>
    <w:rsid w:val="001D6E87"/>
    <w:rsid w:val="001D735E"/>
    <w:rsid w:val="001D73C8"/>
    <w:rsid w:val="001D7BC6"/>
    <w:rsid w:val="001E129E"/>
    <w:rsid w:val="001E175C"/>
    <w:rsid w:val="001E1B0E"/>
    <w:rsid w:val="001E1C7C"/>
    <w:rsid w:val="001E3B63"/>
    <w:rsid w:val="001E5A94"/>
    <w:rsid w:val="001E7D7E"/>
    <w:rsid w:val="001F13FD"/>
    <w:rsid w:val="001F2A2E"/>
    <w:rsid w:val="001F3356"/>
    <w:rsid w:val="001F3C63"/>
    <w:rsid w:val="001F4460"/>
    <w:rsid w:val="001F6C96"/>
    <w:rsid w:val="001F711A"/>
    <w:rsid w:val="001F75B0"/>
    <w:rsid w:val="0020057C"/>
    <w:rsid w:val="0020083C"/>
    <w:rsid w:val="00200CE5"/>
    <w:rsid w:val="00200F7C"/>
    <w:rsid w:val="002014DB"/>
    <w:rsid w:val="0020150B"/>
    <w:rsid w:val="00201E12"/>
    <w:rsid w:val="00202295"/>
    <w:rsid w:val="002033B5"/>
    <w:rsid w:val="0020382C"/>
    <w:rsid w:val="0020437A"/>
    <w:rsid w:val="0020454C"/>
    <w:rsid w:val="00204740"/>
    <w:rsid w:val="00205129"/>
    <w:rsid w:val="0020521F"/>
    <w:rsid w:val="0020532C"/>
    <w:rsid w:val="002114C7"/>
    <w:rsid w:val="0021302C"/>
    <w:rsid w:val="00213B1C"/>
    <w:rsid w:val="00213F1E"/>
    <w:rsid w:val="00214202"/>
    <w:rsid w:val="002148E3"/>
    <w:rsid w:val="0021552D"/>
    <w:rsid w:val="002156AE"/>
    <w:rsid w:val="00215E99"/>
    <w:rsid w:val="0022054D"/>
    <w:rsid w:val="0022107B"/>
    <w:rsid w:val="00223DDB"/>
    <w:rsid w:val="00223FA4"/>
    <w:rsid w:val="00223FB0"/>
    <w:rsid w:val="0022405A"/>
    <w:rsid w:val="00224067"/>
    <w:rsid w:val="0022421C"/>
    <w:rsid w:val="00224C4A"/>
    <w:rsid w:val="00224E83"/>
    <w:rsid w:val="00225664"/>
    <w:rsid w:val="002261E9"/>
    <w:rsid w:val="0022663D"/>
    <w:rsid w:val="00226A46"/>
    <w:rsid w:val="00227C56"/>
    <w:rsid w:val="00227F2D"/>
    <w:rsid w:val="00231851"/>
    <w:rsid w:val="0023186A"/>
    <w:rsid w:val="002319FB"/>
    <w:rsid w:val="00231B89"/>
    <w:rsid w:val="00231F11"/>
    <w:rsid w:val="00231F5E"/>
    <w:rsid w:val="002346B4"/>
    <w:rsid w:val="00234F6E"/>
    <w:rsid w:val="002355BE"/>
    <w:rsid w:val="002358EA"/>
    <w:rsid w:val="00236578"/>
    <w:rsid w:val="00236DE9"/>
    <w:rsid w:val="00237342"/>
    <w:rsid w:val="00237D5A"/>
    <w:rsid w:val="00240D75"/>
    <w:rsid w:val="002415AE"/>
    <w:rsid w:val="00241D3C"/>
    <w:rsid w:val="00242109"/>
    <w:rsid w:val="00243189"/>
    <w:rsid w:val="002439AB"/>
    <w:rsid w:val="00243C19"/>
    <w:rsid w:val="00244AE8"/>
    <w:rsid w:val="00244DC9"/>
    <w:rsid w:val="00245587"/>
    <w:rsid w:val="00245F2B"/>
    <w:rsid w:val="002466CD"/>
    <w:rsid w:val="00247F3A"/>
    <w:rsid w:val="00250122"/>
    <w:rsid w:val="0025024D"/>
    <w:rsid w:val="00250755"/>
    <w:rsid w:val="00250E5A"/>
    <w:rsid w:val="00251043"/>
    <w:rsid w:val="00251C4A"/>
    <w:rsid w:val="0025271C"/>
    <w:rsid w:val="0025277A"/>
    <w:rsid w:val="002533CD"/>
    <w:rsid w:val="002535EA"/>
    <w:rsid w:val="00254EAB"/>
    <w:rsid w:val="002557AF"/>
    <w:rsid w:val="0025589C"/>
    <w:rsid w:val="00255B62"/>
    <w:rsid w:val="002566B1"/>
    <w:rsid w:val="002575E3"/>
    <w:rsid w:val="00257A74"/>
    <w:rsid w:val="00257C5D"/>
    <w:rsid w:val="002603C1"/>
    <w:rsid w:val="002609A1"/>
    <w:rsid w:val="002612B1"/>
    <w:rsid w:val="00265A12"/>
    <w:rsid w:val="00266165"/>
    <w:rsid w:val="00266F2C"/>
    <w:rsid w:val="0027125E"/>
    <w:rsid w:val="00271767"/>
    <w:rsid w:val="00272293"/>
    <w:rsid w:val="002723C8"/>
    <w:rsid w:val="00273C2A"/>
    <w:rsid w:val="00273CBE"/>
    <w:rsid w:val="002746B1"/>
    <w:rsid w:val="00274BAD"/>
    <w:rsid w:val="002807B0"/>
    <w:rsid w:val="00282D56"/>
    <w:rsid w:val="002835B0"/>
    <w:rsid w:val="00283C74"/>
    <w:rsid w:val="0028407E"/>
    <w:rsid w:val="0028410F"/>
    <w:rsid w:val="00284572"/>
    <w:rsid w:val="002850AA"/>
    <w:rsid w:val="00285221"/>
    <w:rsid w:val="00286FB5"/>
    <w:rsid w:val="00287763"/>
    <w:rsid w:val="00290606"/>
    <w:rsid w:val="002909B2"/>
    <w:rsid w:val="00291D6D"/>
    <w:rsid w:val="00291FF1"/>
    <w:rsid w:val="00292AA2"/>
    <w:rsid w:val="00293361"/>
    <w:rsid w:val="00294F10"/>
    <w:rsid w:val="002952B1"/>
    <w:rsid w:val="00295D11"/>
    <w:rsid w:val="00296FB6"/>
    <w:rsid w:val="002A0001"/>
    <w:rsid w:val="002A0BD9"/>
    <w:rsid w:val="002A0C3A"/>
    <w:rsid w:val="002A0DF8"/>
    <w:rsid w:val="002A0F1C"/>
    <w:rsid w:val="002A1130"/>
    <w:rsid w:val="002A1880"/>
    <w:rsid w:val="002A23B7"/>
    <w:rsid w:val="002A2763"/>
    <w:rsid w:val="002A3A57"/>
    <w:rsid w:val="002A4B4F"/>
    <w:rsid w:val="002A57A8"/>
    <w:rsid w:val="002A6DEF"/>
    <w:rsid w:val="002A770B"/>
    <w:rsid w:val="002A7F9C"/>
    <w:rsid w:val="002B013E"/>
    <w:rsid w:val="002B058D"/>
    <w:rsid w:val="002B0C16"/>
    <w:rsid w:val="002B2456"/>
    <w:rsid w:val="002B2891"/>
    <w:rsid w:val="002B2AC5"/>
    <w:rsid w:val="002B32ED"/>
    <w:rsid w:val="002B3528"/>
    <w:rsid w:val="002B3539"/>
    <w:rsid w:val="002B4395"/>
    <w:rsid w:val="002B4532"/>
    <w:rsid w:val="002B4DD9"/>
    <w:rsid w:val="002B5042"/>
    <w:rsid w:val="002B69CC"/>
    <w:rsid w:val="002B6D71"/>
    <w:rsid w:val="002C03AE"/>
    <w:rsid w:val="002C0C1C"/>
    <w:rsid w:val="002C16AE"/>
    <w:rsid w:val="002C362C"/>
    <w:rsid w:val="002C41BF"/>
    <w:rsid w:val="002C54C2"/>
    <w:rsid w:val="002C5D34"/>
    <w:rsid w:val="002C60BB"/>
    <w:rsid w:val="002C6131"/>
    <w:rsid w:val="002C661A"/>
    <w:rsid w:val="002D0D6F"/>
    <w:rsid w:val="002D1796"/>
    <w:rsid w:val="002D25FC"/>
    <w:rsid w:val="002D4AC6"/>
    <w:rsid w:val="002D59BF"/>
    <w:rsid w:val="002D5BF5"/>
    <w:rsid w:val="002D5EE8"/>
    <w:rsid w:val="002D7360"/>
    <w:rsid w:val="002D7648"/>
    <w:rsid w:val="002D7C80"/>
    <w:rsid w:val="002E109C"/>
    <w:rsid w:val="002E193E"/>
    <w:rsid w:val="002E1A94"/>
    <w:rsid w:val="002E1D55"/>
    <w:rsid w:val="002E26C4"/>
    <w:rsid w:val="002E2734"/>
    <w:rsid w:val="002E30A5"/>
    <w:rsid w:val="002E47E4"/>
    <w:rsid w:val="002E4BF9"/>
    <w:rsid w:val="002E4D61"/>
    <w:rsid w:val="002E68A7"/>
    <w:rsid w:val="002E6E6C"/>
    <w:rsid w:val="002E6E76"/>
    <w:rsid w:val="002F016E"/>
    <w:rsid w:val="002F051C"/>
    <w:rsid w:val="002F0522"/>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CC1"/>
    <w:rsid w:val="00312504"/>
    <w:rsid w:val="00312B89"/>
    <w:rsid w:val="00313026"/>
    <w:rsid w:val="00313913"/>
    <w:rsid w:val="0031421F"/>
    <w:rsid w:val="00314B31"/>
    <w:rsid w:val="00315A65"/>
    <w:rsid w:val="003165D7"/>
    <w:rsid w:val="0031666B"/>
    <w:rsid w:val="00316ABE"/>
    <w:rsid w:val="00317BA7"/>
    <w:rsid w:val="00320BE2"/>
    <w:rsid w:val="00321886"/>
    <w:rsid w:val="00321EDC"/>
    <w:rsid w:val="00323694"/>
    <w:rsid w:val="00323BE7"/>
    <w:rsid w:val="00324C3A"/>
    <w:rsid w:val="00324D63"/>
    <w:rsid w:val="003255AF"/>
    <w:rsid w:val="003256EB"/>
    <w:rsid w:val="003259DB"/>
    <w:rsid w:val="0032795B"/>
    <w:rsid w:val="003303CD"/>
    <w:rsid w:val="003314D9"/>
    <w:rsid w:val="00331653"/>
    <w:rsid w:val="00331A48"/>
    <w:rsid w:val="00331BCC"/>
    <w:rsid w:val="003330C9"/>
    <w:rsid w:val="0033364C"/>
    <w:rsid w:val="00334415"/>
    <w:rsid w:val="00335EA1"/>
    <w:rsid w:val="0033691E"/>
    <w:rsid w:val="00336A6A"/>
    <w:rsid w:val="00336CCB"/>
    <w:rsid w:val="003411D1"/>
    <w:rsid w:val="003416BA"/>
    <w:rsid w:val="00342148"/>
    <w:rsid w:val="00342F99"/>
    <w:rsid w:val="0034575A"/>
    <w:rsid w:val="00345F57"/>
    <w:rsid w:val="00350458"/>
    <w:rsid w:val="00350E6C"/>
    <w:rsid w:val="003518A6"/>
    <w:rsid w:val="00351E7F"/>
    <w:rsid w:val="00352953"/>
    <w:rsid w:val="00354062"/>
    <w:rsid w:val="0035459E"/>
    <w:rsid w:val="00354AE9"/>
    <w:rsid w:val="00355C0D"/>
    <w:rsid w:val="003566A9"/>
    <w:rsid w:val="00356988"/>
    <w:rsid w:val="003569D3"/>
    <w:rsid w:val="00356CE9"/>
    <w:rsid w:val="003570BB"/>
    <w:rsid w:val="00357128"/>
    <w:rsid w:val="0035755E"/>
    <w:rsid w:val="00357A80"/>
    <w:rsid w:val="00361441"/>
    <w:rsid w:val="00361B8B"/>
    <w:rsid w:val="00363F39"/>
    <w:rsid w:val="003640FC"/>
    <w:rsid w:val="0036445C"/>
    <w:rsid w:val="00364627"/>
    <w:rsid w:val="00364AB0"/>
    <w:rsid w:val="00364D71"/>
    <w:rsid w:val="003667B0"/>
    <w:rsid w:val="003667DD"/>
    <w:rsid w:val="00366B48"/>
    <w:rsid w:val="0036766E"/>
    <w:rsid w:val="00367764"/>
    <w:rsid w:val="00370316"/>
    <w:rsid w:val="00370DC7"/>
    <w:rsid w:val="00371CBD"/>
    <w:rsid w:val="00371F20"/>
    <w:rsid w:val="003721E3"/>
    <w:rsid w:val="00372B98"/>
    <w:rsid w:val="003737B7"/>
    <w:rsid w:val="003740CC"/>
    <w:rsid w:val="00374163"/>
    <w:rsid w:val="003745F4"/>
    <w:rsid w:val="0037491A"/>
    <w:rsid w:val="00374E79"/>
    <w:rsid w:val="0037529A"/>
    <w:rsid w:val="00375388"/>
    <w:rsid w:val="00375559"/>
    <w:rsid w:val="00375FB9"/>
    <w:rsid w:val="00376170"/>
    <w:rsid w:val="003761B2"/>
    <w:rsid w:val="00376851"/>
    <w:rsid w:val="00376FA2"/>
    <w:rsid w:val="00377133"/>
    <w:rsid w:val="00377A3B"/>
    <w:rsid w:val="00377E3C"/>
    <w:rsid w:val="00380874"/>
    <w:rsid w:val="00380BBE"/>
    <w:rsid w:val="00381BF4"/>
    <w:rsid w:val="00381D70"/>
    <w:rsid w:val="0038235E"/>
    <w:rsid w:val="003829D0"/>
    <w:rsid w:val="0038326A"/>
    <w:rsid w:val="00383D5E"/>
    <w:rsid w:val="0038444F"/>
    <w:rsid w:val="003861F0"/>
    <w:rsid w:val="00387051"/>
    <w:rsid w:val="00387ECF"/>
    <w:rsid w:val="00390133"/>
    <w:rsid w:val="0039021B"/>
    <w:rsid w:val="00390429"/>
    <w:rsid w:val="003906A0"/>
    <w:rsid w:val="003923D5"/>
    <w:rsid w:val="003931AF"/>
    <w:rsid w:val="0039366C"/>
    <w:rsid w:val="00393EC8"/>
    <w:rsid w:val="003943CC"/>
    <w:rsid w:val="00395E42"/>
    <w:rsid w:val="0039621E"/>
    <w:rsid w:val="00396409"/>
    <w:rsid w:val="00396A2D"/>
    <w:rsid w:val="00396FC3"/>
    <w:rsid w:val="003A1431"/>
    <w:rsid w:val="003A1A94"/>
    <w:rsid w:val="003A204E"/>
    <w:rsid w:val="003A2D25"/>
    <w:rsid w:val="003A5101"/>
    <w:rsid w:val="003A5728"/>
    <w:rsid w:val="003A60E7"/>
    <w:rsid w:val="003A66A3"/>
    <w:rsid w:val="003A7092"/>
    <w:rsid w:val="003A72A1"/>
    <w:rsid w:val="003A7611"/>
    <w:rsid w:val="003A7D1F"/>
    <w:rsid w:val="003B0B6A"/>
    <w:rsid w:val="003B22F7"/>
    <w:rsid w:val="003B29CF"/>
    <w:rsid w:val="003B3A90"/>
    <w:rsid w:val="003B3D01"/>
    <w:rsid w:val="003B534F"/>
    <w:rsid w:val="003B7A79"/>
    <w:rsid w:val="003B7D00"/>
    <w:rsid w:val="003C0FE1"/>
    <w:rsid w:val="003C151A"/>
    <w:rsid w:val="003C350C"/>
    <w:rsid w:val="003C3733"/>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0F4"/>
    <w:rsid w:val="003E59BB"/>
    <w:rsid w:val="003E6225"/>
    <w:rsid w:val="003E65AC"/>
    <w:rsid w:val="003E66AE"/>
    <w:rsid w:val="003E72B9"/>
    <w:rsid w:val="003E7612"/>
    <w:rsid w:val="003E7ED4"/>
    <w:rsid w:val="003F0E52"/>
    <w:rsid w:val="003F0F6B"/>
    <w:rsid w:val="003F1FC6"/>
    <w:rsid w:val="003F1FE3"/>
    <w:rsid w:val="003F2359"/>
    <w:rsid w:val="003F3232"/>
    <w:rsid w:val="003F3865"/>
    <w:rsid w:val="003F38AC"/>
    <w:rsid w:val="003F3D55"/>
    <w:rsid w:val="003F44E2"/>
    <w:rsid w:val="003F4632"/>
    <w:rsid w:val="003F47BA"/>
    <w:rsid w:val="003F4FE6"/>
    <w:rsid w:val="003F5638"/>
    <w:rsid w:val="003F6617"/>
    <w:rsid w:val="003F7F03"/>
    <w:rsid w:val="00402332"/>
    <w:rsid w:val="004025C2"/>
    <w:rsid w:val="00403195"/>
    <w:rsid w:val="004033A9"/>
    <w:rsid w:val="00403E55"/>
    <w:rsid w:val="0040407C"/>
    <w:rsid w:val="0040416C"/>
    <w:rsid w:val="004041CA"/>
    <w:rsid w:val="00404681"/>
    <w:rsid w:val="00405445"/>
    <w:rsid w:val="00405AC1"/>
    <w:rsid w:val="00406923"/>
    <w:rsid w:val="0040763D"/>
    <w:rsid w:val="00410D17"/>
    <w:rsid w:val="00412AA9"/>
    <w:rsid w:val="00413442"/>
    <w:rsid w:val="00413821"/>
    <w:rsid w:val="00413BA5"/>
    <w:rsid w:val="004141A3"/>
    <w:rsid w:val="00414909"/>
    <w:rsid w:val="0041582F"/>
    <w:rsid w:val="00416112"/>
    <w:rsid w:val="00417A1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6823"/>
    <w:rsid w:val="004371D5"/>
    <w:rsid w:val="0044006B"/>
    <w:rsid w:val="0044033F"/>
    <w:rsid w:val="00440630"/>
    <w:rsid w:val="00441F0F"/>
    <w:rsid w:val="00442965"/>
    <w:rsid w:val="004432B6"/>
    <w:rsid w:val="00444157"/>
    <w:rsid w:val="0044417C"/>
    <w:rsid w:val="00444DB3"/>
    <w:rsid w:val="00445617"/>
    <w:rsid w:val="00445A2F"/>
    <w:rsid w:val="0044684E"/>
    <w:rsid w:val="00446F22"/>
    <w:rsid w:val="0045019F"/>
    <w:rsid w:val="004503A4"/>
    <w:rsid w:val="00450555"/>
    <w:rsid w:val="004506FA"/>
    <w:rsid w:val="00450B54"/>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1FC2"/>
    <w:rsid w:val="00464AB7"/>
    <w:rsid w:val="00464EA0"/>
    <w:rsid w:val="00465DE5"/>
    <w:rsid w:val="00467EF8"/>
    <w:rsid w:val="00471AC3"/>
    <w:rsid w:val="00472429"/>
    <w:rsid w:val="004725E5"/>
    <w:rsid w:val="00472751"/>
    <w:rsid w:val="00473128"/>
    <w:rsid w:val="00475078"/>
    <w:rsid w:val="00475767"/>
    <w:rsid w:val="004779A0"/>
    <w:rsid w:val="004808E3"/>
    <w:rsid w:val="00481016"/>
    <w:rsid w:val="0048204C"/>
    <w:rsid w:val="004821BB"/>
    <w:rsid w:val="0048237A"/>
    <w:rsid w:val="004826FE"/>
    <w:rsid w:val="004827D5"/>
    <w:rsid w:val="00482AF2"/>
    <w:rsid w:val="004830C9"/>
    <w:rsid w:val="00483347"/>
    <w:rsid w:val="00483E2E"/>
    <w:rsid w:val="00484B69"/>
    <w:rsid w:val="00485406"/>
    <w:rsid w:val="0048590F"/>
    <w:rsid w:val="00486D60"/>
    <w:rsid w:val="00491FA1"/>
    <w:rsid w:val="00492A25"/>
    <w:rsid w:val="004938A3"/>
    <w:rsid w:val="0049558B"/>
    <w:rsid w:val="00496350"/>
    <w:rsid w:val="0049797C"/>
    <w:rsid w:val="004A0D52"/>
    <w:rsid w:val="004A1405"/>
    <w:rsid w:val="004A15BD"/>
    <w:rsid w:val="004A1E28"/>
    <w:rsid w:val="004A1FC6"/>
    <w:rsid w:val="004A2E5F"/>
    <w:rsid w:val="004A38C2"/>
    <w:rsid w:val="004A3C03"/>
    <w:rsid w:val="004A3DB7"/>
    <w:rsid w:val="004A463B"/>
    <w:rsid w:val="004A5088"/>
    <w:rsid w:val="004A5255"/>
    <w:rsid w:val="004A6B28"/>
    <w:rsid w:val="004A6CB0"/>
    <w:rsid w:val="004A70FF"/>
    <w:rsid w:val="004A7EDE"/>
    <w:rsid w:val="004B0D93"/>
    <w:rsid w:val="004B1FA4"/>
    <w:rsid w:val="004B29AC"/>
    <w:rsid w:val="004B35DF"/>
    <w:rsid w:val="004B3627"/>
    <w:rsid w:val="004B4922"/>
    <w:rsid w:val="004B4BFE"/>
    <w:rsid w:val="004B57DF"/>
    <w:rsid w:val="004B5976"/>
    <w:rsid w:val="004B722E"/>
    <w:rsid w:val="004B72E8"/>
    <w:rsid w:val="004C01A5"/>
    <w:rsid w:val="004C0412"/>
    <w:rsid w:val="004C2138"/>
    <w:rsid w:val="004C3940"/>
    <w:rsid w:val="004C51FD"/>
    <w:rsid w:val="004C65A8"/>
    <w:rsid w:val="004C6689"/>
    <w:rsid w:val="004D0196"/>
    <w:rsid w:val="004D139A"/>
    <w:rsid w:val="004D14DC"/>
    <w:rsid w:val="004D17C6"/>
    <w:rsid w:val="004D2858"/>
    <w:rsid w:val="004D2E49"/>
    <w:rsid w:val="004D35BA"/>
    <w:rsid w:val="004D38E5"/>
    <w:rsid w:val="004D3C5A"/>
    <w:rsid w:val="004D449A"/>
    <w:rsid w:val="004D4701"/>
    <w:rsid w:val="004D47C7"/>
    <w:rsid w:val="004D4B2B"/>
    <w:rsid w:val="004D4F35"/>
    <w:rsid w:val="004D51EE"/>
    <w:rsid w:val="004D5D45"/>
    <w:rsid w:val="004D618D"/>
    <w:rsid w:val="004D62A9"/>
    <w:rsid w:val="004D6FC3"/>
    <w:rsid w:val="004D7476"/>
    <w:rsid w:val="004D7716"/>
    <w:rsid w:val="004E0306"/>
    <w:rsid w:val="004E0572"/>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0E50"/>
    <w:rsid w:val="004F1D2A"/>
    <w:rsid w:val="004F243F"/>
    <w:rsid w:val="004F252C"/>
    <w:rsid w:val="004F36A3"/>
    <w:rsid w:val="004F3E0C"/>
    <w:rsid w:val="004F4308"/>
    <w:rsid w:val="004F7160"/>
    <w:rsid w:val="004F7DD0"/>
    <w:rsid w:val="00500258"/>
    <w:rsid w:val="00500B2D"/>
    <w:rsid w:val="00501A99"/>
    <w:rsid w:val="00503180"/>
    <w:rsid w:val="005038A4"/>
    <w:rsid w:val="00504CD4"/>
    <w:rsid w:val="0050524B"/>
    <w:rsid w:val="00505450"/>
    <w:rsid w:val="00505FC6"/>
    <w:rsid w:val="005100B7"/>
    <w:rsid w:val="005105DE"/>
    <w:rsid w:val="005113C9"/>
    <w:rsid w:val="00511D0F"/>
    <w:rsid w:val="00512050"/>
    <w:rsid w:val="00512055"/>
    <w:rsid w:val="0051280C"/>
    <w:rsid w:val="00512842"/>
    <w:rsid w:val="005128BE"/>
    <w:rsid w:val="0051356F"/>
    <w:rsid w:val="00513E7C"/>
    <w:rsid w:val="005140BB"/>
    <w:rsid w:val="00514FBE"/>
    <w:rsid w:val="00514FD9"/>
    <w:rsid w:val="0051550A"/>
    <w:rsid w:val="0051608F"/>
    <w:rsid w:val="00516480"/>
    <w:rsid w:val="00520EF8"/>
    <w:rsid w:val="005210F7"/>
    <w:rsid w:val="00521753"/>
    <w:rsid w:val="0052239D"/>
    <w:rsid w:val="005224EE"/>
    <w:rsid w:val="00522879"/>
    <w:rsid w:val="00523BB1"/>
    <w:rsid w:val="00524B23"/>
    <w:rsid w:val="0052570E"/>
    <w:rsid w:val="005260CD"/>
    <w:rsid w:val="00526265"/>
    <w:rsid w:val="0052655D"/>
    <w:rsid w:val="005265E0"/>
    <w:rsid w:val="00526BC3"/>
    <w:rsid w:val="00526FA3"/>
    <w:rsid w:val="00530064"/>
    <w:rsid w:val="00531761"/>
    <w:rsid w:val="0053248F"/>
    <w:rsid w:val="005327AB"/>
    <w:rsid w:val="0053332A"/>
    <w:rsid w:val="0053358A"/>
    <w:rsid w:val="00534668"/>
    <w:rsid w:val="00534DDD"/>
    <w:rsid w:val="00535291"/>
    <w:rsid w:val="00535A94"/>
    <w:rsid w:val="00537874"/>
    <w:rsid w:val="0053795F"/>
    <w:rsid w:val="00537D3D"/>
    <w:rsid w:val="00540511"/>
    <w:rsid w:val="00540578"/>
    <w:rsid w:val="00540808"/>
    <w:rsid w:val="0054080E"/>
    <w:rsid w:val="00540D1A"/>
    <w:rsid w:val="00540DE5"/>
    <w:rsid w:val="00540EA1"/>
    <w:rsid w:val="00541E5A"/>
    <w:rsid w:val="0054358E"/>
    <w:rsid w:val="00543AF4"/>
    <w:rsid w:val="00543F53"/>
    <w:rsid w:val="00544191"/>
    <w:rsid w:val="0054440C"/>
    <w:rsid w:val="005448EC"/>
    <w:rsid w:val="00544C0A"/>
    <w:rsid w:val="00544F39"/>
    <w:rsid w:val="005457FB"/>
    <w:rsid w:val="00546B96"/>
    <w:rsid w:val="00546F90"/>
    <w:rsid w:val="00547EFB"/>
    <w:rsid w:val="00550192"/>
    <w:rsid w:val="005522F2"/>
    <w:rsid w:val="005531DF"/>
    <w:rsid w:val="00553874"/>
    <w:rsid w:val="00553DCE"/>
    <w:rsid w:val="00554577"/>
    <w:rsid w:val="00554AD8"/>
    <w:rsid w:val="00554F78"/>
    <w:rsid w:val="00555DA1"/>
    <w:rsid w:val="00556BF7"/>
    <w:rsid w:val="00556E53"/>
    <w:rsid w:val="00557F60"/>
    <w:rsid w:val="00561730"/>
    <w:rsid w:val="00561B97"/>
    <w:rsid w:val="00562149"/>
    <w:rsid w:val="005640EB"/>
    <w:rsid w:val="005666A4"/>
    <w:rsid w:val="00567B5D"/>
    <w:rsid w:val="00570757"/>
    <w:rsid w:val="00573733"/>
    <w:rsid w:val="00573F8B"/>
    <w:rsid w:val="00574554"/>
    <w:rsid w:val="00574E06"/>
    <w:rsid w:val="005751BB"/>
    <w:rsid w:val="00576089"/>
    <w:rsid w:val="005764B1"/>
    <w:rsid w:val="00576852"/>
    <w:rsid w:val="00576D06"/>
    <w:rsid w:val="005779E4"/>
    <w:rsid w:val="00580EC7"/>
    <w:rsid w:val="0058289C"/>
    <w:rsid w:val="005836C7"/>
    <w:rsid w:val="0058408E"/>
    <w:rsid w:val="005844C3"/>
    <w:rsid w:val="00585374"/>
    <w:rsid w:val="005854CA"/>
    <w:rsid w:val="00585FAB"/>
    <w:rsid w:val="00590B77"/>
    <w:rsid w:val="00590D9A"/>
    <w:rsid w:val="005913A3"/>
    <w:rsid w:val="00591A5A"/>
    <w:rsid w:val="005940D4"/>
    <w:rsid w:val="00594A7B"/>
    <w:rsid w:val="0059580E"/>
    <w:rsid w:val="00595D90"/>
    <w:rsid w:val="00596A6F"/>
    <w:rsid w:val="00596FCE"/>
    <w:rsid w:val="005A11BC"/>
    <w:rsid w:val="005A1525"/>
    <w:rsid w:val="005A1E17"/>
    <w:rsid w:val="005A2254"/>
    <w:rsid w:val="005A252B"/>
    <w:rsid w:val="005A2A8F"/>
    <w:rsid w:val="005A3008"/>
    <w:rsid w:val="005A3204"/>
    <w:rsid w:val="005A3341"/>
    <w:rsid w:val="005A3C3D"/>
    <w:rsid w:val="005A46EC"/>
    <w:rsid w:val="005A5EAE"/>
    <w:rsid w:val="005A6407"/>
    <w:rsid w:val="005A726C"/>
    <w:rsid w:val="005B07EC"/>
    <w:rsid w:val="005B2B11"/>
    <w:rsid w:val="005B32A4"/>
    <w:rsid w:val="005B3371"/>
    <w:rsid w:val="005B338D"/>
    <w:rsid w:val="005B33A1"/>
    <w:rsid w:val="005B3852"/>
    <w:rsid w:val="005B3BAF"/>
    <w:rsid w:val="005B4DA3"/>
    <w:rsid w:val="005B5BEE"/>
    <w:rsid w:val="005B77D2"/>
    <w:rsid w:val="005C0195"/>
    <w:rsid w:val="005C019B"/>
    <w:rsid w:val="005C08D0"/>
    <w:rsid w:val="005C1AED"/>
    <w:rsid w:val="005C2136"/>
    <w:rsid w:val="005C30F5"/>
    <w:rsid w:val="005C3840"/>
    <w:rsid w:val="005C51A5"/>
    <w:rsid w:val="005C557A"/>
    <w:rsid w:val="005C566F"/>
    <w:rsid w:val="005C5C47"/>
    <w:rsid w:val="005C61DD"/>
    <w:rsid w:val="005C6438"/>
    <w:rsid w:val="005C6B8B"/>
    <w:rsid w:val="005C727F"/>
    <w:rsid w:val="005D02E3"/>
    <w:rsid w:val="005D1F34"/>
    <w:rsid w:val="005D2C1F"/>
    <w:rsid w:val="005D34B2"/>
    <w:rsid w:val="005D3B54"/>
    <w:rsid w:val="005D40CD"/>
    <w:rsid w:val="005D6B59"/>
    <w:rsid w:val="005D784B"/>
    <w:rsid w:val="005E03E4"/>
    <w:rsid w:val="005E0454"/>
    <w:rsid w:val="005E05F6"/>
    <w:rsid w:val="005E1B9D"/>
    <w:rsid w:val="005E1BDA"/>
    <w:rsid w:val="005E2442"/>
    <w:rsid w:val="005E3111"/>
    <w:rsid w:val="005E3CA0"/>
    <w:rsid w:val="005E3F85"/>
    <w:rsid w:val="005E4A5F"/>
    <w:rsid w:val="005E516A"/>
    <w:rsid w:val="005E57B0"/>
    <w:rsid w:val="005E5B01"/>
    <w:rsid w:val="005E6D3B"/>
    <w:rsid w:val="005F009E"/>
    <w:rsid w:val="005F0DF1"/>
    <w:rsid w:val="005F1516"/>
    <w:rsid w:val="005F1A6F"/>
    <w:rsid w:val="005F229E"/>
    <w:rsid w:val="005F2564"/>
    <w:rsid w:val="005F3822"/>
    <w:rsid w:val="005F4635"/>
    <w:rsid w:val="005F4900"/>
    <w:rsid w:val="005F4E52"/>
    <w:rsid w:val="005F6D58"/>
    <w:rsid w:val="005F7383"/>
    <w:rsid w:val="0060058E"/>
    <w:rsid w:val="00602A3C"/>
    <w:rsid w:val="00603EFD"/>
    <w:rsid w:val="0060475B"/>
    <w:rsid w:val="00604BED"/>
    <w:rsid w:val="00604FB6"/>
    <w:rsid w:val="00605387"/>
    <w:rsid w:val="00606302"/>
    <w:rsid w:val="006076FD"/>
    <w:rsid w:val="0061077B"/>
    <w:rsid w:val="00610811"/>
    <w:rsid w:val="0061143F"/>
    <w:rsid w:val="006114D8"/>
    <w:rsid w:val="00613553"/>
    <w:rsid w:val="00613601"/>
    <w:rsid w:val="00613791"/>
    <w:rsid w:val="006150D6"/>
    <w:rsid w:val="00615245"/>
    <w:rsid w:val="0061590D"/>
    <w:rsid w:val="00615AAB"/>
    <w:rsid w:val="00617EEE"/>
    <w:rsid w:val="00620A1F"/>
    <w:rsid w:val="0062114B"/>
    <w:rsid w:val="0062169D"/>
    <w:rsid w:val="0062181E"/>
    <w:rsid w:val="0062211B"/>
    <w:rsid w:val="00622BB7"/>
    <w:rsid w:val="00622C1E"/>
    <w:rsid w:val="00623389"/>
    <w:rsid w:val="00623DAA"/>
    <w:rsid w:val="00623FAF"/>
    <w:rsid w:val="006265C4"/>
    <w:rsid w:val="0062678A"/>
    <w:rsid w:val="006270AF"/>
    <w:rsid w:val="00632950"/>
    <w:rsid w:val="00634367"/>
    <w:rsid w:val="00636CE3"/>
    <w:rsid w:val="00640082"/>
    <w:rsid w:val="00640291"/>
    <w:rsid w:val="00640EFE"/>
    <w:rsid w:val="00641D6D"/>
    <w:rsid w:val="00641FAC"/>
    <w:rsid w:val="00642B2C"/>
    <w:rsid w:val="00643664"/>
    <w:rsid w:val="00643CAA"/>
    <w:rsid w:val="00644F16"/>
    <w:rsid w:val="006455EB"/>
    <w:rsid w:val="006456C2"/>
    <w:rsid w:val="00645A65"/>
    <w:rsid w:val="00646959"/>
    <w:rsid w:val="00646A71"/>
    <w:rsid w:val="006477F0"/>
    <w:rsid w:val="006478E4"/>
    <w:rsid w:val="00650475"/>
    <w:rsid w:val="0065171A"/>
    <w:rsid w:val="00652680"/>
    <w:rsid w:val="00653CDE"/>
    <w:rsid w:val="00654585"/>
    <w:rsid w:val="0065566E"/>
    <w:rsid w:val="00655A89"/>
    <w:rsid w:val="00655AB6"/>
    <w:rsid w:val="00655EFA"/>
    <w:rsid w:val="00656061"/>
    <w:rsid w:val="00656281"/>
    <w:rsid w:val="0065636A"/>
    <w:rsid w:val="00657003"/>
    <w:rsid w:val="00660238"/>
    <w:rsid w:val="006602EF"/>
    <w:rsid w:val="00660B0C"/>
    <w:rsid w:val="00661277"/>
    <w:rsid w:val="006619E0"/>
    <w:rsid w:val="00663FEA"/>
    <w:rsid w:val="00664803"/>
    <w:rsid w:val="006657C5"/>
    <w:rsid w:val="006661A4"/>
    <w:rsid w:val="00666AC0"/>
    <w:rsid w:val="006670E0"/>
    <w:rsid w:val="006671B8"/>
    <w:rsid w:val="00667275"/>
    <w:rsid w:val="00667532"/>
    <w:rsid w:val="0066783E"/>
    <w:rsid w:val="00667E53"/>
    <w:rsid w:val="006706C3"/>
    <w:rsid w:val="006711C4"/>
    <w:rsid w:val="006713AB"/>
    <w:rsid w:val="00672CA5"/>
    <w:rsid w:val="00673711"/>
    <w:rsid w:val="00673F82"/>
    <w:rsid w:val="00674F74"/>
    <w:rsid w:val="0067508F"/>
    <w:rsid w:val="00677576"/>
    <w:rsid w:val="0068051E"/>
    <w:rsid w:val="00680B9D"/>
    <w:rsid w:val="00681F13"/>
    <w:rsid w:val="0068231C"/>
    <w:rsid w:val="00682332"/>
    <w:rsid w:val="00682344"/>
    <w:rsid w:val="00682F28"/>
    <w:rsid w:val="00683515"/>
    <w:rsid w:val="00683804"/>
    <w:rsid w:val="00684842"/>
    <w:rsid w:val="006859AA"/>
    <w:rsid w:val="00685BD6"/>
    <w:rsid w:val="00687116"/>
    <w:rsid w:val="006878A6"/>
    <w:rsid w:val="00687D5F"/>
    <w:rsid w:val="00690437"/>
    <w:rsid w:val="00690830"/>
    <w:rsid w:val="00690DC3"/>
    <w:rsid w:val="00690E65"/>
    <w:rsid w:val="006911B7"/>
    <w:rsid w:val="00691387"/>
    <w:rsid w:val="0069188E"/>
    <w:rsid w:val="00691974"/>
    <w:rsid w:val="00692BF6"/>
    <w:rsid w:val="00692CE6"/>
    <w:rsid w:val="00693186"/>
    <w:rsid w:val="00693381"/>
    <w:rsid w:val="00693B6C"/>
    <w:rsid w:val="006942AE"/>
    <w:rsid w:val="00695421"/>
    <w:rsid w:val="00697626"/>
    <w:rsid w:val="00697BD3"/>
    <w:rsid w:val="00697DFA"/>
    <w:rsid w:val="006A16D5"/>
    <w:rsid w:val="006A1772"/>
    <w:rsid w:val="006A1780"/>
    <w:rsid w:val="006A21DD"/>
    <w:rsid w:val="006A26C6"/>
    <w:rsid w:val="006A3302"/>
    <w:rsid w:val="006A3B28"/>
    <w:rsid w:val="006A4FEE"/>
    <w:rsid w:val="006A5549"/>
    <w:rsid w:val="006A703E"/>
    <w:rsid w:val="006A7721"/>
    <w:rsid w:val="006A7BE3"/>
    <w:rsid w:val="006A7D32"/>
    <w:rsid w:val="006B01D1"/>
    <w:rsid w:val="006B0DF4"/>
    <w:rsid w:val="006B16EA"/>
    <w:rsid w:val="006B1780"/>
    <w:rsid w:val="006B21DC"/>
    <w:rsid w:val="006B224E"/>
    <w:rsid w:val="006B376E"/>
    <w:rsid w:val="006B4589"/>
    <w:rsid w:val="006B5157"/>
    <w:rsid w:val="006B610E"/>
    <w:rsid w:val="006B6805"/>
    <w:rsid w:val="006B6C07"/>
    <w:rsid w:val="006B6DE0"/>
    <w:rsid w:val="006C16C3"/>
    <w:rsid w:val="006C2187"/>
    <w:rsid w:val="006C27D9"/>
    <w:rsid w:val="006C32F4"/>
    <w:rsid w:val="006C3C54"/>
    <w:rsid w:val="006C4B6B"/>
    <w:rsid w:val="006C4CE1"/>
    <w:rsid w:val="006C4F9F"/>
    <w:rsid w:val="006C71A2"/>
    <w:rsid w:val="006C73EC"/>
    <w:rsid w:val="006D0C1D"/>
    <w:rsid w:val="006D28F3"/>
    <w:rsid w:val="006D2E9D"/>
    <w:rsid w:val="006D4A4E"/>
    <w:rsid w:val="006D4C42"/>
    <w:rsid w:val="006D5389"/>
    <w:rsid w:val="006D53A2"/>
    <w:rsid w:val="006D5809"/>
    <w:rsid w:val="006D607E"/>
    <w:rsid w:val="006D6E12"/>
    <w:rsid w:val="006D70CB"/>
    <w:rsid w:val="006D715C"/>
    <w:rsid w:val="006D7363"/>
    <w:rsid w:val="006D774E"/>
    <w:rsid w:val="006E0754"/>
    <w:rsid w:val="006E2668"/>
    <w:rsid w:val="006E2D39"/>
    <w:rsid w:val="006E2FE9"/>
    <w:rsid w:val="006E32B0"/>
    <w:rsid w:val="006E348E"/>
    <w:rsid w:val="006E396A"/>
    <w:rsid w:val="006E3D63"/>
    <w:rsid w:val="006E58BF"/>
    <w:rsid w:val="006E5DD8"/>
    <w:rsid w:val="006E5EA1"/>
    <w:rsid w:val="006E6DEE"/>
    <w:rsid w:val="006E7D4B"/>
    <w:rsid w:val="006F018A"/>
    <w:rsid w:val="006F0760"/>
    <w:rsid w:val="006F11E2"/>
    <w:rsid w:val="006F2574"/>
    <w:rsid w:val="006F3231"/>
    <w:rsid w:val="006F3DE3"/>
    <w:rsid w:val="006F4787"/>
    <w:rsid w:val="006F61D8"/>
    <w:rsid w:val="006F62B7"/>
    <w:rsid w:val="006F70BC"/>
    <w:rsid w:val="006F726C"/>
    <w:rsid w:val="006F7E7C"/>
    <w:rsid w:val="0070174E"/>
    <w:rsid w:val="007018DB"/>
    <w:rsid w:val="00701DE6"/>
    <w:rsid w:val="00702740"/>
    <w:rsid w:val="0070381B"/>
    <w:rsid w:val="0070796C"/>
    <w:rsid w:val="007109BB"/>
    <w:rsid w:val="00710EBF"/>
    <w:rsid w:val="007110B8"/>
    <w:rsid w:val="0071209F"/>
    <w:rsid w:val="007125A2"/>
    <w:rsid w:val="00713DD9"/>
    <w:rsid w:val="00713F79"/>
    <w:rsid w:val="007148A8"/>
    <w:rsid w:val="00716AC8"/>
    <w:rsid w:val="00716E54"/>
    <w:rsid w:val="0072033C"/>
    <w:rsid w:val="00720B1B"/>
    <w:rsid w:val="00721062"/>
    <w:rsid w:val="00721E5D"/>
    <w:rsid w:val="007229D4"/>
    <w:rsid w:val="007230F8"/>
    <w:rsid w:val="007233F4"/>
    <w:rsid w:val="00724044"/>
    <w:rsid w:val="007248D3"/>
    <w:rsid w:val="00724DF8"/>
    <w:rsid w:val="00725137"/>
    <w:rsid w:val="007252DA"/>
    <w:rsid w:val="00725378"/>
    <w:rsid w:val="00727A43"/>
    <w:rsid w:val="00727FF2"/>
    <w:rsid w:val="00730550"/>
    <w:rsid w:val="00730C2A"/>
    <w:rsid w:val="00731434"/>
    <w:rsid w:val="00731E59"/>
    <w:rsid w:val="00732022"/>
    <w:rsid w:val="00732337"/>
    <w:rsid w:val="007323E0"/>
    <w:rsid w:val="00732911"/>
    <w:rsid w:val="00733721"/>
    <w:rsid w:val="00733DE2"/>
    <w:rsid w:val="00734142"/>
    <w:rsid w:val="007352EA"/>
    <w:rsid w:val="00737267"/>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89C"/>
    <w:rsid w:val="00747DE2"/>
    <w:rsid w:val="007502D0"/>
    <w:rsid w:val="007504BF"/>
    <w:rsid w:val="007506CD"/>
    <w:rsid w:val="0075267F"/>
    <w:rsid w:val="007526EC"/>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A90"/>
    <w:rsid w:val="00772F8D"/>
    <w:rsid w:val="0077408D"/>
    <w:rsid w:val="00774270"/>
    <w:rsid w:val="007743F6"/>
    <w:rsid w:val="00775679"/>
    <w:rsid w:val="0077574F"/>
    <w:rsid w:val="00775823"/>
    <w:rsid w:val="00777153"/>
    <w:rsid w:val="007777CC"/>
    <w:rsid w:val="00777B32"/>
    <w:rsid w:val="0078051E"/>
    <w:rsid w:val="00781089"/>
    <w:rsid w:val="007838F3"/>
    <w:rsid w:val="007856FE"/>
    <w:rsid w:val="00785F46"/>
    <w:rsid w:val="007865F4"/>
    <w:rsid w:val="00786D5C"/>
    <w:rsid w:val="00786E96"/>
    <w:rsid w:val="00787BB6"/>
    <w:rsid w:val="00787DFF"/>
    <w:rsid w:val="00787F93"/>
    <w:rsid w:val="00791E6D"/>
    <w:rsid w:val="00791EB5"/>
    <w:rsid w:val="0079343F"/>
    <w:rsid w:val="00793696"/>
    <w:rsid w:val="007955DA"/>
    <w:rsid w:val="00796CDD"/>
    <w:rsid w:val="00796DDF"/>
    <w:rsid w:val="00796F65"/>
    <w:rsid w:val="007A11C2"/>
    <w:rsid w:val="007A18BB"/>
    <w:rsid w:val="007A2714"/>
    <w:rsid w:val="007A27DD"/>
    <w:rsid w:val="007A338C"/>
    <w:rsid w:val="007A41BF"/>
    <w:rsid w:val="007A490A"/>
    <w:rsid w:val="007A7B95"/>
    <w:rsid w:val="007B0297"/>
    <w:rsid w:val="007B02FA"/>
    <w:rsid w:val="007B0F53"/>
    <w:rsid w:val="007B21AE"/>
    <w:rsid w:val="007B2570"/>
    <w:rsid w:val="007B3113"/>
    <w:rsid w:val="007B3304"/>
    <w:rsid w:val="007B3BF0"/>
    <w:rsid w:val="007B5FE6"/>
    <w:rsid w:val="007B7490"/>
    <w:rsid w:val="007C03B6"/>
    <w:rsid w:val="007C0525"/>
    <w:rsid w:val="007C13F7"/>
    <w:rsid w:val="007C1D77"/>
    <w:rsid w:val="007C218D"/>
    <w:rsid w:val="007C2D28"/>
    <w:rsid w:val="007C3E22"/>
    <w:rsid w:val="007C4801"/>
    <w:rsid w:val="007C58C1"/>
    <w:rsid w:val="007C6218"/>
    <w:rsid w:val="007C6484"/>
    <w:rsid w:val="007C67C6"/>
    <w:rsid w:val="007C76F4"/>
    <w:rsid w:val="007C78BE"/>
    <w:rsid w:val="007C7A5D"/>
    <w:rsid w:val="007C7E59"/>
    <w:rsid w:val="007D0476"/>
    <w:rsid w:val="007D0B91"/>
    <w:rsid w:val="007D0FE7"/>
    <w:rsid w:val="007D1452"/>
    <w:rsid w:val="007D1563"/>
    <w:rsid w:val="007D3DCB"/>
    <w:rsid w:val="007D460C"/>
    <w:rsid w:val="007D4996"/>
    <w:rsid w:val="007D4AD3"/>
    <w:rsid w:val="007D5D19"/>
    <w:rsid w:val="007D5FDC"/>
    <w:rsid w:val="007D6176"/>
    <w:rsid w:val="007D69CD"/>
    <w:rsid w:val="007D6C3F"/>
    <w:rsid w:val="007D6D68"/>
    <w:rsid w:val="007E194F"/>
    <w:rsid w:val="007E32DA"/>
    <w:rsid w:val="007E4998"/>
    <w:rsid w:val="007E4A9C"/>
    <w:rsid w:val="007E6914"/>
    <w:rsid w:val="007E7A0F"/>
    <w:rsid w:val="007E7F78"/>
    <w:rsid w:val="007F0179"/>
    <w:rsid w:val="007F01BC"/>
    <w:rsid w:val="007F17AF"/>
    <w:rsid w:val="007F2C13"/>
    <w:rsid w:val="007F2CEC"/>
    <w:rsid w:val="007F2ED1"/>
    <w:rsid w:val="007F3435"/>
    <w:rsid w:val="007F505D"/>
    <w:rsid w:val="007F531B"/>
    <w:rsid w:val="007F55DE"/>
    <w:rsid w:val="007F762D"/>
    <w:rsid w:val="007F78F0"/>
    <w:rsid w:val="007F78FF"/>
    <w:rsid w:val="008001C5"/>
    <w:rsid w:val="00800F6C"/>
    <w:rsid w:val="00801065"/>
    <w:rsid w:val="00802C0B"/>
    <w:rsid w:val="00805040"/>
    <w:rsid w:val="008051FC"/>
    <w:rsid w:val="008055A9"/>
    <w:rsid w:val="008056C4"/>
    <w:rsid w:val="008057FD"/>
    <w:rsid w:val="00805D8B"/>
    <w:rsid w:val="0081010F"/>
    <w:rsid w:val="00810472"/>
    <w:rsid w:val="00810BB6"/>
    <w:rsid w:val="00810E8E"/>
    <w:rsid w:val="00812C44"/>
    <w:rsid w:val="008135E1"/>
    <w:rsid w:val="00813779"/>
    <w:rsid w:val="00813E26"/>
    <w:rsid w:val="0081481D"/>
    <w:rsid w:val="00814BE8"/>
    <w:rsid w:val="00814F6E"/>
    <w:rsid w:val="00815B84"/>
    <w:rsid w:val="00816342"/>
    <w:rsid w:val="008166F6"/>
    <w:rsid w:val="00816BE9"/>
    <w:rsid w:val="00817D10"/>
    <w:rsid w:val="00822518"/>
    <w:rsid w:val="008226F5"/>
    <w:rsid w:val="00823FC6"/>
    <w:rsid w:val="00824306"/>
    <w:rsid w:val="00825C74"/>
    <w:rsid w:val="00825CFA"/>
    <w:rsid w:val="00826AB9"/>
    <w:rsid w:val="00826E0E"/>
    <w:rsid w:val="00827D11"/>
    <w:rsid w:val="00827E0F"/>
    <w:rsid w:val="00827F6E"/>
    <w:rsid w:val="00831758"/>
    <w:rsid w:val="008317D9"/>
    <w:rsid w:val="00831AEC"/>
    <w:rsid w:val="0083279F"/>
    <w:rsid w:val="00832CE9"/>
    <w:rsid w:val="008334DB"/>
    <w:rsid w:val="00833B7F"/>
    <w:rsid w:val="00833E8E"/>
    <w:rsid w:val="00834906"/>
    <w:rsid w:val="00836075"/>
    <w:rsid w:val="00836417"/>
    <w:rsid w:val="00837526"/>
    <w:rsid w:val="008407A7"/>
    <w:rsid w:val="0084322B"/>
    <w:rsid w:val="00843F81"/>
    <w:rsid w:val="00844087"/>
    <w:rsid w:val="008448F1"/>
    <w:rsid w:val="0084519E"/>
    <w:rsid w:val="00845CAE"/>
    <w:rsid w:val="008462C5"/>
    <w:rsid w:val="008462FA"/>
    <w:rsid w:val="00846370"/>
    <w:rsid w:val="00846873"/>
    <w:rsid w:val="008477E7"/>
    <w:rsid w:val="00847C2B"/>
    <w:rsid w:val="00850272"/>
    <w:rsid w:val="008506B9"/>
    <w:rsid w:val="0085086F"/>
    <w:rsid w:val="00851822"/>
    <w:rsid w:val="00851C16"/>
    <w:rsid w:val="008532BF"/>
    <w:rsid w:val="008539B2"/>
    <w:rsid w:val="00853BF4"/>
    <w:rsid w:val="00854294"/>
    <w:rsid w:val="00854295"/>
    <w:rsid w:val="0085572E"/>
    <w:rsid w:val="0085788B"/>
    <w:rsid w:val="00857A9E"/>
    <w:rsid w:val="00857DE2"/>
    <w:rsid w:val="0086003D"/>
    <w:rsid w:val="008631A2"/>
    <w:rsid w:val="00863A8E"/>
    <w:rsid w:val="0086407F"/>
    <w:rsid w:val="008645E3"/>
    <w:rsid w:val="00864E79"/>
    <w:rsid w:val="0086572B"/>
    <w:rsid w:val="00866615"/>
    <w:rsid w:val="0086661F"/>
    <w:rsid w:val="00866A0D"/>
    <w:rsid w:val="00866DB5"/>
    <w:rsid w:val="0086701D"/>
    <w:rsid w:val="0086702B"/>
    <w:rsid w:val="008672E2"/>
    <w:rsid w:val="0086784E"/>
    <w:rsid w:val="008709D1"/>
    <w:rsid w:val="0087121C"/>
    <w:rsid w:val="00871FD2"/>
    <w:rsid w:val="00872084"/>
    <w:rsid w:val="00872827"/>
    <w:rsid w:val="00872A32"/>
    <w:rsid w:val="0087377C"/>
    <w:rsid w:val="008743E3"/>
    <w:rsid w:val="00874911"/>
    <w:rsid w:val="008754E4"/>
    <w:rsid w:val="00876EAE"/>
    <w:rsid w:val="00880106"/>
    <w:rsid w:val="00880F95"/>
    <w:rsid w:val="00882B44"/>
    <w:rsid w:val="008838AD"/>
    <w:rsid w:val="00885BC9"/>
    <w:rsid w:val="008864B3"/>
    <w:rsid w:val="008865E5"/>
    <w:rsid w:val="008871B0"/>
    <w:rsid w:val="00890B57"/>
    <w:rsid w:val="008916BA"/>
    <w:rsid w:val="00891A93"/>
    <w:rsid w:val="0089217C"/>
    <w:rsid w:val="00892790"/>
    <w:rsid w:val="00893261"/>
    <w:rsid w:val="00893671"/>
    <w:rsid w:val="00895838"/>
    <w:rsid w:val="00895A1E"/>
    <w:rsid w:val="00895A72"/>
    <w:rsid w:val="00895CDF"/>
    <w:rsid w:val="00896679"/>
    <w:rsid w:val="00896D8C"/>
    <w:rsid w:val="008A0FC9"/>
    <w:rsid w:val="008A1956"/>
    <w:rsid w:val="008A1A7C"/>
    <w:rsid w:val="008A248A"/>
    <w:rsid w:val="008A2CE2"/>
    <w:rsid w:val="008A40D3"/>
    <w:rsid w:val="008A469C"/>
    <w:rsid w:val="008A50FB"/>
    <w:rsid w:val="008A51D1"/>
    <w:rsid w:val="008A5DCE"/>
    <w:rsid w:val="008A75D3"/>
    <w:rsid w:val="008B05DD"/>
    <w:rsid w:val="008B07B8"/>
    <w:rsid w:val="008B17E8"/>
    <w:rsid w:val="008B2C45"/>
    <w:rsid w:val="008B2E7C"/>
    <w:rsid w:val="008B399A"/>
    <w:rsid w:val="008B45F0"/>
    <w:rsid w:val="008B4A70"/>
    <w:rsid w:val="008B502F"/>
    <w:rsid w:val="008B6DFC"/>
    <w:rsid w:val="008B7227"/>
    <w:rsid w:val="008C02FB"/>
    <w:rsid w:val="008C04E0"/>
    <w:rsid w:val="008C191C"/>
    <w:rsid w:val="008C1DA4"/>
    <w:rsid w:val="008C2138"/>
    <w:rsid w:val="008C29B0"/>
    <w:rsid w:val="008C2CD5"/>
    <w:rsid w:val="008C3618"/>
    <w:rsid w:val="008C39E7"/>
    <w:rsid w:val="008C43AD"/>
    <w:rsid w:val="008C6118"/>
    <w:rsid w:val="008C6341"/>
    <w:rsid w:val="008C653D"/>
    <w:rsid w:val="008C731F"/>
    <w:rsid w:val="008C74D9"/>
    <w:rsid w:val="008D2050"/>
    <w:rsid w:val="008D3B2D"/>
    <w:rsid w:val="008D4819"/>
    <w:rsid w:val="008D58D9"/>
    <w:rsid w:val="008D5AD4"/>
    <w:rsid w:val="008D5E24"/>
    <w:rsid w:val="008D695E"/>
    <w:rsid w:val="008D6DD5"/>
    <w:rsid w:val="008D6E59"/>
    <w:rsid w:val="008D7155"/>
    <w:rsid w:val="008D76E0"/>
    <w:rsid w:val="008E0B29"/>
    <w:rsid w:val="008E141A"/>
    <w:rsid w:val="008E1A44"/>
    <w:rsid w:val="008E28E6"/>
    <w:rsid w:val="008E3232"/>
    <w:rsid w:val="008E3674"/>
    <w:rsid w:val="008E3B6C"/>
    <w:rsid w:val="008E3DE7"/>
    <w:rsid w:val="008E5227"/>
    <w:rsid w:val="008E562C"/>
    <w:rsid w:val="008E6540"/>
    <w:rsid w:val="008E77D4"/>
    <w:rsid w:val="008E7ADD"/>
    <w:rsid w:val="008F091F"/>
    <w:rsid w:val="008F17B2"/>
    <w:rsid w:val="008F22B3"/>
    <w:rsid w:val="008F357B"/>
    <w:rsid w:val="008F44CA"/>
    <w:rsid w:val="008F49D3"/>
    <w:rsid w:val="008F6519"/>
    <w:rsid w:val="008F7012"/>
    <w:rsid w:val="008F7ADA"/>
    <w:rsid w:val="008F7B17"/>
    <w:rsid w:val="00900042"/>
    <w:rsid w:val="0090034B"/>
    <w:rsid w:val="0090087C"/>
    <w:rsid w:val="00901121"/>
    <w:rsid w:val="00902623"/>
    <w:rsid w:val="00902A67"/>
    <w:rsid w:val="00902C5E"/>
    <w:rsid w:val="00904BE4"/>
    <w:rsid w:val="0090504A"/>
    <w:rsid w:val="009051F5"/>
    <w:rsid w:val="00905221"/>
    <w:rsid w:val="00905664"/>
    <w:rsid w:val="00905A7C"/>
    <w:rsid w:val="00905D7E"/>
    <w:rsid w:val="00907037"/>
    <w:rsid w:val="00907259"/>
    <w:rsid w:val="00910C5D"/>
    <w:rsid w:val="0091112C"/>
    <w:rsid w:val="0091160A"/>
    <w:rsid w:val="00912E04"/>
    <w:rsid w:val="00913258"/>
    <w:rsid w:val="00913851"/>
    <w:rsid w:val="00913BB0"/>
    <w:rsid w:val="0091456C"/>
    <w:rsid w:val="00914C58"/>
    <w:rsid w:val="00914D7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6112"/>
    <w:rsid w:val="0092625F"/>
    <w:rsid w:val="00926B28"/>
    <w:rsid w:val="00926D9C"/>
    <w:rsid w:val="00926E66"/>
    <w:rsid w:val="00927028"/>
    <w:rsid w:val="00927763"/>
    <w:rsid w:val="00927A2D"/>
    <w:rsid w:val="00927B37"/>
    <w:rsid w:val="009321B1"/>
    <w:rsid w:val="009327F0"/>
    <w:rsid w:val="00932ED7"/>
    <w:rsid w:val="0093422D"/>
    <w:rsid w:val="0093483B"/>
    <w:rsid w:val="00934CF9"/>
    <w:rsid w:val="00934DD7"/>
    <w:rsid w:val="00935CB2"/>
    <w:rsid w:val="009369A9"/>
    <w:rsid w:val="00936CF7"/>
    <w:rsid w:val="00937783"/>
    <w:rsid w:val="00937EAD"/>
    <w:rsid w:val="00937F28"/>
    <w:rsid w:val="00940FE1"/>
    <w:rsid w:val="00941474"/>
    <w:rsid w:val="00942306"/>
    <w:rsid w:val="009424B8"/>
    <w:rsid w:val="009432E2"/>
    <w:rsid w:val="00944668"/>
    <w:rsid w:val="00944DC6"/>
    <w:rsid w:val="009458B0"/>
    <w:rsid w:val="00945B52"/>
    <w:rsid w:val="00945B7A"/>
    <w:rsid w:val="00945F05"/>
    <w:rsid w:val="00946348"/>
    <w:rsid w:val="00947224"/>
    <w:rsid w:val="00947797"/>
    <w:rsid w:val="009478A2"/>
    <w:rsid w:val="009533BD"/>
    <w:rsid w:val="009536FB"/>
    <w:rsid w:val="00953808"/>
    <w:rsid w:val="009539A6"/>
    <w:rsid w:val="00954032"/>
    <w:rsid w:val="00954537"/>
    <w:rsid w:val="0095472D"/>
    <w:rsid w:val="00955342"/>
    <w:rsid w:val="00955FBB"/>
    <w:rsid w:val="0095694B"/>
    <w:rsid w:val="00956BD5"/>
    <w:rsid w:val="00956D84"/>
    <w:rsid w:val="009577B5"/>
    <w:rsid w:val="009608E6"/>
    <w:rsid w:val="00960F57"/>
    <w:rsid w:val="00961C90"/>
    <w:rsid w:val="00965443"/>
    <w:rsid w:val="00965954"/>
    <w:rsid w:val="00965A21"/>
    <w:rsid w:val="00965E55"/>
    <w:rsid w:val="0096608E"/>
    <w:rsid w:val="00966522"/>
    <w:rsid w:val="00966C33"/>
    <w:rsid w:val="00970F18"/>
    <w:rsid w:val="00971CF1"/>
    <w:rsid w:val="00971F5D"/>
    <w:rsid w:val="0097206B"/>
    <w:rsid w:val="009721E9"/>
    <w:rsid w:val="00973772"/>
    <w:rsid w:val="00974C8A"/>
    <w:rsid w:val="0097560A"/>
    <w:rsid w:val="00975E1E"/>
    <w:rsid w:val="00975E70"/>
    <w:rsid w:val="009761DE"/>
    <w:rsid w:val="009766FA"/>
    <w:rsid w:val="00977CD6"/>
    <w:rsid w:val="0098048B"/>
    <w:rsid w:val="00980908"/>
    <w:rsid w:val="00980DF9"/>
    <w:rsid w:val="00981CD8"/>
    <w:rsid w:val="0098243D"/>
    <w:rsid w:val="00982D26"/>
    <w:rsid w:val="00983B6E"/>
    <w:rsid w:val="00983FE5"/>
    <w:rsid w:val="009849E9"/>
    <w:rsid w:val="00984AFF"/>
    <w:rsid w:val="009859E4"/>
    <w:rsid w:val="00985D7F"/>
    <w:rsid w:val="00987812"/>
    <w:rsid w:val="00990225"/>
    <w:rsid w:val="00991307"/>
    <w:rsid w:val="00991FAA"/>
    <w:rsid w:val="00992A13"/>
    <w:rsid w:val="00994AAD"/>
    <w:rsid w:val="00995150"/>
    <w:rsid w:val="009951A4"/>
    <w:rsid w:val="00995D67"/>
    <w:rsid w:val="00997613"/>
    <w:rsid w:val="009A013B"/>
    <w:rsid w:val="009A02F4"/>
    <w:rsid w:val="009A06BF"/>
    <w:rsid w:val="009A0D17"/>
    <w:rsid w:val="009A2494"/>
    <w:rsid w:val="009A32B1"/>
    <w:rsid w:val="009A33A3"/>
    <w:rsid w:val="009A36F2"/>
    <w:rsid w:val="009A383D"/>
    <w:rsid w:val="009A3C81"/>
    <w:rsid w:val="009A40C3"/>
    <w:rsid w:val="009A40D5"/>
    <w:rsid w:val="009A5268"/>
    <w:rsid w:val="009A56B1"/>
    <w:rsid w:val="009A57D0"/>
    <w:rsid w:val="009A6559"/>
    <w:rsid w:val="009A68FC"/>
    <w:rsid w:val="009A6CE4"/>
    <w:rsid w:val="009A7514"/>
    <w:rsid w:val="009A7E7A"/>
    <w:rsid w:val="009B0925"/>
    <w:rsid w:val="009B1584"/>
    <w:rsid w:val="009B18F0"/>
    <w:rsid w:val="009B1F4C"/>
    <w:rsid w:val="009B2471"/>
    <w:rsid w:val="009B2515"/>
    <w:rsid w:val="009B2A25"/>
    <w:rsid w:val="009B314F"/>
    <w:rsid w:val="009B439C"/>
    <w:rsid w:val="009B49A1"/>
    <w:rsid w:val="009B4A6C"/>
    <w:rsid w:val="009B4B06"/>
    <w:rsid w:val="009B4DA8"/>
    <w:rsid w:val="009B519A"/>
    <w:rsid w:val="009B620C"/>
    <w:rsid w:val="009B6753"/>
    <w:rsid w:val="009B676C"/>
    <w:rsid w:val="009B6A26"/>
    <w:rsid w:val="009B6BD0"/>
    <w:rsid w:val="009C079D"/>
    <w:rsid w:val="009C0D70"/>
    <w:rsid w:val="009C13D1"/>
    <w:rsid w:val="009C2913"/>
    <w:rsid w:val="009C2BD4"/>
    <w:rsid w:val="009C5AFE"/>
    <w:rsid w:val="009C6606"/>
    <w:rsid w:val="009C6CE5"/>
    <w:rsid w:val="009C6D50"/>
    <w:rsid w:val="009C7547"/>
    <w:rsid w:val="009D05EC"/>
    <w:rsid w:val="009D18D4"/>
    <w:rsid w:val="009D1FCF"/>
    <w:rsid w:val="009D2F60"/>
    <w:rsid w:val="009D3485"/>
    <w:rsid w:val="009D3A2E"/>
    <w:rsid w:val="009D5ADE"/>
    <w:rsid w:val="009D5BAC"/>
    <w:rsid w:val="009D5C56"/>
    <w:rsid w:val="009D6265"/>
    <w:rsid w:val="009D64BD"/>
    <w:rsid w:val="009D6CB1"/>
    <w:rsid w:val="009E0286"/>
    <w:rsid w:val="009E153F"/>
    <w:rsid w:val="009E18C5"/>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2F84"/>
    <w:rsid w:val="009F3447"/>
    <w:rsid w:val="009F4D20"/>
    <w:rsid w:val="009F65F4"/>
    <w:rsid w:val="009F676B"/>
    <w:rsid w:val="009F6D2D"/>
    <w:rsid w:val="009F6D54"/>
    <w:rsid w:val="009F7F7D"/>
    <w:rsid w:val="00A004DF"/>
    <w:rsid w:val="00A00FD5"/>
    <w:rsid w:val="00A012C0"/>
    <w:rsid w:val="00A019A8"/>
    <w:rsid w:val="00A01B03"/>
    <w:rsid w:val="00A01B89"/>
    <w:rsid w:val="00A02C66"/>
    <w:rsid w:val="00A02C84"/>
    <w:rsid w:val="00A0464C"/>
    <w:rsid w:val="00A050BB"/>
    <w:rsid w:val="00A0521B"/>
    <w:rsid w:val="00A054E0"/>
    <w:rsid w:val="00A05D91"/>
    <w:rsid w:val="00A0740B"/>
    <w:rsid w:val="00A07ED3"/>
    <w:rsid w:val="00A10CA8"/>
    <w:rsid w:val="00A11042"/>
    <w:rsid w:val="00A12260"/>
    <w:rsid w:val="00A12579"/>
    <w:rsid w:val="00A12CDC"/>
    <w:rsid w:val="00A133D8"/>
    <w:rsid w:val="00A15655"/>
    <w:rsid w:val="00A160B0"/>
    <w:rsid w:val="00A1740C"/>
    <w:rsid w:val="00A17904"/>
    <w:rsid w:val="00A20069"/>
    <w:rsid w:val="00A2244D"/>
    <w:rsid w:val="00A2253D"/>
    <w:rsid w:val="00A2267F"/>
    <w:rsid w:val="00A22CDB"/>
    <w:rsid w:val="00A247B8"/>
    <w:rsid w:val="00A2495A"/>
    <w:rsid w:val="00A24C7A"/>
    <w:rsid w:val="00A24D8F"/>
    <w:rsid w:val="00A25B8B"/>
    <w:rsid w:val="00A2689F"/>
    <w:rsid w:val="00A26ECA"/>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951"/>
    <w:rsid w:val="00A43A26"/>
    <w:rsid w:val="00A447A0"/>
    <w:rsid w:val="00A459F5"/>
    <w:rsid w:val="00A45FC0"/>
    <w:rsid w:val="00A46B74"/>
    <w:rsid w:val="00A47BF7"/>
    <w:rsid w:val="00A47ECC"/>
    <w:rsid w:val="00A50171"/>
    <w:rsid w:val="00A50444"/>
    <w:rsid w:val="00A504FA"/>
    <w:rsid w:val="00A5102E"/>
    <w:rsid w:val="00A5132E"/>
    <w:rsid w:val="00A51375"/>
    <w:rsid w:val="00A51533"/>
    <w:rsid w:val="00A531D4"/>
    <w:rsid w:val="00A54572"/>
    <w:rsid w:val="00A575B8"/>
    <w:rsid w:val="00A619BB"/>
    <w:rsid w:val="00A61BC6"/>
    <w:rsid w:val="00A61C60"/>
    <w:rsid w:val="00A61ECB"/>
    <w:rsid w:val="00A6410C"/>
    <w:rsid w:val="00A647B1"/>
    <w:rsid w:val="00A64DEF"/>
    <w:rsid w:val="00A654D2"/>
    <w:rsid w:val="00A665DF"/>
    <w:rsid w:val="00A67FCC"/>
    <w:rsid w:val="00A70AA5"/>
    <w:rsid w:val="00A70C03"/>
    <w:rsid w:val="00A71256"/>
    <w:rsid w:val="00A7217B"/>
    <w:rsid w:val="00A722D7"/>
    <w:rsid w:val="00A723A3"/>
    <w:rsid w:val="00A73861"/>
    <w:rsid w:val="00A739A6"/>
    <w:rsid w:val="00A740ED"/>
    <w:rsid w:val="00A74C29"/>
    <w:rsid w:val="00A74C62"/>
    <w:rsid w:val="00A75EF9"/>
    <w:rsid w:val="00A7657C"/>
    <w:rsid w:val="00A8311C"/>
    <w:rsid w:val="00A835D0"/>
    <w:rsid w:val="00A83754"/>
    <w:rsid w:val="00A84C5F"/>
    <w:rsid w:val="00A85930"/>
    <w:rsid w:val="00A863F7"/>
    <w:rsid w:val="00A86604"/>
    <w:rsid w:val="00A87519"/>
    <w:rsid w:val="00A9246D"/>
    <w:rsid w:val="00A92CCA"/>
    <w:rsid w:val="00A93BD0"/>
    <w:rsid w:val="00A93CC2"/>
    <w:rsid w:val="00A94D4B"/>
    <w:rsid w:val="00A9509F"/>
    <w:rsid w:val="00A95F11"/>
    <w:rsid w:val="00A974CC"/>
    <w:rsid w:val="00AA2001"/>
    <w:rsid w:val="00AA2B5C"/>
    <w:rsid w:val="00AA32D2"/>
    <w:rsid w:val="00AA3B8B"/>
    <w:rsid w:val="00AA4016"/>
    <w:rsid w:val="00AA4C1F"/>
    <w:rsid w:val="00AA5328"/>
    <w:rsid w:val="00AA5393"/>
    <w:rsid w:val="00AA63D4"/>
    <w:rsid w:val="00AB03FD"/>
    <w:rsid w:val="00AB2000"/>
    <w:rsid w:val="00AB38CB"/>
    <w:rsid w:val="00AB3BEC"/>
    <w:rsid w:val="00AB44E4"/>
    <w:rsid w:val="00AB4AEB"/>
    <w:rsid w:val="00AB4E5F"/>
    <w:rsid w:val="00AB5352"/>
    <w:rsid w:val="00AB56AE"/>
    <w:rsid w:val="00AB62D5"/>
    <w:rsid w:val="00AB65B5"/>
    <w:rsid w:val="00AB6DCD"/>
    <w:rsid w:val="00AB6EE0"/>
    <w:rsid w:val="00AC166D"/>
    <w:rsid w:val="00AC17A2"/>
    <w:rsid w:val="00AC272D"/>
    <w:rsid w:val="00AC40B7"/>
    <w:rsid w:val="00AC531F"/>
    <w:rsid w:val="00AC5B36"/>
    <w:rsid w:val="00AC6377"/>
    <w:rsid w:val="00AC66A4"/>
    <w:rsid w:val="00AC6CB1"/>
    <w:rsid w:val="00AC75E9"/>
    <w:rsid w:val="00AC7D6D"/>
    <w:rsid w:val="00AD0091"/>
    <w:rsid w:val="00AD23EF"/>
    <w:rsid w:val="00AD2662"/>
    <w:rsid w:val="00AD307B"/>
    <w:rsid w:val="00AD4014"/>
    <w:rsid w:val="00AD41B3"/>
    <w:rsid w:val="00AD5721"/>
    <w:rsid w:val="00AD69F0"/>
    <w:rsid w:val="00AD7127"/>
    <w:rsid w:val="00AD730C"/>
    <w:rsid w:val="00AE123A"/>
    <w:rsid w:val="00AE1539"/>
    <w:rsid w:val="00AE28A7"/>
    <w:rsid w:val="00AE2A98"/>
    <w:rsid w:val="00AE2CF2"/>
    <w:rsid w:val="00AE3012"/>
    <w:rsid w:val="00AE3297"/>
    <w:rsid w:val="00AE33A6"/>
    <w:rsid w:val="00AE3513"/>
    <w:rsid w:val="00AE3729"/>
    <w:rsid w:val="00AE4A3E"/>
    <w:rsid w:val="00AE4CCE"/>
    <w:rsid w:val="00AE5C6A"/>
    <w:rsid w:val="00AE7280"/>
    <w:rsid w:val="00AF01FA"/>
    <w:rsid w:val="00AF033A"/>
    <w:rsid w:val="00AF1658"/>
    <w:rsid w:val="00AF1699"/>
    <w:rsid w:val="00AF1FD3"/>
    <w:rsid w:val="00AF2910"/>
    <w:rsid w:val="00AF34B8"/>
    <w:rsid w:val="00AF3896"/>
    <w:rsid w:val="00AF39C9"/>
    <w:rsid w:val="00AF3FC2"/>
    <w:rsid w:val="00AF4DEC"/>
    <w:rsid w:val="00B003FF"/>
    <w:rsid w:val="00B0098A"/>
    <w:rsid w:val="00B00A5F"/>
    <w:rsid w:val="00B029B8"/>
    <w:rsid w:val="00B02F60"/>
    <w:rsid w:val="00B02F94"/>
    <w:rsid w:val="00B032B8"/>
    <w:rsid w:val="00B03B58"/>
    <w:rsid w:val="00B04721"/>
    <w:rsid w:val="00B04935"/>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014"/>
    <w:rsid w:val="00B20F18"/>
    <w:rsid w:val="00B21516"/>
    <w:rsid w:val="00B21A37"/>
    <w:rsid w:val="00B21D23"/>
    <w:rsid w:val="00B21F62"/>
    <w:rsid w:val="00B22CE0"/>
    <w:rsid w:val="00B23738"/>
    <w:rsid w:val="00B23BEF"/>
    <w:rsid w:val="00B247BB"/>
    <w:rsid w:val="00B2504A"/>
    <w:rsid w:val="00B25EE6"/>
    <w:rsid w:val="00B3115A"/>
    <w:rsid w:val="00B3178B"/>
    <w:rsid w:val="00B31825"/>
    <w:rsid w:val="00B31A5C"/>
    <w:rsid w:val="00B32265"/>
    <w:rsid w:val="00B3276D"/>
    <w:rsid w:val="00B33B06"/>
    <w:rsid w:val="00B33C19"/>
    <w:rsid w:val="00B34608"/>
    <w:rsid w:val="00B35A15"/>
    <w:rsid w:val="00B35B45"/>
    <w:rsid w:val="00B36165"/>
    <w:rsid w:val="00B36A99"/>
    <w:rsid w:val="00B42264"/>
    <w:rsid w:val="00B434B2"/>
    <w:rsid w:val="00B43D45"/>
    <w:rsid w:val="00B459AF"/>
    <w:rsid w:val="00B468F2"/>
    <w:rsid w:val="00B469DE"/>
    <w:rsid w:val="00B47286"/>
    <w:rsid w:val="00B47EB4"/>
    <w:rsid w:val="00B50234"/>
    <w:rsid w:val="00B51BF4"/>
    <w:rsid w:val="00B52C68"/>
    <w:rsid w:val="00B5372B"/>
    <w:rsid w:val="00B5384B"/>
    <w:rsid w:val="00B542FE"/>
    <w:rsid w:val="00B55A1B"/>
    <w:rsid w:val="00B561DB"/>
    <w:rsid w:val="00B56DF9"/>
    <w:rsid w:val="00B56E80"/>
    <w:rsid w:val="00B571F1"/>
    <w:rsid w:val="00B600BD"/>
    <w:rsid w:val="00B60E4E"/>
    <w:rsid w:val="00B61274"/>
    <w:rsid w:val="00B61DCE"/>
    <w:rsid w:val="00B62188"/>
    <w:rsid w:val="00B62F79"/>
    <w:rsid w:val="00B62F82"/>
    <w:rsid w:val="00B6306A"/>
    <w:rsid w:val="00B635E3"/>
    <w:rsid w:val="00B662FF"/>
    <w:rsid w:val="00B66679"/>
    <w:rsid w:val="00B70145"/>
    <w:rsid w:val="00B701D1"/>
    <w:rsid w:val="00B71A92"/>
    <w:rsid w:val="00B721D8"/>
    <w:rsid w:val="00B730CA"/>
    <w:rsid w:val="00B732EA"/>
    <w:rsid w:val="00B73747"/>
    <w:rsid w:val="00B747C5"/>
    <w:rsid w:val="00B74F2F"/>
    <w:rsid w:val="00B753ED"/>
    <w:rsid w:val="00B758E7"/>
    <w:rsid w:val="00B7665F"/>
    <w:rsid w:val="00B769BC"/>
    <w:rsid w:val="00B770F7"/>
    <w:rsid w:val="00B77349"/>
    <w:rsid w:val="00B7761E"/>
    <w:rsid w:val="00B80A3D"/>
    <w:rsid w:val="00B80B04"/>
    <w:rsid w:val="00B821E4"/>
    <w:rsid w:val="00B823E0"/>
    <w:rsid w:val="00B8260D"/>
    <w:rsid w:val="00B82B78"/>
    <w:rsid w:val="00B82DE9"/>
    <w:rsid w:val="00B838FD"/>
    <w:rsid w:val="00B845B4"/>
    <w:rsid w:val="00B84662"/>
    <w:rsid w:val="00B84C74"/>
    <w:rsid w:val="00B84CE9"/>
    <w:rsid w:val="00B85191"/>
    <w:rsid w:val="00B858A1"/>
    <w:rsid w:val="00B85FEC"/>
    <w:rsid w:val="00B864A3"/>
    <w:rsid w:val="00B86C2A"/>
    <w:rsid w:val="00B8759A"/>
    <w:rsid w:val="00B902A5"/>
    <w:rsid w:val="00B90420"/>
    <w:rsid w:val="00B90848"/>
    <w:rsid w:val="00B91146"/>
    <w:rsid w:val="00B913E4"/>
    <w:rsid w:val="00B91DB9"/>
    <w:rsid w:val="00B91FF3"/>
    <w:rsid w:val="00B925F8"/>
    <w:rsid w:val="00B93EFE"/>
    <w:rsid w:val="00B944B9"/>
    <w:rsid w:val="00B94956"/>
    <w:rsid w:val="00B949EB"/>
    <w:rsid w:val="00B94C7F"/>
    <w:rsid w:val="00B94E93"/>
    <w:rsid w:val="00B956B5"/>
    <w:rsid w:val="00B95956"/>
    <w:rsid w:val="00B96DF2"/>
    <w:rsid w:val="00B96E18"/>
    <w:rsid w:val="00B96F5A"/>
    <w:rsid w:val="00B970CA"/>
    <w:rsid w:val="00BA0B39"/>
    <w:rsid w:val="00BA0CB2"/>
    <w:rsid w:val="00BA0E26"/>
    <w:rsid w:val="00BA138B"/>
    <w:rsid w:val="00BA305B"/>
    <w:rsid w:val="00BA31BF"/>
    <w:rsid w:val="00BA3C0F"/>
    <w:rsid w:val="00BA3FC7"/>
    <w:rsid w:val="00BA478B"/>
    <w:rsid w:val="00BA4BB4"/>
    <w:rsid w:val="00BA5224"/>
    <w:rsid w:val="00BA575E"/>
    <w:rsid w:val="00BA76B7"/>
    <w:rsid w:val="00BA7E3B"/>
    <w:rsid w:val="00BB078D"/>
    <w:rsid w:val="00BB079C"/>
    <w:rsid w:val="00BB0D7A"/>
    <w:rsid w:val="00BB10E1"/>
    <w:rsid w:val="00BB2471"/>
    <w:rsid w:val="00BB3035"/>
    <w:rsid w:val="00BB366E"/>
    <w:rsid w:val="00BB39C1"/>
    <w:rsid w:val="00BB3DF5"/>
    <w:rsid w:val="00BB3EA7"/>
    <w:rsid w:val="00BB5D16"/>
    <w:rsid w:val="00BB6180"/>
    <w:rsid w:val="00BB69E6"/>
    <w:rsid w:val="00BB7323"/>
    <w:rsid w:val="00BB7BE5"/>
    <w:rsid w:val="00BC07C8"/>
    <w:rsid w:val="00BC08BD"/>
    <w:rsid w:val="00BC11E8"/>
    <w:rsid w:val="00BC1B7A"/>
    <w:rsid w:val="00BC2C17"/>
    <w:rsid w:val="00BC3ACD"/>
    <w:rsid w:val="00BC3B20"/>
    <w:rsid w:val="00BC3EE4"/>
    <w:rsid w:val="00BC588C"/>
    <w:rsid w:val="00BC6E73"/>
    <w:rsid w:val="00BC74D3"/>
    <w:rsid w:val="00BD0014"/>
    <w:rsid w:val="00BD01D8"/>
    <w:rsid w:val="00BD255F"/>
    <w:rsid w:val="00BD2895"/>
    <w:rsid w:val="00BD4236"/>
    <w:rsid w:val="00BD483B"/>
    <w:rsid w:val="00BD51F9"/>
    <w:rsid w:val="00BD5CD4"/>
    <w:rsid w:val="00BD65D9"/>
    <w:rsid w:val="00BD6DF3"/>
    <w:rsid w:val="00BD6E09"/>
    <w:rsid w:val="00BD6EF9"/>
    <w:rsid w:val="00BE0ACB"/>
    <w:rsid w:val="00BE1C07"/>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22E9"/>
    <w:rsid w:val="00BF4342"/>
    <w:rsid w:val="00BF4704"/>
    <w:rsid w:val="00BF4FFC"/>
    <w:rsid w:val="00BF5050"/>
    <w:rsid w:val="00BF50D1"/>
    <w:rsid w:val="00BF5422"/>
    <w:rsid w:val="00BF59B1"/>
    <w:rsid w:val="00BF606A"/>
    <w:rsid w:val="00BF6625"/>
    <w:rsid w:val="00BF6A78"/>
    <w:rsid w:val="00BF7695"/>
    <w:rsid w:val="00BF79B4"/>
    <w:rsid w:val="00BF7C61"/>
    <w:rsid w:val="00C01427"/>
    <w:rsid w:val="00C014C7"/>
    <w:rsid w:val="00C031CF"/>
    <w:rsid w:val="00C047AB"/>
    <w:rsid w:val="00C058AF"/>
    <w:rsid w:val="00C075B6"/>
    <w:rsid w:val="00C1066D"/>
    <w:rsid w:val="00C124C1"/>
    <w:rsid w:val="00C128AE"/>
    <w:rsid w:val="00C12BA8"/>
    <w:rsid w:val="00C13094"/>
    <w:rsid w:val="00C136D6"/>
    <w:rsid w:val="00C13D5B"/>
    <w:rsid w:val="00C141D7"/>
    <w:rsid w:val="00C1711B"/>
    <w:rsid w:val="00C17AE2"/>
    <w:rsid w:val="00C20140"/>
    <w:rsid w:val="00C20F27"/>
    <w:rsid w:val="00C215CF"/>
    <w:rsid w:val="00C2244B"/>
    <w:rsid w:val="00C22711"/>
    <w:rsid w:val="00C2280A"/>
    <w:rsid w:val="00C22B0D"/>
    <w:rsid w:val="00C22BFF"/>
    <w:rsid w:val="00C23522"/>
    <w:rsid w:val="00C240C1"/>
    <w:rsid w:val="00C244A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024"/>
    <w:rsid w:val="00C322D1"/>
    <w:rsid w:val="00C3242A"/>
    <w:rsid w:val="00C33201"/>
    <w:rsid w:val="00C33A39"/>
    <w:rsid w:val="00C341D1"/>
    <w:rsid w:val="00C34619"/>
    <w:rsid w:val="00C348D9"/>
    <w:rsid w:val="00C35D01"/>
    <w:rsid w:val="00C360B3"/>
    <w:rsid w:val="00C37027"/>
    <w:rsid w:val="00C373BF"/>
    <w:rsid w:val="00C37B19"/>
    <w:rsid w:val="00C41349"/>
    <w:rsid w:val="00C413CB"/>
    <w:rsid w:val="00C42752"/>
    <w:rsid w:val="00C42973"/>
    <w:rsid w:val="00C46B95"/>
    <w:rsid w:val="00C4712A"/>
    <w:rsid w:val="00C5034F"/>
    <w:rsid w:val="00C50830"/>
    <w:rsid w:val="00C52479"/>
    <w:rsid w:val="00C5266E"/>
    <w:rsid w:val="00C52C59"/>
    <w:rsid w:val="00C533F8"/>
    <w:rsid w:val="00C5349E"/>
    <w:rsid w:val="00C539FF"/>
    <w:rsid w:val="00C544BD"/>
    <w:rsid w:val="00C54D3D"/>
    <w:rsid w:val="00C55A30"/>
    <w:rsid w:val="00C56384"/>
    <w:rsid w:val="00C60F8C"/>
    <w:rsid w:val="00C61424"/>
    <w:rsid w:val="00C61794"/>
    <w:rsid w:val="00C62A48"/>
    <w:rsid w:val="00C62AC4"/>
    <w:rsid w:val="00C62B59"/>
    <w:rsid w:val="00C62F96"/>
    <w:rsid w:val="00C631E1"/>
    <w:rsid w:val="00C638D8"/>
    <w:rsid w:val="00C63A43"/>
    <w:rsid w:val="00C63AE7"/>
    <w:rsid w:val="00C63D26"/>
    <w:rsid w:val="00C6540A"/>
    <w:rsid w:val="00C668A1"/>
    <w:rsid w:val="00C67223"/>
    <w:rsid w:val="00C707B8"/>
    <w:rsid w:val="00C712AC"/>
    <w:rsid w:val="00C71C15"/>
    <w:rsid w:val="00C71F3D"/>
    <w:rsid w:val="00C72F53"/>
    <w:rsid w:val="00C74035"/>
    <w:rsid w:val="00C748EA"/>
    <w:rsid w:val="00C77818"/>
    <w:rsid w:val="00C8063F"/>
    <w:rsid w:val="00C81282"/>
    <w:rsid w:val="00C827B4"/>
    <w:rsid w:val="00C83214"/>
    <w:rsid w:val="00C8329F"/>
    <w:rsid w:val="00C84F8A"/>
    <w:rsid w:val="00C85BA4"/>
    <w:rsid w:val="00C8618F"/>
    <w:rsid w:val="00C8625D"/>
    <w:rsid w:val="00C90372"/>
    <w:rsid w:val="00C9041F"/>
    <w:rsid w:val="00C9166B"/>
    <w:rsid w:val="00C91945"/>
    <w:rsid w:val="00C91A45"/>
    <w:rsid w:val="00C91FB4"/>
    <w:rsid w:val="00C92150"/>
    <w:rsid w:val="00C92328"/>
    <w:rsid w:val="00C92D42"/>
    <w:rsid w:val="00C938C2"/>
    <w:rsid w:val="00C93F8A"/>
    <w:rsid w:val="00C94EA1"/>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5010"/>
    <w:rsid w:val="00CB53E8"/>
    <w:rsid w:val="00CB594A"/>
    <w:rsid w:val="00CB5CB2"/>
    <w:rsid w:val="00CB6979"/>
    <w:rsid w:val="00CB7DDE"/>
    <w:rsid w:val="00CC0A3D"/>
    <w:rsid w:val="00CC1F5E"/>
    <w:rsid w:val="00CC2FF0"/>
    <w:rsid w:val="00CC3C53"/>
    <w:rsid w:val="00CC3D24"/>
    <w:rsid w:val="00CC3F91"/>
    <w:rsid w:val="00CC47EE"/>
    <w:rsid w:val="00CC4ACD"/>
    <w:rsid w:val="00CC4B0A"/>
    <w:rsid w:val="00CC4ED8"/>
    <w:rsid w:val="00CC544A"/>
    <w:rsid w:val="00CC57EA"/>
    <w:rsid w:val="00CC5954"/>
    <w:rsid w:val="00CC629B"/>
    <w:rsid w:val="00CC6C4E"/>
    <w:rsid w:val="00CD009D"/>
    <w:rsid w:val="00CD05A2"/>
    <w:rsid w:val="00CD29D4"/>
    <w:rsid w:val="00CD2B5C"/>
    <w:rsid w:val="00CD2FF3"/>
    <w:rsid w:val="00CD3323"/>
    <w:rsid w:val="00CD38F5"/>
    <w:rsid w:val="00CD3BF2"/>
    <w:rsid w:val="00CD437E"/>
    <w:rsid w:val="00CD5DAD"/>
    <w:rsid w:val="00CD72C5"/>
    <w:rsid w:val="00CD79A7"/>
    <w:rsid w:val="00CD7FAD"/>
    <w:rsid w:val="00CE0789"/>
    <w:rsid w:val="00CE0E8D"/>
    <w:rsid w:val="00CE1A03"/>
    <w:rsid w:val="00CE2346"/>
    <w:rsid w:val="00CE25B2"/>
    <w:rsid w:val="00CE3529"/>
    <w:rsid w:val="00CE35C8"/>
    <w:rsid w:val="00CE3962"/>
    <w:rsid w:val="00CE3C3D"/>
    <w:rsid w:val="00CE4D0A"/>
    <w:rsid w:val="00CE4D1A"/>
    <w:rsid w:val="00CE4E8A"/>
    <w:rsid w:val="00CE5105"/>
    <w:rsid w:val="00CE56BD"/>
    <w:rsid w:val="00CE5EC0"/>
    <w:rsid w:val="00CE68AD"/>
    <w:rsid w:val="00CE6F9F"/>
    <w:rsid w:val="00CE781A"/>
    <w:rsid w:val="00CE7B08"/>
    <w:rsid w:val="00CE7D52"/>
    <w:rsid w:val="00CF0AB7"/>
    <w:rsid w:val="00CF1D74"/>
    <w:rsid w:val="00CF2BE2"/>
    <w:rsid w:val="00CF3DEB"/>
    <w:rsid w:val="00CF55F9"/>
    <w:rsid w:val="00CF7074"/>
    <w:rsid w:val="00CF7495"/>
    <w:rsid w:val="00D01CF9"/>
    <w:rsid w:val="00D0334D"/>
    <w:rsid w:val="00D0374D"/>
    <w:rsid w:val="00D06D7B"/>
    <w:rsid w:val="00D06DA5"/>
    <w:rsid w:val="00D07191"/>
    <w:rsid w:val="00D07F1D"/>
    <w:rsid w:val="00D10558"/>
    <w:rsid w:val="00D11D4D"/>
    <w:rsid w:val="00D11DB1"/>
    <w:rsid w:val="00D126DC"/>
    <w:rsid w:val="00D12B03"/>
    <w:rsid w:val="00D13E70"/>
    <w:rsid w:val="00D13EE7"/>
    <w:rsid w:val="00D15FCD"/>
    <w:rsid w:val="00D16C58"/>
    <w:rsid w:val="00D17019"/>
    <w:rsid w:val="00D17FC8"/>
    <w:rsid w:val="00D2015B"/>
    <w:rsid w:val="00D20B44"/>
    <w:rsid w:val="00D21168"/>
    <w:rsid w:val="00D2438C"/>
    <w:rsid w:val="00D2585A"/>
    <w:rsid w:val="00D259B0"/>
    <w:rsid w:val="00D259C2"/>
    <w:rsid w:val="00D26C3F"/>
    <w:rsid w:val="00D27185"/>
    <w:rsid w:val="00D3028A"/>
    <w:rsid w:val="00D30AC5"/>
    <w:rsid w:val="00D31618"/>
    <w:rsid w:val="00D33488"/>
    <w:rsid w:val="00D33AB3"/>
    <w:rsid w:val="00D33F24"/>
    <w:rsid w:val="00D34160"/>
    <w:rsid w:val="00D346B8"/>
    <w:rsid w:val="00D34DCA"/>
    <w:rsid w:val="00D35AC8"/>
    <w:rsid w:val="00D35E80"/>
    <w:rsid w:val="00D36F87"/>
    <w:rsid w:val="00D37E4E"/>
    <w:rsid w:val="00D411EC"/>
    <w:rsid w:val="00D417D8"/>
    <w:rsid w:val="00D41F78"/>
    <w:rsid w:val="00D42E6C"/>
    <w:rsid w:val="00D4351C"/>
    <w:rsid w:val="00D43B80"/>
    <w:rsid w:val="00D44988"/>
    <w:rsid w:val="00D45B4C"/>
    <w:rsid w:val="00D45BA4"/>
    <w:rsid w:val="00D471AF"/>
    <w:rsid w:val="00D471E2"/>
    <w:rsid w:val="00D4724F"/>
    <w:rsid w:val="00D50519"/>
    <w:rsid w:val="00D50779"/>
    <w:rsid w:val="00D51601"/>
    <w:rsid w:val="00D51ECB"/>
    <w:rsid w:val="00D5264C"/>
    <w:rsid w:val="00D52BBC"/>
    <w:rsid w:val="00D537FE"/>
    <w:rsid w:val="00D53BE5"/>
    <w:rsid w:val="00D53CC9"/>
    <w:rsid w:val="00D54A6A"/>
    <w:rsid w:val="00D54B8F"/>
    <w:rsid w:val="00D55848"/>
    <w:rsid w:val="00D55951"/>
    <w:rsid w:val="00D559F0"/>
    <w:rsid w:val="00D5650F"/>
    <w:rsid w:val="00D57EB6"/>
    <w:rsid w:val="00D608C0"/>
    <w:rsid w:val="00D60D6D"/>
    <w:rsid w:val="00D6128C"/>
    <w:rsid w:val="00D63B22"/>
    <w:rsid w:val="00D63C98"/>
    <w:rsid w:val="00D63EA5"/>
    <w:rsid w:val="00D66D8B"/>
    <w:rsid w:val="00D70849"/>
    <w:rsid w:val="00D72297"/>
    <w:rsid w:val="00D72A1C"/>
    <w:rsid w:val="00D7308F"/>
    <w:rsid w:val="00D7313E"/>
    <w:rsid w:val="00D73580"/>
    <w:rsid w:val="00D73802"/>
    <w:rsid w:val="00D73C2C"/>
    <w:rsid w:val="00D73D52"/>
    <w:rsid w:val="00D745E7"/>
    <w:rsid w:val="00D75FDA"/>
    <w:rsid w:val="00D774ED"/>
    <w:rsid w:val="00D777C3"/>
    <w:rsid w:val="00D7797C"/>
    <w:rsid w:val="00D77C44"/>
    <w:rsid w:val="00D77F88"/>
    <w:rsid w:val="00D81AFA"/>
    <w:rsid w:val="00D81EAA"/>
    <w:rsid w:val="00D81FE2"/>
    <w:rsid w:val="00D8259F"/>
    <w:rsid w:val="00D825F2"/>
    <w:rsid w:val="00D8285C"/>
    <w:rsid w:val="00D828B1"/>
    <w:rsid w:val="00D82A55"/>
    <w:rsid w:val="00D830F8"/>
    <w:rsid w:val="00D83D49"/>
    <w:rsid w:val="00D84181"/>
    <w:rsid w:val="00D846AD"/>
    <w:rsid w:val="00D84754"/>
    <w:rsid w:val="00D84F27"/>
    <w:rsid w:val="00D853F0"/>
    <w:rsid w:val="00D85862"/>
    <w:rsid w:val="00D86C88"/>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0485"/>
    <w:rsid w:val="00DA1A3A"/>
    <w:rsid w:val="00DA2351"/>
    <w:rsid w:val="00DA249E"/>
    <w:rsid w:val="00DA2D3D"/>
    <w:rsid w:val="00DA3855"/>
    <w:rsid w:val="00DA39BA"/>
    <w:rsid w:val="00DA4C30"/>
    <w:rsid w:val="00DA641B"/>
    <w:rsid w:val="00DA6A44"/>
    <w:rsid w:val="00DA6EF0"/>
    <w:rsid w:val="00DA7A3C"/>
    <w:rsid w:val="00DB069C"/>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1056"/>
    <w:rsid w:val="00DC1442"/>
    <w:rsid w:val="00DC21D8"/>
    <w:rsid w:val="00DC282A"/>
    <w:rsid w:val="00DC2DE8"/>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66DE"/>
    <w:rsid w:val="00DD7859"/>
    <w:rsid w:val="00DD7B41"/>
    <w:rsid w:val="00DE0784"/>
    <w:rsid w:val="00DE0A1D"/>
    <w:rsid w:val="00DE15B2"/>
    <w:rsid w:val="00DE1A9A"/>
    <w:rsid w:val="00DE2108"/>
    <w:rsid w:val="00DE3D2C"/>
    <w:rsid w:val="00DE5E82"/>
    <w:rsid w:val="00DE5FA6"/>
    <w:rsid w:val="00DE6792"/>
    <w:rsid w:val="00DE6AA1"/>
    <w:rsid w:val="00DE7EF7"/>
    <w:rsid w:val="00DF015B"/>
    <w:rsid w:val="00DF02EC"/>
    <w:rsid w:val="00DF10FC"/>
    <w:rsid w:val="00DF1185"/>
    <w:rsid w:val="00DF1299"/>
    <w:rsid w:val="00DF1A70"/>
    <w:rsid w:val="00DF1E5F"/>
    <w:rsid w:val="00DF23A8"/>
    <w:rsid w:val="00DF2F27"/>
    <w:rsid w:val="00DF36B6"/>
    <w:rsid w:val="00DF4296"/>
    <w:rsid w:val="00DF5267"/>
    <w:rsid w:val="00DF53F0"/>
    <w:rsid w:val="00DF5F38"/>
    <w:rsid w:val="00DF6608"/>
    <w:rsid w:val="00DF6CCC"/>
    <w:rsid w:val="00DF6D0C"/>
    <w:rsid w:val="00DF6F64"/>
    <w:rsid w:val="00DF721E"/>
    <w:rsid w:val="00DF7549"/>
    <w:rsid w:val="00DF7B8A"/>
    <w:rsid w:val="00DF7C87"/>
    <w:rsid w:val="00E009B0"/>
    <w:rsid w:val="00E00A12"/>
    <w:rsid w:val="00E00B39"/>
    <w:rsid w:val="00E00C49"/>
    <w:rsid w:val="00E01C9C"/>
    <w:rsid w:val="00E0219D"/>
    <w:rsid w:val="00E03662"/>
    <w:rsid w:val="00E04C0F"/>
    <w:rsid w:val="00E0570B"/>
    <w:rsid w:val="00E069C5"/>
    <w:rsid w:val="00E10913"/>
    <w:rsid w:val="00E10B87"/>
    <w:rsid w:val="00E121CE"/>
    <w:rsid w:val="00E12209"/>
    <w:rsid w:val="00E1478B"/>
    <w:rsid w:val="00E14FAC"/>
    <w:rsid w:val="00E15007"/>
    <w:rsid w:val="00E16277"/>
    <w:rsid w:val="00E16EC7"/>
    <w:rsid w:val="00E17DCC"/>
    <w:rsid w:val="00E219CE"/>
    <w:rsid w:val="00E21D93"/>
    <w:rsid w:val="00E22D2A"/>
    <w:rsid w:val="00E24071"/>
    <w:rsid w:val="00E24DCA"/>
    <w:rsid w:val="00E24EBC"/>
    <w:rsid w:val="00E2522C"/>
    <w:rsid w:val="00E2552F"/>
    <w:rsid w:val="00E2599B"/>
    <w:rsid w:val="00E2710C"/>
    <w:rsid w:val="00E272BD"/>
    <w:rsid w:val="00E27428"/>
    <w:rsid w:val="00E305B4"/>
    <w:rsid w:val="00E31AFA"/>
    <w:rsid w:val="00E31CB7"/>
    <w:rsid w:val="00E324EE"/>
    <w:rsid w:val="00E34DB1"/>
    <w:rsid w:val="00E35931"/>
    <w:rsid w:val="00E359FF"/>
    <w:rsid w:val="00E3699A"/>
    <w:rsid w:val="00E402C5"/>
    <w:rsid w:val="00E402F4"/>
    <w:rsid w:val="00E405F1"/>
    <w:rsid w:val="00E417DB"/>
    <w:rsid w:val="00E43054"/>
    <w:rsid w:val="00E43655"/>
    <w:rsid w:val="00E44440"/>
    <w:rsid w:val="00E46013"/>
    <w:rsid w:val="00E47099"/>
    <w:rsid w:val="00E47284"/>
    <w:rsid w:val="00E477C3"/>
    <w:rsid w:val="00E51E16"/>
    <w:rsid w:val="00E52DED"/>
    <w:rsid w:val="00E53730"/>
    <w:rsid w:val="00E5438D"/>
    <w:rsid w:val="00E54511"/>
    <w:rsid w:val="00E54E50"/>
    <w:rsid w:val="00E55288"/>
    <w:rsid w:val="00E57577"/>
    <w:rsid w:val="00E619AA"/>
    <w:rsid w:val="00E62043"/>
    <w:rsid w:val="00E626B9"/>
    <w:rsid w:val="00E627C9"/>
    <w:rsid w:val="00E62EB6"/>
    <w:rsid w:val="00E630F3"/>
    <w:rsid w:val="00E6332F"/>
    <w:rsid w:val="00E637C9"/>
    <w:rsid w:val="00E6402D"/>
    <w:rsid w:val="00E6680A"/>
    <w:rsid w:val="00E66F0D"/>
    <w:rsid w:val="00E70615"/>
    <w:rsid w:val="00E7161E"/>
    <w:rsid w:val="00E7207B"/>
    <w:rsid w:val="00E721A3"/>
    <w:rsid w:val="00E7347A"/>
    <w:rsid w:val="00E75A47"/>
    <w:rsid w:val="00E75BB6"/>
    <w:rsid w:val="00E75D8C"/>
    <w:rsid w:val="00E777F2"/>
    <w:rsid w:val="00E802C9"/>
    <w:rsid w:val="00E80BFB"/>
    <w:rsid w:val="00E80EC2"/>
    <w:rsid w:val="00E80F0A"/>
    <w:rsid w:val="00E815D4"/>
    <w:rsid w:val="00E8291B"/>
    <w:rsid w:val="00E82E70"/>
    <w:rsid w:val="00E82F92"/>
    <w:rsid w:val="00E830C6"/>
    <w:rsid w:val="00E8395F"/>
    <w:rsid w:val="00E8410F"/>
    <w:rsid w:val="00E849D7"/>
    <w:rsid w:val="00E85E41"/>
    <w:rsid w:val="00E85E95"/>
    <w:rsid w:val="00E85EA1"/>
    <w:rsid w:val="00E86703"/>
    <w:rsid w:val="00E900DA"/>
    <w:rsid w:val="00E91044"/>
    <w:rsid w:val="00E910D3"/>
    <w:rsid w:val="00E92097"/>
    <w:rsid w:val="00E92154"/>
    <w:rsid w:val="00E923CF"/>
    <w:rsid w:val="00E93685"/>
    <w:rsid w:val="00E93B65"/>
    <w:rsid w:val="00E93C8C"/>
    <w:rsid w:val="00E95111"/>
    <w:rsid w:val="00E95FDF"/>
    <w:rsid w:val="00E97B69"/>
    <w:rsid w:val="00EA14C8"/>
    <w:rsid w:val="00EA2110"/>
    <w:rsid w:val="00EA283A"/>
    <w:rsid w:val="00EA2C90"/>
    <w:rsid w:val="00EA2E07"/>
    <w:rsid w:val="00EA383B"/>
    <w:rsid w:val="00EA48F3"/>
    <w:rsid w:val="00EA60BF"/>
    <w:rsid w:val="00EA7365"/>
    <w:rsid w:val="00EA763F"/>
    <w:rsid w:val="00EA77E9"/>
    <w:rsid w:val="00EB05D0"/>
    <w:rsid w:val="00EB1151"/>
    <w:rsid w:val="00EB11DF"/>
    <w:rsid w:val="00EB1D49"/>
    <w:rsid w:val="00EB23D9"/>
    <w:rsid w:val="00EB39A0"/>
    <w:rsid w:val="00EB430A"/>
    <w:rsid w:val="00EB5447"/>
    <w:rsid w:val="00EB559F"/>
    <w:rsid w:val="00EB566C"/>
    <w:rsid w:val="00EB5A18"/>
    <w:rsid w:val="00EB5DDB"/>
    <w:rsid w:val="00EB5F3D"/>
    <w:rsid w:val="00EB6C97"/>
    <w:rsid w:val="00EC1CEB"/>
    <w:rsid w:val="00EC1DC0"/>
    <w:rsid w:val="00EC1DC2"/>
    <w:rsid w:val="00EC1E09"/>
    <w:rsid w:val="00EC210E"/>
    <w:rsid w:val="00EC21EC"/>
    <w:rsid w:val="00EC24B8"/>
    <w:rsid w:val="00EC268C"/>
    <w:rsid w:val="00EC3753"/>
    <w:rsid w:val="00EC4E71"/>
    <w:rsid w:val="00EC5F1C"/>
    <w:rsid w:val="00EC740C"/>
    <w:rsid w:val="00ED0365"/>
    <w:rsid w:val="00ED0865"/>
    <w:rsid w:val="00ED0C1C"/>
    <w:rsid w:val="00ED1C60"/>
    <w:rsid w:val="00ED2EB9"/>
    <w:rsid w:val="00ED3722"/>
    <w:rsid w:val="00ED3A31"/>
    <w:rsid w:val="00ED4469"/>
    <w:rsid w:val="00ED5424"/>
    <w:rsid w:val="00ED5F23"/>
    <w:rsid w:val="00ED6A17"/>
    <w:rsid w:val="00ED6DC0"/>
    <w:rsid w:val="00ED7A7A"/>
    <w:rsid w:val="00EE0327"/>
    <w:rsid w:val="00EE038C"/>
    <w:rsid w:val="00EE10A9"/>
    <w:rsid w:val="00EE28C5"/>
    <w:rsid w:val="00EE2F09"/>
    <w:rsid w:val="00EE47C5"/>
    <w:rsid w:val="00EE490C"/>
    <w:rsid w:val="00EE4E57"/>
    <w:rsid w:val="00EE5738"/>
    <w:rsid w:val="00EE58BD"/>
    <w:rsid w:val="00EE5E59"/>
    <w:rsid w:val="00EE73D0"/>
    <w:rsid w:val="00EE76AC"/>
    <w:rsid w:val="00EE7CB0"/>
    <w:rsid w:val="00EF08A8"/>
    <w:rsid w:val="00EF167B"/>
    <w:rsid w:val="00EF2496"/>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3A85"/>
    <w:rsid w:val="00F0459B"/>
    <w:rsid w:val="00F04E15"/>
    <w:rsid w:val="00F05DF3"/>
    <w:rsid w:val="00F06829"/>
    <w:rsid w:val="00F069EA"/>
    <w:rsid w:val="00F070E5"/>
    <w:rsid w:val="00F07DDE"/>
    <w:rsid w:val="00F11675"/>
    <w:rsid w:val="00F123DA"/>
    <w:rsid w:val="00F12557"/>
    <w:rsid w:val="00F13599"/>
    <w:rsid w:val="00F13B28"/>
    <w:rsid w:val="00F156A0"/>
    <w:rsid w:val="00F1573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2FCF"/>
    <w:rsid w:val="00F436B2"/>
    <w:rsid w:val="00F43813"/>
    <w:rsid w:val="00F43FEE"/>
    <w:rsid w:val="00F4492F"/>
    <w:rsid w:val="00F44DFD"/>
    <w:rsid w:val="00F45A72"/>
    <w:rsid w:val="00F46723"/>
    <w:rsid w:val="00F4706D"/>
    <w:rsid w:val="00F476E1"/>
    <w:rsid w:val="00F47D1D"/>
    <w:rsid w:val="00F47F29"/>
    <w:rsid w:val="00F50016"/>
    <w:rsid w:val="00F5118A"/>
    <w:rsid w:val="00F51A21"/>
    <w:rsid w:val="00F52614"/>
    <w:rsid w:val="00F5276E"/>
    <w:rsid w:val="00F52E9F"/>
    <w:rsid w:val="00F53304"/>
    <w:rsid w:val="00F53B81"/>
    <w:rsid w:val="00F540FE"/>
    <w:rsid w:val="00F5459A"/>
    <w:rsid w:val="00F556FF"/>
    <w:rsid w:val="00F55D12"/>
    <w:rsid w:val="00F5687F"/>
    <w:rsid w:val="00F56D3F"/>
    <w:rsid w:val="00F575C7"/>
    <w:rsid w:val="00F57FD0"/>
    <w:rsid w:val="00F60305"/>
    <w:rsid w:val="00F61B12"/>
    <w:rsid w:val="00F61C70"/>
    <w:rsid w:val="00F63264"/>
    <w:rsid w:val="00F634E4"/>
    <w:rsid w:val="00F6379E"/>
    <w:rsid w:val="00F64047"/>
    <w:rsid w:val="00F65171"/>
    <w:rsid w:val="00F6560D"/>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3F"/>
    <w:rsid w:val="00F81587"/>
    <w:rsid w:val="00F8288F"/>
    <w:rsid w:val="00F8376E"/>
    <w:rsid w:val="00F83C52"/>
    <w:rsid w:val="00F84802"/>
    <w:rsid w:val="00F85B72"/>
    <w:rsid w:val="00F86540"/>
    <w:rsid w:val="00F865CE"/>
    <w:rsid w:val="00F8766F"/>
    <w:rsid w:val="00F87D5C"/>
    <w:rsid w:val="00F90282"/>
    <w:rsid w:val="00F91082"/>
    <w:rsid w:val="00F9116D"/>
    <w:rsid w:val="00F91342"/>
    <w:rsid w:val="00F91A9A"/>
    <w:rsid w:val="00F92634"/>
    <w:rsid w:val="00F926D6"/>
    <w:rsid w:val="00F933F3"/>
    <w:rsid w:val="00F93ABB"/>
    <w:rsid w:val="00F94D79"/>
    <w:rsid w:val="00F9658C"/>
    <w:rsid w:val="00F96EEB"/>
    <w:rsid w:val="00F97A7F"/>
    <w:rsid w:val="00F97CD0"/>
    <w:rsid w:val="00FA0889"/>
    <w:rsid w:val="00FA16E7"/>
    <w:rsid w:val="00FA31C7"/>
    <w:rsid w:val="00FA472D"/>
    <w:rsid w:val="00FA681F"/>
    <w:rsid w:val="00FB0CBF"/>
    <w:rsid w:val="00FB18F6"/>
    <w:rsid w:val="00FB2A52"/>
    <w:rsid w:val="00FB3F92"/>
    <w:rsid w:val="00FB52C7"/>
    <w:rsid w:val="00FB57DC"/>
    <w:rsid w:val="00FB6E19"/>
    <w:rsid w:val="00FB71F6"/>
    <w:rsid w:val="00FC07AF"/>
    <w:rsid w:val="00FC0AF8"/>
    <w:rsid w:val="00FC0B69"/>
    <w:rsid w:val="00FC1483"/>
    <w:rsid w:val="00FC1C47"/>
    <w:rsid w:val="00FC3102"/>
    <w:rsid w:val="00FC39ED"/>
    <w:rsid w:val="00FC4195"/>
    <w:rsid w:val="00FC4419"/>
    <w:rsid w:val="00FC47E2"/>
    <w:rsid w:val="00FC4AA5"/>
    <w:rsid w:val="00FC4B88"/>
    <w:rsid w:val="00FC4BB8"/>
    <w:rsid w:val="00FC5148"/>
    <w:rsid w:val="00FC6524"/>
    <w:rsid w:val="00FC6B58"/>
    <w:rsid w:val="00FC75AC"/>
    <w:rsid w:val="00FC7984"/>
    <w:rsid w:val="00FD01BF"/>
    <w:rsid w:val="00FD0525"/>
    <w:rsid w:val="00FD0AB7"/>
    <w:rsid w:val="00FD297D"/>
    <w:rsid w:val="00FD2D13"/>
    <w:rsid w:val="00FD374D"/>
    <w:rsid w:val="00FD3B00"/>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9D2"/>
    <w:rsid w:val="00FF1C9B"/>
    <w:rsid w:val="00FF1D49"/>
    <w:rsid w:val="00FF203B"/>
    <w:rsid w:val="00FF2562"/>
    <w:rsid w:val="00FF3A41"/>
    <w:rsid w:val="00FF3E5B"/>
    <w:rsid w:val="00FF57E4"/>
    <w:rsid w:val="00FF78E5"/>
    <w:rsid w:val="012C5FAF"/>
    <w:rsid w:val="01AF3D99"/>
    <w:rsid w:val="02511F9D"/>
    <w:rsid w:val="03A314B8"/>
    <w:rsid w:val="03D82B98"/>
    <w:rsid w:val="03F83E8B"/>
    <w:rsid w:val="05C56868"/>
    <w:rsid w:val="07A539BD"/>
    <w:rsid w:val="07B22744"/>
    <w:rsid w:val="07B72767"/>
    <w:rsid w:val="08077E72"/>
    <w:rsid w:val="08882DD0"/>
    <w:rsid w:val="09CC2AAC"/>
    <w:rsid w:val="0A652D3E"/>
    <w:rsid w:val="0B326F2A"/>
    <w:rsid w:val="0C1E2888"/>
    <w:rsid w:val="0C92213C"/>
    <w:rsid w:val="0CC2027E"/>
    <w:rsid w:val="0D84032B"/>
    <w:rsid w:val="0F2A74C4"/>
    <w:rsid w:val="0F401BB1"/>
    <w:rsid w:val="10377635"/>
    <w:rsid w:val="10A27F31"/>
    <w:rsid w:val="11927058"/>
    <w:rsid w:val="120E171E"/>
    <w:rsid w:val="13AF4F03"/>
    <w:rsid w:val="14736E66"/>
    <w:rsid w:val="147F458F"/>
    <w:rsid w:val="1534169A"/>
    <w:rsid w:val="15C03E03"/>
    <w:rsid w:val="162A25EB"/>
    <w:rsid w:val="16503754"/>
    <w:rsid w:val="16735895"/>
    <w:rsid w:val="16FD2A55"/>
    <w:rsid w:val="17067C1A"/>
    <w:rsid w:val="17366761"/>
    <w:rsid w:val="177C01F0"/>
    <w:rsid w:val="179E3EFA"/>
    <w:rsid w:val="17CE6630"/>
    <w:rsid w:val="1AFF0AFE"/>
    <w:rsid w:val="1B4F19F8"/>
    <w:rsid w:val="1ECC44FA"/>
    <w:rsid w:val="1F063325"/>
    <w:rsid w:val="1FBC5DF5"/>
    <w:rsid w:val="1FF90588"/>
    <w:rsid w:val="20C3623F"/>
    <w:rsid w:val="21781212"/>
    <w:rsid w:val="21B83F86"/>
    <w:rsid w:val="221178A8"/>
    <w:rsid w:val="221213CF"/>
    <w:rsid w:val="22327A92"/>
    <w:rsid w:val="231D53A2"/>
    <w:rsid w:val="236D5383"/>
    <w:rsid w:val="23B7504C"/>
    <w:rsid w:val="24571307"/>
    <w:rsid w:val="25110A2A"/>
    <w:rsid w:val="256C0944"/>
    <w:rsid w:val="26446DE3"/>
    <w:rsid w:val="26877DFE"/>
    <w:rsid w:val="269669E7"/>
    <w:rsid w:val="26A270C1"/>
    <w:rsid w:val="26D7699F"/>
    <w:rsid w:val="29D75F7F"/>
    <w:rsid w:val="2B774624"/>
    <w:rsid w:val="2C7A72BE"/>
    <w:rsid w:val="2C9A7D75"/>
    <w:rsid w:val="2CC17412"/>
    <w:rsid w:val="2D7C1E99"/>
    <w:rsid w:val="2E9976CE"/>
    <w:rsid w:val="2EF01DEE"/>
    <w:rsid w:val="2F401D3C"/>
    <w:rsid w:val="2F5B24E1"/>
    <w:rsid w:val="2FA95C88"/>
    <w:rsid w:val="3041370F"/>
    <w:rsid w:val="30B87FED"/>
    <w:rsid w:val="312B50A3"/>
    <w:rsid w:val="31894FD2"/>
    <w:rsid w:val="32453A27"/>
    <w:rsid w:val="3263064A"/>
    <w:rsid w:val="32A43132"/>
    <w:rsid w:val="32AC0C06"/>
    <w:rsid w:val="33344EF5"/>
    <w:rsid w:val="3537750C"/>
    <w:rsid w:val="3537798C"/>
    <w:rsid w:val="35C13FC9"/>
    <w:rsid w:val="36372B05"/>
    <w:rsid w:val="364257B6"/>
    <w:rsid w:val="3786388E"/>
    <w:rsid w:val="37EA5922"/>
    <w:rsid w:val="37F0367F"/>
    <w:rsid w:val="38276B93"/>
    <w:rsid w:val="382E58B8"/>
    <w:rsid w:val="38AC3431"/>
    <w:rsid w:val="392F2E16"/>
    <w:rsid w:val="39E00529"/>
    <w:rsid w:val="3A0B64A7"/>
    <w:rsid w:val="3A574DDA"/>
    <w:rsid w:val="3AD3075A"/>
    <w:rsid w:val="3AF74C02"/>
    <w:rsid w:val="3C0059A5"/>
    <w:rsid w:val="3C134E78"/>
    <w:rsid w:val="3DF6345D"/>
    <w:rsid w:val="3E2B5515"/>
    <w:rsid w:val="3E4D4F28"/>
    <w:rsid w:val="3ED92EC4"/>
    <w:rsid w:val="3EE13701"/>
    <w:rsid w:val="3F1A4BB3"/>
    <w:rsid w:val="40192BA6"/>
    <w:rsid w:val="416C57BC"/>
    <w:rsid w:val="41766EA9"/>
    <w:rsid w:val="42550A18"/>
    <w:rsid w:val="429D496A"/>
    <w:rsid w:val="42F473A1"/>
    <w:rsid w:val="432E0DC5"/>
    <w:rsid w:val="437217EA"/>
    <w:rsid w:val="43AB7156"/>
    <w:rsid w:val="441E62C0"/>
    <w:rsid w:val="45325D14"/>
    <w:rsid w:val="45811C7C"/>
    <w:rsid w:val="45906116"/>
    <w:rsid w:val="45931B8C"/>
    <w:rsid w:val="45EF2552"/>
    <w:rsid w:val="468B3EFB"/>
    <w:rsid w:val="470A6193"/>
    <w:rsid w:val="47385210"/>
    <w:rsid w:val="475510F8"/>
    <w:rsid w:val="47DC4F5C"/>
    <w:rsid w:val="48B40671"/>
    <w:rsid w:val="499B5738"/>
    <w:rsid w:val="499F244D"/>
    <w:rsid w:val="4A973F3F"/>
    <w:rsid w:val="4AF96BC7"/>
    <w:rsid w:val="4B5C0D0B"/>
    <w:rsid w:val="4B862A85"/>
    <w:rsid w:val="4CEF36E2"/>
    <w:rsid w:val="4CEF4DC5"/>
    <w:rsid w:val="4E257655"/>
    <w:rsid w:val="4F372380"/>
    <w:rsid w:val="4F372FFB"/>
    <w:rsid w:val="5025116D"/>
    <w:rsid w:val="505748CA"/>
    <w:rsid w:val="52395ECD"/>
    <w:rsid w:val="52C10D75"/>
    <w:rsid w:val="53C27FF8"/>
    <w:rsid w:val="54806794"/>
    <w:rsid w:val="549E1A80"/>
    <w:rsid w:val="54C658F4"/>
    <w:rsid w:val="550C4BD7"/>
    <w:rsid w:val="554C1D56"/>
    <w:rsid w:val="55572986"/>
    <w:rsid w:val="565340FA"/>
    <w:rsid w:val="56AD5F59"/>
    <w:rsid w:val="56C60774"/>
    <w:rsid w:val="57B12A52"/>
    <w:rsid w:val="5A2F2CC8"/>
    <w:rsid w:val="5B143D77"/>
    <w:rsid w:val="5C10702D"/>
    <w:rsid w:val="5C152601"/>
    <w:rsid w:val="5C591F03"/>
    <w:rsid w:val="5C8A1B2F"/>
    <w:rsid w:val="5D2F32EF"/>
    <w:rsid w:val="5EA37071"/>
    <w:rsid w:val="5F561B72"/>
    <w:rsid w:val="606007BB"/>
    <w:rsid w:val="60AC7F66"/>
    <w:rsid w:val="61BF10D9"/>
    <w:rsid w:val="62AC22DC"/>
    <w:rsid w:val="63A22BFD"/>
    <w:rsid w:val="64E45EF7"/>
    <w:rsid w:val="6691014E"/>
    <w:rsid w:val="66C87CCE"/>
    <w:rsid w:val="677435B2"/>
    <w:rsid w:val="67EF75F1"/>
    <w:rsid w:val="684F4F11"/>
    <w:rsid w:val="69124F16"/>
    <w:rsid w:val="69CD5C14"/>
    <w:rsid w:val="69CF0D33"/>
    <w:rsid w:val="6B9946B3"/>
    <w:rsid w:val="6BE518DA"/>
    <w:rsid w:val="6C276F3A"/>
    <w:rsid w:val="6C7007C7"/>
    <w:rsid w:val="6C896FE9"/>
    <w:rsid w:val="6DE76850"/>
    <w:rsid w:val="6FB20BD4"/>
    <w:rsid w:val="6FBA59BE"/>
    <w:rsid w:val="70296B3E"/>
    <w:rsid w:val="70611204"/>
    <w:rsid w:val="7165620F"/>
    <w:rsid w:val="717039F8"/>
    <w:rsid w:val="737541F2"/>
    <w:rsid w:val="74D13AD5"/>
    <w:rsid w:val="74FA2C30"/>
    <w:rsid w:val="754D5C4B"/>
    <w:rsid w:val="76C240A7"/>
    <w:rsid w:val="76DA416A"/>
    <w:rsid w:val="775246B7"/>
    <w:rsid w:val="77A954CC"/>
    <w:rsid w:val="781E69D1"/>
    <w:rsid w:val="7901747F"/>
    <w:rsid w:val="7A263B6B"/>
    <w:rsid w:val="7AF46346"/>
    <w:rsid w:val="7B0F5EBF"/>
    <w:rsid w:val="7B130FB9"/>
    <w:rsid w:val="7B2C0FEC"/>
    <w:rsid w:val="7BD71E38"/>
    <w:rsid w:val="7BF64EDE"/>
    <w:rsid w:val="7C400C1E"/>
    <w:rsid w:val="7DD11708"/>
    <w:rsid w:val="7DEE4A4F"/>
    <w:rsid w:val="7EAE6230"/>
    <w:rsid w:val="7EBD579E"/>
    <w:rsid w:val="7EC167BD"/>
    <w:rsid w:val="7EEF4B84"/>
    <w:rsid w:val="7EF35613"/>
    <w:rsid w:val="7F272D9E"/>
    <w:rsid w:val="BAFE33D7"/>
    <w:rsid w:val="E6CFF7DE"/>
    <w:rsid w:val="EFDD103F"/>
    <w:rsid w:val="F9ABFCB9"/>
    <w:rsid w:val="FD69E651"/>
    <w:rsid w:val="FEDB96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3"/>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67"/>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68"/>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8"/>
    <w:link w:val="34"/>
    <w:qFormat/>
    <w:uiPriority w:val="9"/>
    <w:pPr>
      <w:keepNext/>
      <w:keepLines/>
      <w:spacing w:before="280" w:after="290" w:line="376" w:lineRule="auto"/>
      <w:outlineLvl w:val="4"/>
    </w:pPr>
    <w:rPr>
      <w:b/>
      <w:bCs/>
      <w:sz w:val="28"/>
      <w:szCs w:val="28"/>
    </w:rPr>
  </w:style>
  <w:style w:type="paragraph" w:styleId="9">
    <w:name w:val="heading 8"/>
    <w:basedOn w:val="1"/>
    <w:next w:val="1"/>
    <w:link w:val="35"/>
    <w:qFormat/>
    <w:uiPriority w:val="9"/>
    <w:pPr>
      <w:keepNext/>
      <w:keepLines/>
      <w:spacing w:before="240" w:after="64" w:line="320" w:lineRule="auto"/>
      <w:outlineLvl w:val="7"/>
    </w:pPr>
    <w:rPr>
      <w:rFonts w:ascii="等线 Light" w:hAnsi="等线 Light" w:eastAsia="等线 Light"/>
      <w:sz w:val="24"/>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99"/>
    <w:pPr>
      <w:autoSpaceDE w:val="0"/>
      <w:autoSpaceDN w:val="0"/>
      <w:adjustRightInd w:val="0"/>
      <w:snapToGrid w:val="0"/>
      <w:spacing w:line="360" w:lineRule="auto"/>
      <w:ind w:firstLine="200" w:firstLineChars="200"/>
      <w:jc w:val="both"/>
    </w:pPr>
    <w:rPr>
      <w:rFonts w:ascii="宋体" w:hAnsiTheme="minorHAnsi" w:eastAsiaTheme="minorEastAsia" w:cstheme="minorBidi"/>
      <w:sz w:val="24"/>
      <w:szCs w:val="22"/>
      <w:lang w:val="en-US" w:eastAsia="zh-CN" w:bidi="ar-SA"/>
    </w:rPr>
  </w:style>
  <w:style w:type="paragraph" w:styleId="8">
    <w:name w:val="Normal Indent"/>
    <w:basedOn w:val="1"/>
    <w:qFormat/>
    <w:uiPriority w:val="0"/>
    <w:pPr>
      <w:ind w:firstLine="420"/>
    </w:pPr>
    <w:rPr>
      <w:szCs w:val="20"/>
    </w:rPr>
  </w:style>
  <w:style w:type="paragraph" w:styleId="10">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1">
    <w:name w:val="annotation text"/>
    <w:basedOn w:val="1"/>
    <w:link w:val="36"/>
    <w:qFormat/>
    <w:uiPriority w:val="0"/>
    <w:pPr>
      <w:jc w:val="left"/>
    </w:pPr>
  </w:style>
  <w:style w:type="paragraph" w:styleId="12">
    <w:name w:val="Body Text 3"/>
    <w:basedOn w:val="1"/>
    <w:link w:val="37"/>
    <w:unhideWhenUsed/>
    <w:qFormat/>
    <w:uiPriority w:val="99"/>
    <w:pPr>
      <w:spacing w:after="120"/>
    </w:pPr>
    <w:rPr>
      <w:sz w:val="16"/>
      <w:szCs w:val="16"/>
    </w:rPr>
  </w:style>
  <w:style w:type="paragraph" w:styleId="13">
    <w:name w:val="Body Text"/>
    <w:basedOn w:val="1"/>
    <w:link w:val="38"/>
    <w:unhideWhenUsed/>
    <w:qFormat/>
    <w:uiPriority w:val="0"/>
    <w:pPr>
      <w:spacing w:after="120"/>
    </w:pPr>
  </w:style>
  <w:style w:type="paragraph" w:styleId="14">
    <w:name w:val="Body Text Indent"/>
    <w:basedOn w:val="1"/>
    <w:link w:val="39"/>
    <w:qFormat/>
    <w:uiPriority w:val="0"/>
    <w:pPr>
      <w:ind w:firstLine="830" w:firstLineChars="352"/>
    </w:pPr>
    <w:rPr>
      <w:rFonts w:ascii="仿宋_GB2312" w:eastAsia="仿宋_GB2312"/>
      <w:kern w:val="0"/>
      <w:sz w:val="32"/>
      <w:szCs w:val="20"/>
    </w:rPr>
  </w:style>
  <w:style w:type="paragraph" w:styleId="15">
    <w:name w:val="List 2"/>
    <w:basedOn w:val="1"/>
    <w:unhideWhenUsed/>
    <w:qFormat/>
    <w:uiPriority w:val="99"/>
    <w:pPr>
      <w:ind w:left="100" w:leftChars="200" w:hanging="200" w:hangingChars="200"/>
      <w:contextualSpacing/>
    </w:pPr>
  </w:style>
  <w:style w:type="paragraph" w:styleId="16">
    <w:name w:val="Plain Text"/>
    <w:basedOn w:val="1"/>
    <w:link w:val="40"/>
    <w:qFormat/>
    <w:uiPriority w:val="0"/>
    <w:rPr>
      <w:rFonts w:ascii="宋体" w:hAnsi="Courier New"/>
      <w:kern w:val="0"/>
      <w:sz w:val="20"/>
      <w:szCs w:val="21"/>
    </w:rPr>
  </w:style>
  <w:style w:type="paragraph" w:styleId="17">
    <w:name w:val="Date"/>
    <w:basedOn w:val="1"/>
    <w:next w:val="1"/>
    <w:link w:val="41"/>
    <w:unhideWhenUsed/>
    <w:qFormat/>
    <w:uiPriority w:val="99"/>
    <w:pPr>
      <w:ind w:left="100" w:leftChars="2500"/>
    </w:pPr>
  </w:style>
  <w:style w:type="paragraph" w:styleId="18">
    <w:name w:val="Balloon Text"/>
    <w:basedOn w:val="1"/>
    <w:semiHidden/>
    <w:qFormat/>
    <w:uiPriority w:val="0"/>
    <w:rPr>
      <w:sz w:val="18"/>
      <w:szCs w:val="18"/>
    </w:rPr>
  </w:style>
  <w:style w:type="paragraph" w:styleId="19">
    <w:name w:val="footer"/>
    <w:basedOn w:val="1"/>
    <w:link w:val="42"/>
    <w:unhideWhenUsed/>
    <w:qFormat/>
    <w:uiPriority w:val="99"/>
    <w:pPr>
      <w:tabs>
        <w:tab w:val="center" w:pos="4153"/>
        <w:tab w:val="right" w:pos="8306"/>
      </w:tabs>
      <w:snapToGrid w:val="0"/>
      <w:jc w:val="left"/>
    </w:pPr>
    <w:rPr>
      <w:kern w:val="0"/>
      <w:sz w:val="18"/>
      <w:szCs w:val="18"/>
    </w:rPr>
  </w:style>
  <w:style w:type="paragraph" w:styleId="20">
    <w:name w:val="header"/>
    <w:basedOn w:val="1"/>
    <w:link w:val="43"/>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1">
    <w:name w:val="toc 1"/>
    <w:basedOn w:val="1"/>
    <w:next w:val="1"/>
    <w:unhideWhenUsed/>
    <w:qFormat/>
    <w:uiPriority w:val="39"/>
  </w:style>
  <w:style w:type="paragraph" w:styleId="22">
    <w:name w:val="toc 2"/>
    <w:basedOn w:val="1"/>
    <w:next w:val="1"/>
    <w:unhideWhenUsed/>
    <w:qFormat/>
    <w:uiPriority w:val="39"/>
    <w:pPr>
      <w:tabs>
        <w:tab w:val="right" w:leader="dot" w:pos="8296"/>
      </w:tabs>
      <w:ind w:left="420" w:leftChars="200"/>
    </w:pPr>
  </w:style>
  <w:style w:type="paragraph" w:styleId="23">
    <w:name w:val="Normal (Web)"/>
    <w:basedOn w:val="1"/>
    <w:unhideWhenUsed/>
    <w:qFormat/>
    <w:uiPriority w:val="99"/>
    <w:rPr>
      <w:rFonts w:ascii="Calibri" w:hAnsi="Calibri"/>
      <w:kern w:val="0"/>
      <w:sz w:val="24"/>
    </w:rPr>
  </w:style>
  <w:style w:type="paragraph" w:styleId="24">
    <w:name w:val="annotation subject"/>
    <w:basedOn w:val="11"/>
    <w:next w:val="11"/>
    <w:link w:val="44"/>
    <w:qFormat/>
    <w:uiPriority w:val="99"/>
    <w:rPr>
      <w:b/>
      <w:bCs/>
    </w:rPr>
  </w:style>
  <w:style w:type="table" w:styleId="26">
    <w:name w:val="Table Grid"/>
    <w:basedOn w:val="2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8">
    <w:name w:val="endnote reference"/>
    <w:unhideWhenUsed/>
    <w:qFormat/>
    <w:uiPriority w:val="99"/>
    <w:rPr>
      <w:vertAlign w:val="superscript"/>
    </w:rPr>
  </w:style>
  <w:style w:type="character" w:styleId="29">
    <w:name w:val="Hyperlink"/>
    <w:unhideWhenUsed/>
    <w:qFormat/>
    <w:uiPriority w:val="99"/>
    <w:rPr>
      <w:color w:val="0000FF"/>
      <w:u w:val="single"/>
    </w:rPr>
  </w:style>
  <w:style w:type="character" w:styleId="30">
    <w:name w:val="annotation reference"/>
    <w:qFormat/>
    <w:uiPriority w:val="0"/>
    <w:rPr>
      <w:sz w:val="21"/>
      <w:szCs w:val="21"/>
    </w:rPr>
  </w:style>
  <w:style w:type="character" w:customStyle="1" w:styleId="31">
    <w:name w:val="标题 2 Char"/>
    <w:qFormat/>
    <w:uiPriority w:val="9"/>
    <w:rPr>
      <w:rFonts w:ascii="Cambria" w:hAnsi="Cambria" w:eastAsia="宋体" w:cs="Times New Roman"/>
      <w:b/>
      <w:bCs/>
      <w:kern w:val="2"/>
      <w:sz w:val="32"/>
      <w:szCs w:val="32"/>
    </w:rPr>
  </w:style>
  <w:style w:type="character" w:customStyle="1" w:styleId="32">
    <w:name w:val="标题 1 字符"/>
    <w:link w:val="3"/>
    <w:qFormat/>
    <w:uiPriority w:val="9"/>
    <w:rPr>
      <w:b/>
      <w:bCs/>
      <w:kern w:val="44"/>
      <w:sz w:val="44"/>
      <w:szCs w:val="44"/>
    </w:rPr>
  </w:style>
  <w:style w:type="character" w:customStyle="1" w:styleId="33">
    <w:name w:val="标题 2 字符"/>
    <w:link w:val="4"/>
    <w:qFormat/>
    <w:uiPriority w:val="9"/>
    <w:rPr>
      <w:rFonts w:ascii="Cambria" w:hAnsi="Cambria" w:eastAsia="宋体" w:cs="Times New Roman"/>
      <w:b/>
      <w:bCs/>
      <w:kern w:val="2"/>
      <w:sz w:val="32"/>
      <w:szCs w:val="32"/>
    </w:rPr>
  </w:style>
  <w:style w:type="character" w:customStyle="1" w:styleId="34">
    <w:name w:val="标题 5 字符"/>
    <w:link w:val="7"/>
    <w:semiHidden/>
    <w:qFormat/>
    <w:uiPriority w:val="9"/>
    <w:rPr>
      <w:rFonts w:ascii="Times New Roman" w:hAnsi="Times New Roman"/>
      <w:b/>
      <w:bCs/>
      <w:kern w:val="2"/>
      <w:sz w:val="28"/>
      <w:szCs w:val="28"/>
    </w:rPr>
  </w:style>
  <w:style w:type="character" w:customStyle="1" w:styleId="35">
    <w:name w:val="标题 8 字符"/>
    <w:link w:val="9"/>
    <w:semiHidden/>
    <w:qFormat/>
    <w:uiPriority w:val="9"/>
    <w:rPr>
      <w:rFonts w:ascii="等线 Light" w:hAnsi="等线 Light" w:eastAsia="等线 Light" w:cs="Times New Roman"/>
      <w:kern w:val="2"/>
      <w:sz w:val="24"/>
      <w:szCs w:val="24"/>
    </w:rPr>
  </w:style>
  <w:style w:type="character" w:customStyle="1" w:styleId="36">
    <w:name w:val="批注文字 字符2"/>
    <w:link w:val="11"/>
    <w:qFormat/>
    <w:uiPriority w:val="0"/>
    <w:rPr>
      <w:rFonts w:ascii="Times New Roman" w:hAnsi="Times New Roman"/>
      <w:kern w:val="2"/>
      <w:sz w:val="21"/>
      <w:szCs w:val="24"/>
    </w:rPr>
  </w:style>
  <w:style w:type="character" w:customStyle="1" w:styleId="37">
    <w:name w:val="正文文本 3 字符"/>
    <w:link w:val="12"/>
    <w:semiHidden/>
    <w:qFormat/>
    <w:uiPriority w:val="99"/>
    <w:rPr>
      <w:kern w:val="2"/>
      <w:sz w:val="16"/>
      <w:szCs w:val="16"/>
    </w:rPr>
  </w:style>
  <w:style w:type="character" w:customStyle="1" w:styleId="38">
    <w:name w:val="正文文本 字符1"/>
    <w:link w:val="13"/>
    <w:qFormat/>
    <w:uiPriority w:val="0"/>
    <w:rPr>
      <w:rFonts w:ascii="Times New Roman" w:hAnsi="Times New Roman"/>
      <w:kern w:val="2"/>
      <w:sz w:val="21"/>
      <w:szCs w:val="24"/>
    </w:rPr>
  </w:style>
  <w:style w:type="character" w:customStyle="1" w:styleId="39">
    <w:name w:val="正文文本缩进 字符"/>
    <w:link w:val="14"/>
    <w:qFormat/>
    <w:uiPriority w:val="0"/>
    <w:rPr>
      <w:rFonts w:ascii="仿宋_GB2312" w:hAnsi="Times New Roman" w:eastAsia="仿宋_GB2312" w:cs="Times New Roman"/>
      <w:sz w:val="32"/>
      <w:szCs w:val="20"/>
    </w:rPr>
  </w:style>
  <w:style w:type="character" w:customStyle="1" w:styleId="40">
    <w:name w:val="纯文本 字符3"/>
    <w:link w:val="16"/>
    <w:qFormat/>
    <w:uiPriority w:val="0"/>
    <w:rPr>
      <w:rFonts w:ascii="宋体" w:hAnsi="Courier New" w:eastAsia="宋体" w:cs="Courier New"/>
      <w:szCs w:val="21"/>
    </w:rPr>
  </w:style>
  <w:style w:type="character" w:customStyle="1" w:styleId="41">
    <w:name w:val="日期 字符"/>
    <w:link w:val="17"/>
    <w:semiHidden/>
    <w:qFormat/>
    <w:uiPriority w:val="99"/>
    <w:rPr>
      <w:rFonts w:ascii="Times New Roman" w:hAnsi="Times New Roman"/>
      <w:kern w:val="2"/>
      <w:sz w:val="21"/>
      <w:szCs w:val="24"/>
    </w:rPr>
  </w:style>
  <w:style w:type="character" w:customStyle="1" w:styleId="42">
    <w:name w:val="页脚 字符"/>
    <w:link w:val="19"/>
    <w:qFormat/>
    <w:uiPriority w:val="99"/>
    <w:rPr>
      <w:sz w:val="18"/>
      <w:szCs w:val="18"/>
    </w:rPr>
  </w:style>
  <w:style w:type="character" w:customStyle="1" w:styleId="43">
    <w:name w:val="页眉 字符"/>
    <w:link w:val="20"/>
    <w:qFormat/>
    <w:uiPriority w:val="99"/>
    <w:rPr>
      <w:sz w:val="18"/>
      <w:szCs w:val="18"/>
    </w:rPr>
  </w:style>
  <w:style w:type="character" w:customStyle="1" w:styleId="44">
    <w:name w:val="批注主题 字符"/>
    <w:link w:val="24"/>
    <w:qFormat/>
    <w:uiPriority w:val="99"/>
    <w:rPr>
      <w:rFonts w:ascii="Times New Roman" w:hAnsi="Times New Roman"/>
      <w:b/>
      <w:bCs/>
      <w:kern w:val="2"/>
      <w:sz w:val="21"/>
      <w:szCs w:val="24"/>
    </w:rPr>
  </w:style>
  <w:style w:type="character" w:customStyle="1" w:styleId="45">
    <w:name w:val="纯文本 字符2"/>
    <w:qFormat/>
    <w:uiPriority w:val="0"/>
    <w:rPr>
      <w:rFonts w:ascii="宋体" w:hAnsi="Courier New" w:eastAsia="宋体" w:cs="Courier New"/>
      <w:szCs w:val="21"/>
    </w:rPr>
  </w:style>
  <w:style w:type="character" w:customStyle="1" w:styleId="46">
    <w:name w:val="标题 1 字符1"/>
    <w:qFormat/>
    <w:uiPriority w:val="0"/>
    <w:rPr>
      <w:b/>
      <w:bCs/>
      <w:kern w:val="44"/>
      <w:sz w:val="44"/>
      <w:szCs w:val="44"/>
    </w:rPr>
  </w:style>
  <w:style w:type="character" w:customStyle="1" w:styleId="47">
    <w:name w:val="正文2 Char Char"/>
    <w:link w:val="48"/>
    <w:qFormat/>
    <w:uiPriority w:val="0"/>
    <w:rPr>
      <w:kern w:val="2"/>
      <w:sz w:val="24"/>
    </w:rPr>
  </w:style>
  <w:style w:type="paragraph" w:customStyle="1" w:styleId="48">
    <w:name w:val="正文2"/>
    <w:basedOn w:val="1"/>
    <w:link w:val="47"/>
    <w:qFormat/>
    <w:uiPriority w:val="0"/>
    <w:pPr>
      <w:adjustRightInd w:val="0"/>
      <w:spacing w:before="156" w:line="360" w:lineRule="auto"/>
      <w:ind w:firstLine="510" w:firstLineChars="200"/>
    </w:pPr>
    <w:rPr>
      <w:sz w:val="24"/>
      <w:szCs w:val="20"/>
    </w:rPr>
  </w:style>
  <w:style w:type="character" w:customStyle="1" w:styleId="49">
    <w:name w:val="纯文本 字符1"/>
    <w:qFormat/>
    <w:uiPriority w:val="0"/>
    <w:rPr>
      <w:rFonts w:ascii="宋体" w:hAnsi="Courier New"/>
    </w:rPr>
  </w:style>
  <w:style w:type="character" w:customStyle="1" w:styleId="50">
    <w:name w:val="批注文字 Char2"/>
    <w:qFormat/>
    <w:uiPriority w:val="0"/>
    <w:rPr>
      <w:rFonts w:ascii="Times New Roman" w:hAnsi="Times New Roman"/>
      <w:kern w:val="2"/>
      <w:sz w:val="21"/>
      <w:szCs w:val="24"/>
    </w:rPr>
  </w:style>
  <w:style w:type="character" w:customStyle="1" w:styleId="51">
    <w:name w:val="纯文本 字符"/>
    <w:qFormat/>
    <w:uiPriority w:val="0"/>
    <w:rPr>
      <w:rFonts w:ascii="宋体" w:hAnsi="Courier New" w:eastAsia="宋体" w:cs="Courier New"/>
      <w:szCs w:val="21"/>
    </w:rPr>
  </w:style>
  <w:style w:type="character" w:customStyle="1" w:styleId="52">
    <w:name w:val="textcontents"/>
    <w:qFormat/>
    <w:uiPriority w:val="0"/>
  </w:style>
  <w:style w:type="character" w:customStyle="1" w:styleId="53">
    <w:name w:val="apple-style-span"/>
    <w:qFormat/>
    <w:uiPriority w:val="0"/>
  </w:style>
  <w:style w:type="character" w:customStyle="1" w:styleId="54">
    <w:name w:val="批注文字 Char"/>
    <w:qFormat/>
    <w:uiPriority w:val="0"/>
    <w:rPr>
      <w:rFonts w:ascii="Times New Roman" w:hAnsi="Times New Roman"/>
      <w:kern w:val="2"/>
      <w:sz w:val="21"/>
      <w:szCs w:val="24"/>
    </w:rPr>
  </w:style>
  <w:style w:type="character" w:customStyle="1" w:styleId="55">
    <w:name w:val="正文文本 字符"/>
    <w:qFormat/>
    <w:uiPriority w:val="0"/>
    <w:rPr>
      <w:rFonts w:ascii="Times New Roman" w:hAnsi="Times New Roman"/>
      <w:kern w:val="2"/>
      <w:sz w:val="21"/>
      <w:szCs w:val="24"/>
    </w:rPr>
  </w:style>
  <w:style w:type="character" w:customStyle="1" w:styleId="56">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57">
    <w:name w:val="纯文本 Char"/>
    <w:qFormat/>
    <w:uiPriority w:val="0"/>
    <w:rPr>
      <w:rFonts w:ascii="宋体" w:hAnsi="Courier New" w:eastAsia="宋体" w:cs="Courier New"/>
      <w:szCs w:val="21"/>
    </w:rPr>
  </w:style>
  <w:style w:type="character" w:customStyle="1" w:styleId="58">
    <w:name w:val="标题 8 Char"/>
    <w:qFormat/>
    <w:uiPriority w:val="0"/>
    <w:rPr>
      <w:rFonts w:ascii="Arial" w:hAnsi="Arial" w:eastAsia="黑体"/>
      <w:kern w:val="2"/>
      <w:sz w:val="24"/>
      <w:szCs w:val="24"/>
    </w:rPr>
  </w:style>
  <w:style w:type="character" w:customStyle="1" w:styleId="59">
    <w:name w:val="批注文字 字符"/>
    <w:qFormat/>
    <w:uiPriority w:val="0"/>
    <w:rPr>
      <w:rFonts w:ascii="Times New Roman" w:hAnsi="Times New Roman"/>
      <w:kern w:val="2"/>
      <w:sz w:val="21"/>
      <w:szCs w:val="24"/>
    </w:rPr>
  </w:style>
  <w:style w:type="character" w:customStyle="1" w:styleId="60">
    <w:name w:val="批注文字 字符1"/>
    <w:qFormat/>
    <w:uiPriority w:val="0"/>
    <w:rPr>
      <w:rFonts w:ascii="Times New Roman" w:hAnsi="Times New Roman"/>
      <w:kern w:val="2"/>
      <w:sz w:val="21"/>
      <w:szCs w:val="24"/>
    </w:rPr>
  </w:style>
  <w:style w:type="character" w:customStyle="1" w:styleId="61">
    <w:name w:val="正文文本 Char"/>
    <w:qFormat/>
    <w:uiPriority w:val="0"/>
    <w:rPr>
      <w:rFonts w:ascii="Times New Roman" w:hAnsi="Times New Roman"/>
      <w:kern w:val="2"/>
      <w:sz w:val="21"/>
      <w:szCs w:val="24"/>
    </w:rPr>
  </w:style>
  <w:style w:type="paragraph" w:customStyle="1" w:styleId="62">
    <w:name w:val="默认段落字体 Para Char Char Char Char Char Char Char Char Char1 Char Char Char Char"/>
    <w:basedOn w:val="1"/>
    <w:qFormat/>
    <w:uiPriority w:val="0"/>
    <w:rPr>
      <w:rFonts w:ascii="Tahoma" w:hAnsi="Tahoma"/>
      <w:sz w:val="24"/>
      <w:szCs w:val="20"/>
    </w:rPr>
  </w:style>
  <w:style w:type="paragraph" w:customStyle="1" w:styleId="63">
    <w:name w:val="Table Paragraph"/>
    <w:basedOn w:val="1"/>
    <w:qFormat/>
    <w:uiPriority w:val="1"/>
    <w:pPr>
      <w:jc w:val="left"/>
    </w:pPr>
    <w:rPr>
      <w:rFonts w:ascii="Calibri" w:hAnsi="Calibri"/>
      <w:kern w:val="0"/>
      <w:sz w:val="22"/>
      <w:szCs w:val="22"/>
      <w:lang w:eastAsia="en-US"/>
    </w:rPr>
  </w:style>
  <w:style w:type="paragraph" w:customStyle="1" w:styleId="64">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65">
    <w:name w:val="列出段落1"/>
    <w:basedOn w:val="1"/>
    <w:qFormat/>
    <w:uiPriority w:val="34"/>
    <w:pPr>
      <w:ind w:firstLine="420" w:firstLineChars="200"/>
    </w:pPr>
  </w:style>
  <w:style w:type="paragraph" w:customStyle="1" w:styleId="66">
    <w:name w:val="列出段落2"/>
    <w:basedOn w:val="1"/>
    <w:qFormat/>
    <w:uiPriority w:val="34"/>
    <w:pPr>
      <w:ind w:firstLine="420" w:firstLineChars="200"/>
    </w:pPr>
    <w:rPr>
      <w:rFonts w:ascii="Calibri" w:hAnsi="Calibri"/>
    </w:rPr>
  </w:style>
  <w:style w:type="character" w:customStyle="1" w:styleId="67">
    <w:name w:val="标题 3 字符"/>
    <w:basedOn w:val="27"/>
    <w:link w:val="5"/>
    <w:semiHidden/>
    <w:qFormat/>
    <w:uiPriority w:val="9"/>
    <w:rPr>
      <w:b/>
      <w:bCs/>
      <w:kern w:val="2"/>
      <w:sz w:val="32"/>
      <w:szCs w:val="32"/>
    </w:rPr>
  </w:style>
  <w:style w:type="character" w:customStyle="1" w:styleId="68">
    <w:name w:val="标题 4 字符"/>
    <w:basedOn w:val="27"/>
    <w:link w:val="6"/>
    <w:semiHidden/>
    <w:qFormat/>
    <w:uiPriority w:val="9"/>
    <w:rPr>
      <w:rFonts w:asciiTheme="majorHAnsi" w:hAnsiTheme="majorHAnsi" w:eastAsiaTheme="majorEastAsia" w:cstheme="majorBidi"/>
      <w:b/>
      <w:bCs/>
      <w:kern w:val="2"/>
      <w:sz w:val="28"/>
      <w:szCs w:val="28"/>
    </w:rPr>
  </w:style>
  <w:style w:type="character" w:customStyle="1" w:styleId="69">
    <w:name w:val="*正文 Char Char"/>
    <w:link w:val="70"/>
    <w:qFormat/>
    <w:locked/>
    <w:uiPriority w:val="0"/>
    <w:rPr>
      <w:rFonts w:ascii="宋体" w:hAnsi="宋体" w:eastAsia="仿宋_GB2312"/>
      <w:sz w:val="28"/>
      <w:szCs w:val="24"/>
    </w:rPr>
  </w:style>
  <w:style w:type="paragraph" w:customStyle="1" w:styleId="70">
    <w:name w:val="*正文"/>
    <w:basedOn w:val="1"/>
    <w:link w:val="69"/>
    <w:qFormat/>
    <w:uiPriority w:val="0"/>
    <w:pPr>
      <w:widowControl/>
      <w:spacing w:line="360" w:lineRule="auto"/>
      <w:ind w:firstLine="200" w:firstLineChars="200"/>
      <w:jc w:val="left"/>
    </w:pPr>
    <w:rPr>
      <w:rFonts w:ascii="宋体" w:hAnsi="宋体" w:eastAsia="仿宋_GB2312"/>
      <w:kern w:val="0"/>
      <w:sz w:val="28"/>
    </w:rPr>
  </w:style>
  <w:style w:type="character" w:customStyle="1" w:styleId="71">
    <w:name w:val="正正正文 Char"/>
    <w:link w:val="72"/>
    <w:qFormat/>
    <w:locked/>
    <w:uiPriority w:val="0"/>
    <w:rPr>
      <w:rFonts w:ascii="仿宋" w:hAnsi="仿宋" w:eastAsia="仿宋"/>
      <w:sz w:val="28"/>
      <w:szCs w:val="28"/>
    </w:rPr>
  </w:style>
  <w:style w:type="paragraph" w:customStyle="1" w:styleId="72">
    <w:name w:val="正正正文"/>
    <w:basedOn w:val="1"/>
    <w:link w:val="71"/>
    <w:qFormat/>
    <w:uiPriority w:val="0"/>
    <w:pPr>
      <w:spacing w:line="560" w:lineRule="exact"/>
      <w:ind w:firstLine="200" w:firstLineChars="200"/>
    </w:pPr>
    <w:rPr>
      <w:rFonts w:ascii="仿宋" w:hAnsi="仿宋" w:eastAsia="仿宋"/>
      <w:kern w:val="0"/>
      <w:sz w:val="28"/>
      <w:szCs w:val="28"/>
    </w:rPr>
  </w:style>
  <w:style w:type="character" w:customStyle="1" w:styleId="73">
    <w:name w:val="列表段落 字符2"/>
    <w:link w:val="74"/>
    <w:qFormat/>
    <w:locked/>
    <w:uiPriority w:val="0"/>
    <w:rPr>
      <w:rFonts w:ascii="Calibri" w:hAnsi="Calibri" w:cs="Calibri"/>
      <w:kern w:val="2"/>
      <w:sz w:val="21"/>
      <w:szCs w:val="22"/>
    </w:rPr>
  </w:style>
  <w:style w:type="paragraph" w:customStyle="1" w:styleId="74">
    <w:name w:val="列表段落1"/>
    <w:basedOn w:val="1"/>
    <w:link w:val="73"/>
    <w:qFormat/>
    <w:uiPriority w:val="0"/>
    <w:pPr>
      <w:widowControl/>
      <w:ind w:firstLine="420" w:firstLineChars="200"/>
      <w:jc w:val="left"/>
    </w:pPr>
    <w:rPr>
      <w:rFonts w:ascii="Calibri" w:hAnsi="Calibri" w:cs="Calibri"/>
      <w:szCs w:val="22"/>
    </w:rPr>
  </w:style>
  <w:style w:type="paragraph" w:customStyle="1" w:styleId="75">
    <w:name w:val="Default"/>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83</Pages>
  <Words>49160</Words>
  <Characters>50696</Characters>
  <Lines>383</Lines>
  <Paragraphs>108</Paragraphs>
  <TotalTime>0</TotalTime>
  <ScaleCrop>false</ScaleCrop>
  <LinksUpToDate>false</LinksUpToDate>
  <CharactersWithSpaces>51922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2022-05-16T02:10:00Z</dcterms:created>
  <dc:creator>唐冰</dc:creator>
  <cp:lastModifiedBy>WPS_1654829571</cp:lastModifiedBy>
  <cp:lastPrinted>2020-04-04T16:20:00Z</cp:lastPrinted>
  <dcterms:modified xsi:type="dcterms:W3CDTF">2022-06-17T07:33:01Z</dcterms:modified>
  <dc:title>竞争性谈判文件规范</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EB347ED0FE32451FA8074C2EF44353A5</vt:lpwstr>
  </property>
</Properties>
</file>