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C54E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14:paraId="3A2C9D03">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黑体"/>
          <w:sz w:val="32"/>
          <w:szCs w:val="32"/>
          <w:lang w:val="en-US" w:eastAsia="zh-CN"/>
        </w:rPr>
      </w:pPr>
    </w:p>
    <w:p w14:paraId="1DBB8FE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宋体" w:cs="Times New Roman"/>
          <w:sz w:val="21"/>
          <w:szCs w:val="24"/>
        </w:rPr>
      </w:pPr>
      <w:r>
        <w:rPr>
          <w:rFonts w:hint="eastAsia" w:ascii="Times New Roman" w:hAnsi="Times New Roman" w:eastAsia="方正小标宋简体" w:cs="方正小标宋简体"/>
          <w:sz w:val="44"/>
          <w:szCs w:val="44"/>
          <w:lang w:val="en-US" w:eastAsia="zh-CN"/>
        </w:rPr>
        <w:t>评审办法及标准表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511"/>
        <w:gridCol w:w="1626"/>
        <w:gridCol w:w="5389"/>
      </w:tblGrid>
      <w:tr w14:paraId="304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29" w:type="pct"/>
            <w:gridSpan w:val="2"/>
            <w:noWrap w:val="0"/>
            <w:vAlign w:val="center"/>
          </w:tcPr>
          <w:p w14:paraId="7F662BBD">
            <w:pPr>
              <w:adjustRightInd w:val="0"/>
              <w:spacing w:line="360" w:lineRule="exact"/>
              <w:jc w:val="center"/>
              <w:textAlignment w:val="baseline"/>
              <w:rPr>
                <w:rFonts w:ascii="Times New Roman" w:hAnsi="Times New Roman" w:eastAsia="宋体" w:cs="Times New Roman"/>
                <w:b/>
                <w:sz w:val="21"/>
                <w:szCs w:val="21"/>
              </w:rPr>
            </w:pPr>
            <w:r>
              <w:rPr>
                <w:rFonts w:hint="eastAsia" w:ascii="Times New Roman" w:hAnsi="Times New Roman" w:eastAsia="宋体" w:cs="Times New Roman"/>
                <w:b/>
                <w:sz w:val="21"/>
                <w:szCs w:val="21"/>
              </w:rPr>
              <w:t>序号</w:t>
            </w:r>
          </w:p>
        </w:tc>
        <w:tc>
          <w:tcPr>
            <w:tcW w:w="897" w:type="pct"/>
            <w:noWrap w:val="0"/>
            <w:vAlign w:val="center"/>
          </w:tcPr>
          <w:p w14:paraId="17632A60">
            <w:pPr>
              <w:adjustRightInd w:val="0"/>
              <w:spacing w:line="360" w:lineRule="exact"/>
              <w:jc w:val="center"/>
              <w:textAlignment w:val="baseline"/>
              <w:rPr>
                <w:rFonts w:ascii="Times New Roman" w:hAnsi="Times New Roman" w:eastAsia="宋体" w:cs="Times New Roman"/>
                <w:b/>
                <w:sz w:val="21"/>
                <w:szCs w:val="21"/>
              </w:rPr>
            </w:pPr>
            <w:r>
              <w:rPr>
                <w:rFonts w:hint="eastAsia" w:ascii="Times New Roman" w:hAnsi="Times New Roman" w:eastAsia="宋体" w:cs="Times New Roman"/>
                <w:b/>
                <w:sz w:val="21"/>
                <w:szCs w:val="21"/>
              </w:rPr>
              <w:t>评审因素</w:t>
            </w:r>
          </w:p>
        </w:tc>
        <w:tc>
          <w:tcPr>
            <w:tcW w:w="2973" w:type="pct"/>
            <w:noWrap w:val="0"/>
            <w:vAlign w:val="center"/>
          </w:tcPr>
          <w:p w14:paraId="7A90DF5D">
            <w:pPr>
              <w:adjustRightInd w:val="0"/>
              <w:spacing w:line="360" w:lineRule="exact"/>
              <w:jc w:val="center"/>
              <w:textAlignment w:val="baseline"/>
              <w:rPr>
                <w:rFonts w:ascii="Times New Roman" w:hAnsi="Times New Roman" w:eastAsia="宋体" w:cs="Times New Roman"/>
                <w:b/>
                <w:sz w:val="21"/>
                <w:szCs w:val="21"/>
              </w:rPr>
            </w:pPr>
            <w:r>
              <w:rPr>
                <w:rFonts w:hint="eastAsia" w:ascii="Times New Roman" w:hAnsi="Times New Roman" w:eastAsia="宋体" w:cs="Times New Roman"/>
                <w:b/>
                <w:sz w:val="21"/>
                <w:szCs w:val="21"/>
              </w:rPr>
              <w:t>评标标准</w:t>
            </w:r>
          </w:p>
        </w:tc>
      </w:tr>
      <w:tr w14:paraId="0B1E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noWrap w:val="0"/>
            <w:vAlign w:val="center"/>
          </w:tcPr>
          <w:p w14:paraId="49494324">
            <w:pPr>
              <w:adjustRightInd w:val="0"/>
              <w:spacing w:line="360" w:lineRule="exact"/>
              <w:jc w:val="center"/>
              <w:textAlignment w:val="baseline"/>
              <w:rPr>
                <w:rFonts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833" w:type="pct"/>
            <w:noWrap w:val="0"/>
            <w:vAlign w:val="center"/>
          </w:tcPr>
          <w:p w14:paraId="32A6A1EF">
            <w:pPr>
              <w:adjustRightInd w:val="0"/>
              <w:spacing w:line="360" w:lineRule="exact"/>
              <w:jc w:val="center"/>
              <w:textAlignment w:val="baseline"/>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价格分</w:t>
            </w:r>
          </w:p>
          <w:p w14:paraId="07E63032">
            <w:pPr>
              <w:adjustRightInd w:val="0"/>
              <w:spacing w:line="360" w:lineRule="exact"/>
              <w:jc w:val="center"/>
              <w:textAlignment w:val="baseline"/>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（满分</w:t>
            </w:r>
            <w:r>
              <w:rPr>
                <w:rFonts w:hint="eastAsia" w:ascii="Times New Roman" w:hAnsi="Times New Roman" w:eastAsia="宋体" w:cs="Times New Roman"/>
                <w:b/>
                <w:bCs/>
                <w:sz w:val="21"/>
                <w:szCs w:val="21"/>
                <w:u w:val="single"/>
                <w:lang w:val="en-US" w:eastAsia="zh-CN"/>
              </w:rPr>
              <w:t>30</w:t>
            </w:r>
            <w:r>
              <w:rPr>
                <w:rFonts w:hint="eastAsia" w:ascii="Times New Roman" w:hAnsi="Times New Roman" w:eastAsia="宋体" w:cs="Times New Roman"/>
                <w:b/>
                <w:bCs/>
                <w:sz w:val="21"/>
                <w:szCs w:val="21"/>
              </w:rPr>
              <w:t>分）</w:t>
            </w:r>
          </w:p>
        </w:tc>
        <w:tc>
          <w:tcPr>
            <w:tcW w:w="897" w:type="pct"/>
            <w:noWrap w:val="0"/>
            <w:vAlign w:val="center"/>
          </w:tcPr>
          <w:p w14:paraId="15E41E57">
            <w:pPr>
              <w:adjustRightInd w:val="0"/>
              <w:spacing w:line="360" w:lineRule="exact"/>
              <w:jc w:val="center"/>
              <w:textAlignment w:val="baseline"/>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投标报价</w:t>
            </w:r>
          </w:p>
          <w:p w14:paraId="6FC666FA">
            <w:pPr>
              <w:adjustRightInd w:val="0"/>
              <w:spacing w:line="360" w:lineRule="exact"/>
              <w:jc w:val="center"/>
              <w:textAlignment w:val="baseline"/>
              <w:rPr>
                <w:rFonts w:ascii="Times New Roman" w:hAnsi="Times New Roman" w:eastAsia="宋体" w:cs="Times New Roman"/>
                <w:bCs/>
                <w:sz w:val="21"/>
                <w:szCs w:val="21"/>
              </w:rPr>
            </w:pPr>
            <w:r>
              <w:rPr>
                <w:rFonts w:hint="eastAsia" w:ascii="Times New Roman" w:hAnsi="Times New Roman" w:eastAsia="宋体" w:cs="Times New Roman"/>
                <w:bCs/>
                <w:sz w:val="21"/>
                <w:szCs w:val="21"/>
              </w:rPr>
              <w:t>（满分</w:t>
            </w:r>
            <w:r>
              <w:rPr>
                <w:rFonts w:hint="eastAsia" w:ascii="Times New Roman" w:hAnsi="Times New Roman" w:eastAsia="宋体" w:cs="Times New Roman"/>
                <w:bCs/>
                <w:sz w:val="21"/>
                <w:szCs w:val="21"/>
                <w:lang w:val="en-US" w:eastAsia="zh-CN"/>
              </w:rPr>
              <w:t>30</w:t>
            </w:r>
            <w:r>
              <w:rPr>
                <w:rFonts w:hint="eastAsia" w:ascii="Times New Roman" w:hAnsi="Times New Roman" w:eastAsia="宋体" w:cs="Times New Roman"/>
                <w:bCs/>
                <w:sz w:val="21"/>
                <w:szCs w:val="21"/>
              </w:rPr>
              <w:t>分）</w:t>
            </w:r>
          </w:p>
        </w:tc>
        <w:tc>
          <w:tcPr>
            <w:tcW w:w="2973" w:type="pct"/>
            <w:noWrap w:val="0"/>
            <w:vAlign w:val="center"/>
          </w:tcPr>
          <w:p w14:paraId="7E1E7329">
            <w:pPr>
              <w:spacing w:line="360" w:lineRule="exact"/>
              <w:rPr>
                <w:rFonts w:hint="eastAsia" w:ascii="Times New Roman" w:hAnsi="Times New Roman" w:eastAsia="宋体" w:cs="Courier New"/>
                <w:bCs/>
                <w:sz w:val="21"/>
                <w:szCs w:val="21"/>
              </w:rPr>
            </w:pPr>
            <w:r>
              <w:rPr>
                <w:rFonts w:hint="eastAsia" w:ascii="Times New Roman" w:hAnsi="Times New Roman" w:eastAsia="宋体" w:cs="Courier New"/>
                <w:bCs/>
                <w:sz w:val="21"/>
                <w:szCs w:val="21"/>
                <w:lang w:val="en-US" w:eastAsia="zh-CN"/>
              </w:rPr>
              <w:t>评标基准分：30分。</w:t>
            </w:r>
          </w:p>
          <w:p w14:paraId="7305CC9D">
            <w:pPr>
              <w:spacing w:line="360" w:lineRule="exact"/>
              <w:rPr>
                <w:rFonts w:hint="eastAsia" w:ascii="Times New Roman" w:hAnsi="Times New Roman" w:eastAsia="宋体" w:cs="Courier New"/>
                <w:bCs/>
                <w:sz w:val="21"/>
                <w:szCs w:val="21"/>
              </w:rPr>
            </w:pPr>
            <w:r>
              <w:rPr>
                <w:rFonts w:hint="eastAsia" w:ascii="Times New Roman" w:hAnsi="Times New Roman" w:eastAsia="宋体" w:cs="Courier New"/>
                <w:bCs/>
                <w:sz w:val="21"/>
                <w:szCs w:val="21"/>
                <w:lang w:val="en-US" w:eastAsia="zh-CN"/>
              </w:rPr>
              <w:t>评标基准价：满足招标文件要求且投标价格最低的投标报价为评标基准价，其价格分为满分（30分）。</w:t>
            </w:r>
          </w:p>
          <w:p w14:paraId="711D64D2">
            <w:pPr>
              <w:spacing w:line="360" w:lineRule="exact"/>
              <w:rPr>
                <w:rFonts w:hint="eastAsia" w:ascii="Times New Roman" w:hAnsi="Times New Roman" w:eastAsia="宋体" w:cs="Courier New"/>
                <w:bCs/>
                <w:sz w:val="21"/>
                <w:szCs w:val="21"/>
              </w:rPr>
            </w:pPr>
            <w:r>
              <w:rPr>
                <w:rFonts w:hint="eastAsia" w:ascii="Times New Roman" w:hAnsi="Times New Roman" w:eastAsia="宋体" w:cs="Courier New"/>
                <w:bCs/>
                <w:sz w:val="21"/>
                <w:szCs w:val="21"/>
                <w:lang w:val="en-US" w:eastAsia="zh-CN"/>
              </w:rPr>
              <w:t>其他投标人报价得分：（评标基准价/投标报价）×评标基准分。</w:t>
            </w:r>
          </w:p>
          <w:p w14:paraId="124B40F4">
            <w:pPr>
              <w:spacing w:line="360" w:lineRule="exact"/>
              <w:rPr>
                <w:rFonts w:hint="eastAsia" w:ascii="Times New Roman" w:hAnsi="Times New Roman" w:eastAsia="宋体" w:cs="Courier New"/>
                <w:bCs/>
                <w:sz w:val="21"/>
                <w:szCs w:val="21"/>
              </w:rPr>
            </w:pPr>
            <w:r>
              <w:rPr>
                <w:rFonts w:hint="eastAsia" w:ascii="Times New Roman" w:hAnsi="Times New Roman" w:eastAsia="宋体" w:cs="Courier New"/>
                <w:bCs/>
                <w:sz w:val="21"/>
                <w:szCs w:val="21"/>
                <w:lang w:val="en-US" w:eastAsia="zh-CN"/>
              </w:rPr>
              <w:t>（小数点后保留两位，四舍五入）</w:t>
            </w:r>
          </w:p>
        </w:tc>
      </w:tr>
      <w:tr w14:paraId="5072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noWrap w:val="0"/>
            <w:vAlign w:val="center"/>
          </w:tcPr>
          <w:p w14:paraId="45785835">
            <w:pPr>
              <w:adjustRightInd w:val="0"/>
              <w:spacing w:line="360" w:lineRule="exact"/>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833" w:type="pct"/>
            <w:vMerge w:val="restart"/>
            <w:noWrap w:val="0"/>
            <w:vAlign w:val="center"/>
          </w:tcPr>
          <w:p w14:paraId="61C2785E">
            <w:pPr>
              <w:adjustRightInd w:val="0"/>
              <w:spacing w:line="360" w:lineRule="exact"/>
              <w:jc w:val="center"/>
              <w:textAlignment w:val="baseline"/>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技术分</w:t>
            </w:r>
          </w:p>
          <w:p w14:paraId="680B083B">
            <w:pPr>
              <w:adjustRightInd w:val="0"/>
              <w:spacing w:line="360" w:lineRule="exact"/>
              <w:jc w:val="center"/>
              <w:textAlignment w:val="baseline"/>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（满分</w:t>
            </w:r>
            <w:r>
              <w:rPr>
                <w:rFonts w:hint="eastAsia" w:ascii="Times New Roman" w:hAnsi="Times New Roman" w:eastAsia="宋体" w:cs="Times New Roman"/>
                <w:b/>
                <w:bCs/>
                <w:sz w:val="21"/>
                <w:szCs w:val="21"/>
                <w:u w:val="single"/>
                <w:lang w:val="en-US" w:eastAsia="zh-CN"/>
              </w:rPr>
              <w:t>50</w:t>
            </w:r>
            <w:r>
              <w:rPr>
                <w:rFonts w:hint="eastAsia" w:ascii="Times New Roman" w:hAnsi="Times New Roman" w:eastAsia="宋体" w:cs="Times New Roman"/>
                <w:b/>
                <w:bCs/>
                <w:sz w:val="21"/>
                <w:szCs w:val="21"/>
              </w:rPr>
              <w:t>分）</w:t>
            </w:r>
          </w:p>
        </w:tc>
        <w:tc>
          <w:tcPr>
            <w:tcW w:w="897" w:type="pct"/>
            <w:noWrap w:val="0"/>
            <w:vAlign w:val="center"/>
          </w:tcPr>
          <w:p w14:paraId="4A645E03">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投标产品的关键技术指标</w:t>
            </w:r>
          </w:p>
          <w:p w14:paraId="25F2E5A0">
            <w:pPr>
              <w:adjustRightInd w:val="0"/>
              <w:spacing w:line="360" w:lineRule="exact"/>
              <w:jc w:val="center"/>
              <w:textAlignment w:val="baseline"/>
              <w:rPr>
                <w:rFonts w:hint="eastAsia" w:ascii="Times New Roman" w:hAnsi="Times New Roman" w:eastAsia="宋体" w:cs="Times New Roman"/>
                <w:sz w:val="21"/>
                <w:szCs w:val="21"/>
                <w:u w:val="none"/>
              </w:rPr>
            </w:pPr>
            <w:r>
              <w:rPr>
                <w:rFonts w:hint="eastAsia" w:ascii="Times New Roman" w:hAnsi="Times New Roman" w:eastAsia="宋体" w:cs="Times New Roman"/>
                <w:bCs/>
                <w:sz w:val="21"/>
                <w:szCs w:val="21"/>
                <w:lang w:val="en-US" w:eastAsia="zh-CN"/>
              </w:rPr>
              <w:t>（满分18分）</w:t>
            </w:r>
          </w:p>
        </w:tc>
        <w:tc>
          <w:tcPr>
            <w:tcW w:w="2973" w:type="pct"/>
            <w:noWrap w:val="0"/>
            <w:vAlign w:val="center"/>
          </w:tcPr>
          <w:p w14:paraId="05E5D5ED">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采购需求中带▲的技术指标参数共18项，有一项正偏离的，得1分，满分18分。</w:t>
            </w:r>
          </w:p>
          <w:p w14:paraId="02F98C6D">
            <w:pPr>
              <w:spacing w:line="360" w:lineRule="exact"/>
              <w:rPr>
                <w:rFonts w:hint="eastAsia" w:ascii="Times New Roman" w:hAnsi="Times New Roman" w:eastAsia="宋体" w:cs="宋体"/>
                <w:b/>
                <w:bCs/>
                <w:color w:val="000000"/>
                <w:kern w:val="0"/>
                <w:sz w:val="20"/>
                <w:szCs w:val="20"/>
                <w:lang w:val="en-US" w:eastAsia="zh-CN" w:bidi="ar"/>
              </w:rPr>
            </w:pPr>
            <w:r>
              <w:rPr>
                <w:rFonts w:hint="eastAsia" w:ascii="Times New Roman" w:hAnsi="Times New Roman" w:eastAsia="宋体" w:cs="Courier New"/>
                <w:bCs/>
                <w:sz w:val="21"/>
                <w:szCs w:val="21"/>
                <w:lang w:val="en-US" w:eastAsia="zh-CN"/>
              </w:rPr>
              <w:t>（注：投标参数及功能有优于（表述为≥时，大于标准值的可视为优于；表述为≤时，小于标准值的可视为优于）的，投标人须在投标文件中提供国家认可的有资质的第三方机构出具的检测报告复印件作为佐证。）</w:t>
            </w:r>
          </w:p>
        </w:tc>
      </w:tr>
      <w:tr w14:paraId="02D8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7BE7A337">
            <w:pPr>
              <w:adjustRightInd w:val="0"/>
              <w:spacing w:line="360" w:lineRule="exact"/>
              <w:jc w:val="center"/>
              <w:textAlignment w:val="baseline"/>
              <w:rPr>
                <w:rFonts w:hint="eastAsia" w:ascii="Times New Roman" w:hAnsi="Times New Roman" w:eastAsia="宋体" w:cs="Times New Roman"/>
                <w:sz w:val="21"/>
                <w:szCs w:val="21"/>
              </w:rPr>
            </w:pPr>
          </w:p>
        </w:tc>
        <w:tc>
          <w:tcPr>
            <w:tcW w:w="833" w:type="pct"/>
            <w:vMerge w:val="continue"/>
            <w:noWrap w:val="0"/>
            <w:vAlign w:val="center"/>
          </w:tcPr>
          <w:p w14:paraId="470015F3">
            <w:pPr>
              <w:adjustRightInd w:val="0"/>
              <w:spacing w:line="360" w:lineRule="exact"/>
              <w:jc w:val="center"/>
              <w:textAlignment w:val="baseline"/>
              <w:rPr>
                <w:rFonts w:hint="eastAsia" w:ascii="Times New Roman" w:hAnsi="Times New Roman" w:eastAsia="宋体" w:cs="Times New Roman"/>
                <w:b/>
                <w:bCs/>
                <w:sz w:val="21"/>
                <w:szCs w:val="21"/>
              </w:rPr>
            </w:pPr>
          </w:p>
        </w:tc>
        <w:tc>
          <w:tcPr>
            <w:tcW w:w="897" w:type="pct"/>
            <w:noWrap w:val="0"/>
            <w:vAlign w:val="center"/>
          </w:tcPr>
          <w:p w14:paraId="04FB8732">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质量及进度保障方案</w:t>
            </w:r>
          </w:p>
          <w:p w14:paraId="5C14F88E">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（满分8分）</w:t>
            </w:r>
          </w:p>
        </w:tc>
        <w:tc>
          <w:tcPr>
            <w:tcW w:w="2973" w:type="pct"/>
            <w:noWrap w:val="0"/>
            <w:vAlign w:val="center"/>
          </w:tcPr>
          <w:p w14:paraId="1211A2E6">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根据投标人针对本项目提供的质量及进度保障措施进行评分：</w:t>
            </w:r>
          </w:p>
          <w:p w14:paraId="1B8F03B9">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A.有明确的质量保障体系，保障措施内容描述详细、全面，能做到项目全流程覆盖的；</w:t>
            </w:r>
          </w:p>
          <w:p w14:paraId="565293E9">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B.有明确的进度保障措施，保障措施科学合理，能做到项目全流程覆盖的。</w:t>
            </w:r>
          </w:p>
          <w:p w14:paraId="6D3F4F8A">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满分8分，A、B每一项满分4分，每项每出现一处不完善或不合理减1分（每项最多减4分）。</w:t>
            </w:r>
          </w:p>
          <w:p w14:paraId="11FFB9AB">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
                <w:bCs w:val="0"/>
                <w:sz w:val="21"/>
                <w:szCs w:val="21"/>
                <w:lang w:val="en-US" w:eastAsia="zh-CN"/>
              </w:rPr>
              <w:t>未进行描述或偏差严重的，不得分。</w:t>
            </w:r>
          </w:p>
        </w:tc>
      </w:tr>
      <w:tr w14:paraId="4045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4C39342A">
            <w:pPr>
              <w:adjustRightInd w:val="0"/>
              <w:spacing w:line="360" w:lineRule="exact"/>
              <w:jc w:val="center"/>
              <w:textAlignment w:val="baseline"/>
              <w:rPr>
                <w:rFonts w:hint="eastAsia" w:ascii="Times New Roman" w:hAnsi="Times New Roman" w:eastAsia="宋体" w:cs="Times New Roman"/>
                <w:sz w:val="21"/>
                <w:szCs w:val="21"/>
              </w:rPr>
            </w:pPr>
          </w:p>
        </w:tc>
        <w:tc>
          <w:tcPr>
            <w:tcW w:w="833" w:type="pct"/>
            <w:vMerge w:val="continue"/>
            <w:noWrap w:val="0"/>
            <w:vAlign w:val="center"/>
          </w:tcPr>
          <w:p w14:paraId="4240054A">
            <w:pPr>
              <w:adjustRightInd w:val="0"/>
              <w:spacing w:line="360" w:lineRule="exact"/>
              <w:jc w:val="center"/>
              <w:textAlignment w:val="baseline"/>
              <w:rPr>
                <w:rFonts w:hint="eastAsia" w:ascii="Times New Roman" w:hAnsi="Times New Roman" w:eastAsia="宋体" w:cs="Times New Roman"/>
                <w:b/>
                <w:bCs/>
                <w:sz w:val="21"/>
                <w:szCs w:val="21"/>
              </w:rPr>
            </w:pPr>
          </w:p>
        </w:tc>
        <w:tc>
          <w:tcPr>
            <w:tcW w:w="897" w:type="pct"/>
            <w:noWrap w:val="0"/>
            <w:vAlign w:val="center"/>
          </w:tcPr>
          <w:p w14:paraId="49D48936">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产品配送及安装方案</w:t>
            </w:r>
          </w:p>
          <w:p w14:paraId="1B1013B3">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（满分8分）</w:t>
            </w:r>
          </w:p>
        </w:tc>
        <w:tc>
          <w:tcPr>
            <w:tcW w:w="2973" w:type="pct"/>
            <w:noWrap w:val="0"/>
            <w:vAlign w:val="center"/>
          </w:tcPr>
          <w:p w14:paraId="39503CDD">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根据投标人针对本项目提供的产品配送及安装方案进行评分：</w:t>
            </w:r>
          </w:p>
          <w:p w14:paraId="4BC47E9D">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A.产品配送周期、进度流程安排合理，配送过程保证产品安全；</w:t>
            </w:r>
          </w:p>
          <w:p w14:paraId="2DCC019A">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B.产品安装调试方案科学合理，满足项目实际实施要求。</w:t>
            </w:r>
          </w:p>
          <w:p w14:paraId="52182FCE">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满分8分，A、B 每一项满分4分，每项每出现一处不完善或不合理减1分（每项最多减4分）</w:t>
            </w:r>
          </w:p>
          <w:p w14:paraId="24424C7A">
            <w:pPr>
              <w:spacing w:line="360" w:lineRule="exact"/>
              <w:rPr>
                <w:rFonts w:hint="eastAsia" w:ascii="Times New Roman" w:hAnsi="Times New Roman" w:eastAsia="宋体" w:cs="Courier New"/>
                <w:b/>
                <w:bCs w:val="0"/>
                <w:sz w:val="21"/>
                <w:szCs w:val="21"/>
                <w:lang w:val="en-US" w:eastAsia="zh-CN"/>
              </w:rPr>
            </w:pPr>
            <w:r>
              <w:rPr>
                <w:rFonts w:hint="eastAsia" w:ascii="Times New Roman" w:hAnsi="Times New Roman" w:eastAsia="宋体" w:cs="Courier New"/>
                <w:b/>
                <w:bCs w:val="0"/>
                <w:sz w:val="21"/>
                <w:szCs w:val="21"/>
                <w:lang w:val="en-US" w:eastAsia="zh-CN"/>
              </w:rPr>
              <w:t>未进行描述或偏差严重的，不得分。</w:t>
            </w:r>
          </w:p>
        </w:tc>
      </w:tr>
      <w:tr w14:paraId="2800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36E21769">
            <w:pPr>
              <w:adjustRightInd w:val="0"/>
              <w:spacing w:line="360" w:lineRule="exact"/>
              <w:jc w:val="center"/>
              <w:textAlignment w:val="baseline"/>
              <w:rPr>
                <w:rFonts w:hint="eastAsia" w:ascii="Times New Roman" w:hAnsi="Times New Roman" w:eastAsia="宋体" w:cs="Times New Roman"/>
                <w:sz w:val="21"/>
                <w:szCs w:val="21"/>
              </w:rPr>
            </w:pPr>
          </w:p>
        </w:tc>
        <w:tc>
          <w:tcPr>
            <w:tcW w:w="833" w:type="pct"/>
            <w:vMerge w:val="continue"/>
            <w:noWrap w:val="0"/>
            <w:vAlign w:val="center"/>
          </w:tcPr>
          <w:p w14:paraId="7CCFC3D5">
            <w:pPr>
              <w:adjustRightInd w:val="0"/>
              <w:spacing w:line="360" w:lineRule="exact"/>
              <w:jc w:val="center"/>
              <w:textAlignment w:val="baseline"/>
              <w:rPr>
                <w:rFonts w:hint="eastAsia" w:ascii="Times New Roman" w:hAnsi="Times New Roman" w:eastAsia="宋体" w:cs="Times New Roman"/>
                <w:b/>
                <w:bCs/>
                <w:sz w:val="21"/>
                <w:szCs w:val="21"/>
              </w:rPr>
            </w:pPr>
          </w:p>
        </w:tc>
        <w:tc>
          <w:tcPr>
            <w:tcW w:w="897" w:type="pct"/>
            <w:noWrap w:val="0"/>
            <w:vAlign w:val="center"/>
          </w:tcPr>
          <w:p w14:paraId="651E03DD">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培训方案</w:t>
            </w:r>
          </w:p>
          <w:p w14:paraId="3D09DFF9">
            <w:pPr>
              <w:adjustRightInd w:val="0"/>
              <w:spacing w:line="360" w:lineRule="exact"/>
              <w:jc w:val="center"/>
              <w:textAlignment w:val="baseline"/>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（满分8分）</w:t>
            </w:r>
          </w:p>
        </w:tc>
        <w:tc>
          <w:tcPr>
            <w:tcW w:w="2973" w:type="pct"/>
            <w:noWrap w:val="0"/>
            <w:vAlign w:val="center"/>
          </w:tcPr>
          <w:p w14:paraId="745A7D73">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 xml:space="preserve">根据投标人针对本项目提供的培训内容及计划进行评分： </w:t>
            </w:r>
          </w:p>
          <w:p w14:paraId="1E438586">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A.培训内容丰富全面，课程完整，能确保采购人可以熟练操作，且处理简单故障的；</w:t>
            </w:r>
          </w:p>
          <w:p w14:paraId="3DD89FB3">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B.培训时间及计划安排科学合理的。</w:t>
            </w:r>
          </w:p>
          <w:p w14:paraId="6BA006CF">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满分8分，A、B每一项满分4分，每项每出现一处不完善或不合理减1分（每项最多减4分）</w:t>
            </w:r>
          </w:p>
          <w:p w14:paraId="253F43B4">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
                <w:bCs w:val="0"/>
                <w:sz w:val="21"/>
                <w:szCs w:val="21"/>
                <w:lang w:val="en-US" w:eastAsia="zh-CN"/>
              </w:rPr>
              <w:t>未进行描述或偏差严重的，不得分。</w:t>
            </w:r>
          </w:p>
        </w:tc>
      </w:tr>
      <w:tr w14:paraId="1FEE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47DAF50F">
            <w:pPr>
              <w:adjustRightInd w:val="0"/>
              <w:spacing w:line="360" w:lineRule="exact"/>
              <w:jc w:val="center"/>
              <w:textAlignment w:val="baseline"/>
              <w:rPr>
                <w:rFonts w:hint="eastAsia" w:ascii="Times New Roman" w:hAnsi="Times New Roman" w:eastAsia="宋体" w:cs="Times New Roman"/>
                <w:sz w:val="21"/>
                <w:szCs w:val="21"/>
              </w:rPr>
            </w:pPr>
          </w:p>
        </w:tc>
        <w:tc>
          <w:tcPr>
            <w:tcW w:w="833" w:type="pct"/>
            <w:vMerge w:val="continue"/>
            <w:noWrap w:val="0"/>
            <w:vAlign w:val="center"/>
          </w:tcPr>
          <w:p w14:paraId="494317B2">
            <w:pPr>
              <w:adjustRightInd w:val="0"/>
              <w:spacing w:line="360" w:lineRule="exact"/>
              <w:jc w:val="center"/>
              <w:textAlignment w:val="baseline"/>
              <w:rPr>
                <w:rFonts w:hint="eastAsia" w:ascii="Times New Roman" w:hAnsi="Times New Roman" w:eastAsia="宋体" w:cs="Times New Roman"/>
                <w:b/>
                <w:bCs/>
                <w:sz w:val="21"/>
                <w:szCs w:val="21"/>
              </w:rPr>
            </w:pPr>
          </w:p>
        </w:tc>
        <w:tc>
          <w:tcPr>
            <w:tcW w:w="897" w:type="pct"/>
            <w:noWrap w:val="0"/>
            <w:vAlign w:val="center"/>
          </w:tcPr>
          <w:p w14:paraId="4CEAE17E">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技术支持方案</w:t>
            </w:r>
          </w:p>
          <w:p w14:paraId="43E148B2">
            <w:pPr>
              <w:adjustRightInd w:val="0"/>
              <w:spacing w:line="360" w:lineRule="exact"/>
              <w:jc w:val="center"/>
              <w:textAlignment w:val="baseline"/>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（满分8分）</w:t>
            </w:r>
          </w:p>
        </w:tc>
        <w:tc>
          <w:tcPr>
            <w:tcW w:w="2973" w:type="pct"/>
            <w:noWrap w:val="0"/>
            <w:vAlign w:val="center"/>
          </w:tcPr>
          <w:p w14:paraId="39B58CC9">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根据投标人针对本项目提供的技术支持方案进行评分：</w:t>
            </w:r>
          </w:p>
          <w:p w14:paraId="3F42E0AB">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A.技术支持方案描述详细、全面，技术支持服务人员配备充足；</w:t>
            </w:r>
          </w:p>
          <w:p w14:paraId="43474C8A">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B.有明确的技术支持保障体系，保障措施科学合理的。</w:t>
            </w:r>
          </w:p>
          <w:p w14:paraId="49050547">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满分8分，A、B每一项满分4分，每项每出现一处不完善或不合理减1分（每项最多减4分）</w:t>
            </w:r>
          </w:p>
          <w:p w14:paraId="25113F18">
            <w:pPr>
              <w:spacing w:line="360" w:lineRule="exact"/>
              <w:rPr>
                <w:rFonts w:hint="eastAsia" w:ascii="Times New Roman" w:hAnsi="Times New Roman" w:eastAsia="宋体" w:cs="Courier New"/>
                <w:b/>
                <w:bCs w:val="0"/>
                <w:sz w:val="21"/>
                <w:szCs w:val="21"/>
                <w:lang w:val="en-US" w:eastAsia="zh-CN"/>
              </w:rPr>
            </w:pPr>
            <w:r>
              <w:rPr>
                <w:rFonts w:hint="eastAsia" w:ascii="Times New Roman" w:hAnsi="Times New Roman" w:eastAsia="宋体" w:cs="Courier New"/>
                <w:b/>
                <w:bCs w:val="0"/>
                <w:sz w:val="21"/>
                <w:szCs w:val="21"/>
                <w:lang w:val="en-US" w:eastAsia="zh-CN"/>
              </w:rPr>
              <w:t>未进行描述或偏差严重的，不得分。</w:t>
            </w:r>
          </w:p>
        </w:tc>
      </w:tr>
      <w:tr w14:paraId="1D13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restart"/>
            <w:noWrap w:val="0"/>
            <w:vAlign w:val="center"/>
          </w:tcPr>
          <w:p w14:paraId="0FC15EAB">
            <w:pPr>
              <w:adjustRightInd w:val="0"/>
              <w:spacing w:line="360" w:lineRule="exact"/>
              <w:jc w:val="center"/>
              <w:textAlignment w:val="baseline"/>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833" w:type="pct"/>
            <w:vMerge w:val="restart"/>
            <w:noWrap w:val="0"/>
            <w:vAlign w:val="center"/>
          </w:tcPr>
          <w:p w14:paraId="301C7A16">
            <w:pPr>
              <w:adjustRightInd w:val="0"/>
              <w:spacing w:line="360" w:lineRule="exact"/>
              <w:jc w:val="center"/>
              <w:textAlignment w:val="baseline"/>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商务分</w:t>
            </w:r>
          </w:p>
          <w:p w14:paraId="7A37214C">
            <w:pPr>
              <w:adjustRightInd w:val="0"/>
              <w:spacing w:line="360" w:lineRule="exact"/>
              <w:jc w:val="center"/>
              <w:textAlignment w:val="baseline"/>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（满分</w:t>
            </w:r>
            <w:r>
              <w:rPr>
                <w:rFonts w:hint="eastAsia" w:ascii="Times New Roman" w:hAnsi="Times New Roman" w:eastAsia="宋体" w:cs="Times New Roman"/>
                <w:b/>
                <w:bCs/>
                <w:sz w:val="21"/>
                <w:szCs w:val="21"/>
                <w:u w:val="single"/>
                <w:lang w:val="en-US" w:eastAsia="zh-CN"/>
              </w:rPr>
              <w:t>20</w:t>
            </w:r>
            <w:r>
              <w:rPr>
                <w:rFonts w:hint="eastAsia" w:ascii="Times New Roman" w:hAnsi="Times New Roman" w:eastAsia="宋体" w:cs="Times New Roman"/>
                <w:b/>
                <w:bCs/>
                <w:sz w:val="21"/>
                <w:szCs w:val="21"/>
              </w:rPr>
              <w:t>分）</w:t>
            </w:r>
          </w:p>
        </w:tc>
        <w:tc>
          <w:tcPr>
            <w:tcW w:w="897" w:type="pct"/>
            <w:noWrap w:val="0"/>
            <w:vAlign w:val="center"/>
          </w:tcPr>
          <w:p w14:paraId="112AC72A">
            <w:pPr>
              <w:spacing w:line="360" w:lineRule="exact"/>
              <w:jc w:val="center"/>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售后服务</w:t>
            </w:r>
          </w:p>
          <w:p w14:paraId="058028E6">
            <w:pPr>
              <w:spacing w:line="360" w:lineRule="exact"/>
              <w:jc w:val="center"/>
              <w:rPr>
                <w:rFonts w:ascii="Times New Roman" w:hAnsi="Times New Roman" w:eastAsia="宋体" w:cs="Times New Roman"/>
                <w:bCs/>
                <w:sz w:val="21"/>
                <w:szCs w:val="21"/>
              </w:rPr>
            </w:pPr>
            <w:r>
              <w:rPr>
                <w:rFonts w:hint="eastAsia" w:ascii="Times New Roman" w:hAnsi="Times New Roman" w:eastAsia="宋体" w:cs="Times New Roman"/>
                <w:bCs/>
                <w:sz w:val="21"/>
                <w:szCs w:val="21"/>
              </w:rPr>
              <w:t>（满分</w:t>
            </w:r>
            <w:r>
              <w:rPr>
                <w:rFonts w:hint="eastAsia" w:ascii="Times New Roman" w:hAnsi="Times New Roman" w:eastAsia="宋体" w:cs="Times New Roman"/>
                <w:bCs/>
                <w:sz w:val="21"/>
                <w:szCs w:val="21"/>
                <w:lang w:val="en-US" w:eastAsia="zh-CN"/>
              </w:rPr>
              <w:t>10</w:t>
            </w:r>
            <w:r>
              <w:rPr>
                <w:rFonts w:hint="eastAsia" w:ascii="Times New Roman" w:hAnsi="Times New Roman" w:eastAsia="宋体" w:cs="Times New Roman"/>
                <w:bCs/>
                <w:sz w:val="21"/>
                <w:szCs w:val="21"/>
              </w:rPr>
              <w:t>分）</w:t>
            </w:r>
          </w:p>
        </w:tc>
        <w:tc>
          <w:tcPr>
            <w:tcW w:w="2973" w:type="pct"/>
            <w:noWrap w:val="0"/>
            <w:vAlign w:val="top"/>
          </w:tcPr>
          <w:p w14:paraId="665537D8">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根据投标人针对本项目提供的售后服务方案进行评分：</w:t>
            </w:r>
          </w:p>
          <w:p w14:paraId="49BF9C14">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A.售后服务承诺及保障措施全面完整，售后服务人员充足；</w:t>
            </w:r>
          </w:p>
          <w:p w14:paraId="7C4736EF">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B.售后服务响应及时，备品备件能充分保证及时供应，或提供更长的质保期。</w:t>
            </w:r>
          </w:p>
          <w:p w14:paraId="13080122">
            <w:pPr>
              <w:spacing w:line="360" w:lineRule="exact"/>
              <w:rPr>
                <w:rFonts w:hint="eastAsia" w:ascii="Times New Roman" w:hAnsi="Times New Roman" w:eastAsia="宋体" w:cs="Courier New"/>
                <w:bCs/>
                <w:sz w:val="21"/>
                <w:szCs w:val="21"/>
                <w:lang w:val="en-US" w:eastAsia="zh-CN"/>
              </w:rPr>
            </w:pPr>
            <w:r>
              <w:rPr>
                <w:rFonts w:hint="eastAsia" w:ascii="Times New Roman" w:hAnsi="Times New Roman" w:eastAsia="宋体" w:cs="Courier New"/>
                <w:bCs/>
                <w:sz w:val="21"/>
                <w:szCs w:val="21"/>
                <w:lang w:val="en-US" w:eastAsia="zh-CN"/>
              </w:rPr>
              <w:t>满分10分，A、B每一项满分5分，每项每出现一处不完善或不合理减1分（每项最多减5分）</w:t>
            </w:r>
          </w:p>
          <w:p w14:paraId="5B91EA7D">
            <w:pPr>
              <w:spacing w:line="360" w:lineRule="exact"/>
              <w:rPr>
                <w:rFonts w:hint="eastAsia" w:ascii="Times New Roman" w:hAnsi="Times New Roman" w:eastAsia="宋体" w:cs="Times New Roman"/>
                <w:b/>
                <w:bCs/>
                <w:sz w:val="21"/>
                <w:szCs w:val="21"/>
              </w:rPr>
            </w:pPr>
            <w:r>
              <w:rPr>
                <w:rFonts w:hint="eastAsia" w:ascii="Times New Roman" w:hAnsi="Times New Roman" w:eastAsia="宋体" w:cs="Courier New"/>
                <w:b/>
                <w:bCs w:val="0"/>
                <w:sz w:val="21"/>
                <w:szCs w:val="21"/>
                <w:lang w:val="en-US" w:eastAsia="zh-CN"/>
              </w:rPr>
              <w:t>未进行描述或偏差严重的，不得分。</w:t>
            </w:r>
          </w:p>
        </w:tc>
      </w:tr>
      <w:tr w14:paraId="459A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 w:type="pct"/>
            <w:vMerge w:val="continue"/>
            <w:noWrap w:val="0"/>
            <w:vAlign w:val="center"/>
          </w:tcPr>
          <w:p w14:paraId="04AAF4DC">
            <w:pPr>
              <w:adjustRightInd w:val="0"/>
              <w:spacing w:line="360" w:lineRule="exact"/>
              <w:jc w:val="center"/>
              <w:textAlignment w:val="baseline"/>
              <w:rPr>
                <w:rFonts w:hint="eastAsia" w:ascii="Times New Roman" w:hAnsi="Times New Roman" w:eastAsia="宋体" w:cs="Times New Roman"/>
                <w:sz w:val="21"/>
                <w:szCs w:val="21"/>
              </w:rPr>
            </w:pPr>
          </w:p>
        </w:tc>
        <w:tc>
          <w:tcPr>
            <w:tcW w:w="833" w:type="pct"/>
            <w:vMerge w:val="continue"/>
            <w:noWrap w:val="0"/>
            <w:vAlign w:val="center"/>
          </w:tcPr>
          <w:p w14:paraId="340E03A3">
            <w:pPr>
              <w:adjustRightInd w:val="0"/>
              <w:spacing w:line="360" w:lineRule="exact"/>
              <w:jc w:val="center"/>
              <w:textAlignment w:val="baseline"/>
              <w:rPr>
                <w:rFonts w:hint="eastAsia" w:ascii="Times New Roman" w:hAnsi="Times New Roman" w:eastAsia="宋体" w:cs="Times New Roman"/>
                <w:b/>
                <w:bCs/>
                <w:sz w:val="22"/>
                <w:szCs w:val="22"/>
              </w:rPr>
            </w:pPr>
          </w:p>
        </w:tc>
        <w:tc>
          <w:tcPr>
            <w:tcW w:w="897" w:type="pct"/>
            <w:noWrap w:val="0"/>
            <w:vAlign w:val="center"/>
          </w:tcPr>
          <w:p w14:paraId="64B3122B">
            <w:pPr>
              <w:keepNext w:val="0"/>
              <w:keepLines w:val="0"/>
              <w:widowControl/>
              <w:suppressLineNumbers w:val="0"/>
              <w:jc w:val="center"/>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类似项目业绩</w:t>
            </w:r>
          </w:p>
          <w:p w14:paraId="132AC5B0">
            <w:pPr>
              <w:keepNext w:val="0"/>
              <w:keepLines w:val="0"/>
              <w:widowControl/>
              <w:suppressLineNumbers w:val="0"/>
              <w:jc w:val="left"/>
              <w:rPr>
                <w:rFonts w:hint="eastAsia" w:ascii="Times New Roman" w:hAnsi="Times New Roman" w:eastAsia="宋体" w:cs="宋体"/>
                <w:color w:val="000000"/>
                <w:kern w:val="0"/>
                <w:sz w:val="21"/>
                <w:szCs w:val="21"/>
                <w:lang w:val="en-US" w:eastAsia="zh-CN" w:bidi="ar"/>
              </w:rPr>
            </w:pPr>
            <w:r>
              <w:rPr>
                <w:rFonts w:hint="eastAsia" w:ascii="Times New Roman" w:hAnsi="Times New Roman" w:eastAsia="宋体" w:cs="宋体"/>
                <w:color w:val="000000"/>
                <w:kern w:val="0"/>
                <w:sz w:val="21"/>
                <w:szCs w:val="21"/>
                <w:lang w:val="en-US" w:eastAsia="zh-CN" w:bidi="ar"/>
              </w:rPr>
              <w:t>（满分10分）</w:t>
            </w:r>
          </w:p>
        </w:tc>
        <w:tc>
          <w:tcPr>
            <w:tcW w:w="2973" w:type="pct"/>
            <w:noWrap w:val="0"/>
            <w:vAlign w:val="top"/>
          </w:tcPr>
          <w:p w14:paraId="5D0DB9A4">
            <w:pPr>
              <w:keepNext w:val="0"/>
              <w:keepLines w:val="0"/>
              <w:widowControl/>
              <w:suppressLineNumbers w:val="0"/>
              <w:spacing w:line="360" w:lineRule="auto"/>
              <w:jc w:val="left"/>
              <w:rPr>
                <w:rFonts w:hint="eastAsia" w:ascii="Times New Roman" w:hAnsi="Times New Roman" w:eastAsia="宋体" w:cs="Courier New"/>
                <w:sz w:val="21"/>
                <w:szCs w:val="24"/>
                <w:lang w:val="en-US" w:eastAsia="zh-CN"/>
              </w:rPr>
            </w:pPr>
            <w:r>
              <w:rPr>
                <w:rFonts w:hint="eastAsia" w:ascii="Times New Roman" w:hAnsi="Times New Roman" w:eastAsia="宋体" w:cs="Courier New"/>
                <w:sz w:val="21"/>
                <w:szCs w:val="24"/>
                <w:lang w:val="en-US" w:eastAsia="zh-CN"/>
              </w:rPr>
              <w:t>投标人自2022年1月1日起至投标文件递交截止时间（以合同签订时间为准）提供本项目任一同类型产品的销售业绩，供货方可以是投标供应商，也可以是制造商或者制造商授权的其他代理商，每有1项得1分（提供采购合同或中标通知书的扫描件作为证明材料）。本项最高得10分。</w:t>
            </w:r>
          </w:p>
          <w:p w14:paraId="1B8C208B">
            <w:pPr>
              <w:keepNext w:val="0"/>
              <w:keepLines w:val="0"/>
              <w:widowControl/>
              <w:suppressLineNumbers w:val="0"/>
              <w:jc w:val="left"/>
              <w:rPr>
                <w:rFonts w:hint="eastAsia" w:ascii="Times New Roman" w:hAnsi="Times New Roman" w:eastAsia="宋体" w:cs="Times New Roman"/>
                <w:b/>
                <w:sz w:val="21"/>
                <w:szCs w:val="21"/>
              </w:rPr>
            </w:pPr>
            <w:r>
              <w:rPr>
                <w:rFonts w:hint="eastAsia" w:ascii="Times New Roman" w:hAnsi="Times New Roman" w:eastAsia="宋体" w:cs="宋体"/>
                <w:b/>
                <w:bCs/>
                <w:color w:val="000000"/>
                <w:kern w:val="0"/>
                <w:sz w:val="21"/>
                <w:szCs w:val="21"/>
                <w:lang w:val="en-US" w:eastAsia="zh-CN" w:bidi="ar"/>
              </w:rPr>
              <w:t>不提供不得分或评标委员会不认可的不得分。</w:t>
            </w:r>
          </w:p>
        </w:tc>
      </w:tr>
      <w:tr w14:paraId="4484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57E9467F">
            <w:pPr>
              <w:widowControl w:val="0"/>
              <w:snapToGrid w:val="0"/>
              <w:spacing w:line="360" w:lineRule="exact"/>
              <w:jc w:val="both"/>
              <w:rPr>
                <w:rFonts w:ascii="Times New Roman" w:hAnsi="Times New Roman" w:eastAsia="宋体" w:cs="Times New Roman"/>
                <w:b/>
                <w:bCs/>
                <w:kern w:val="0"/>
                <w:sz w:val="21"/>
                <w:szCs w:val="21"/>
                <w:lang w:val="en-US" w:eastAsia="zh-CN" w:bidi="ar-SA"/>
              </w:rPr>
            </w:pPr>
            <w:r>
              <w:rPr>
                <w:rFonts w:hint="eastAsia" w:ascii="Times New Roman" w:hAnsi="Times New Roman" w:eastAsia="宋体" w:cs="Times New Roman"/>
                <w:b/>
                <w:bCs/>
                <w:kern w:val="0"/>
                <w:sz w:val="21"/>
                <w:szCs w:val="21"/>
                <w:lang w:val="en-US" w:eastAsia="zh-CN" w:bidi="ar-SA"/>
              </w:rPr>
              <w:t>总得分=1+2+3</w:t>
            </w:r>
          </w:p>
        </w:tc>
      </w:tr>
    </w:tbl>
    <w:p w14:paraId="1EDB6316">
      <w:pPr>
        <w:widowControl w:val="0"/>
        <w:spacing w:line="380" w:lineRule="exact"/>
        <w:ind w:firstLine="420"/>
        <w:jc w:val="both"/>
        <w:rPr>
          <w:rFonts w:ascii="Times New Roman" w:hAnsi="Times New Roman" w:eastAsia="宋体" w:cs="Times New Roman"/>
          <w:bCs/>
          <w:kern w:val="0"/>
          <w:sz w:val="21"/>
          <w:szCs w:val="21"/>
          <w:lang w:val="en-US" w:eastAsia="zh-CN" w:bidi="ar-SA"/>
        </w:rPr>
      </w:pPr>
      <w:r>
        <w:rPr>
          <w:rFonts w:hint="eastAsia" w:ascii="Times New Roman" w:hAnsi="Times New Roman" w:eastAsia="宋体" w:cs="Times New Roman"/>
          <w:bCs/>
          <w:kern w:val="0"/>
          <w:sz w:val="21"/>
          <w:szCs w:val="21"/>
          <w:lang w:val="en-US" w:eastAsia="zh-CN" w:bidi="ar-SA"/>
        </w:rPr>
        <w:t>注：计分方法按四舍五入取至百分位。</w:t>
      </w:r>
    </w:p>
    <w:p w14:paraId="0451F374">
      <w:bookmarkStart w:id="0" w:name="_GoBack"/>
      <w:bookmarkEnd w:id="0"/>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69BC02-B80F-43A2-9356-347374D73215}"/>
  </w:font>
  <w:font w:name="Courier New">
    <w:panose1 w:val="02070309020205020404"/>
    <w:charset w:val="01"/>
    <w:family w:val="modern"/>
    <w:pitch w:val="default"/>
    <w:sig w:usb0="E0002EFF" w:usb1="C0007843" w:usb2="00000009" w:usb3="00000000" w:csb0="400001FF" w:csb1="FFFF0000"/>
    <w:embedRegular r:id="rId2" w:fontKey="{3657050B-6E89-4BE5-83B5-2B242131CF9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B24E110C-4469-4B95-ABEF-1FD205611C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85CEB"/>
    <w:rsid w:val="0C150A67"/>
    <w:rsid w:val="14BB251B"/>
    <w:rsid w:val="17543421"/>
    <w:rsid w:val="18B82C2A"/>
    <w:rsid w:val="1D0D6F2C"/>
    <w:rsid w:val="284B1574"/>
    <w:rsid w:val="370C569C"/>
    <w:rsid w:val="3C677C4E"/>
    <w:rsid w:val="45580A31"/>
    <w:rsid w:val="517E287B"/>
    <w:rsid w:val="6C6048A4"/>
    <w:rsid w:val="6C6B7C24"/>
    <w:rsid w:val="785A64D5"/>
    <w:rsid w:val="7B2B73F3"/>
    <w:rsid w:val="7D05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99"/>
    <w:pPr>
      <w:spacing w:line="380" w:lineRule="exact"/>
    </w:pPr>
    <w:rPr>
      <w:kern w:val="0"/>
      <w:sz w:val="24"/>
    </w:rPr>
  </w:style>
  <w:style w:type="paragraph" w:styleId="6">
    <w:name w:val="Plain Text"/>
    <w:basedOn w:val="1"/>
    <w:next w:val="3"/>
    <w:qFormat/>
    <w:uiPriority w:val="0"/>
    <w:rPr>
      <w:rFonts w:ascii="宋体" w:hAnsi="Courier New"/>
      <w:kern w:val="0"/>
      <w:sz w:val="20"/>
      <w:szCs w:val="21"/>
    </w:rPr>
  </w:style>
  <w:style w:type="character" w:styleId="9">
    <w:name w:val="annotation reference"/>
    <w:unhideWhenUsed/>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1251</Words>
  <Characters>1282</Characters>
  <Lines>0</Lines>
  <Paragraphs>0</Paragraphs>
  <TotalTime>0</TotalTime>
  <ScaleCrop>false</ScaleCrop>
  <LinksUpToDate>false</LinksUpToDate>
  <CharactersWithSpaces>1284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2025-11-11T01:31:00Z</dcterms:created>
  <dc:creator>84496</dc:creator>
  <cp:lastModifiedBy>钱杰</cp:lastModifiedBy>
  <dcterms:modified xsi:type="dcterms:W3CDTF">2025-11-26T08:03:57Z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37FBFE1960774383AE8826A9D9DE2E28_12</vt:lpwstr>
  </property>
  <property fmtid="{D5CDD505-2E9C-101B-9397-08002B2CF9AE}" pid="4" name="KSOTemplateDocerSaveRecord">
    <vt:lpwstr>eyJoZGlkIjoiODQ4NDdkNmY4OTNhMzM4MWViNDUyZDM3NjkzNjMxOWQiLCJ1c2VySWQiOiIzMTg4NDk5NDcifQ==</vt:lpwstr>
  </property>
</Properties>
</file>