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lang w:eastAsia="zh-CN"/>
        </w:rPr>
      </w:pPr>
      <w:r>
        <w:rPr>
          <w:rFonts w:hint="eastAsia" w:ascii="方正小标宋简体" w:eastAsia="方正小标宋简体" w:cs="ArialUnicodeMS"/>
          <w:kern w:val="0"/>
          <w:sz w:val="52"/>
          <w:szCs w:val="52"/>
        </w:rPr>
        <w:t>广西</w:t>
      </w:r>
      <w:r>
        <w:rPr>
          <w:rFonts w:hint="eastAsia" w:ascii="方正小标宋简体" w:eastAsia="方正小标宋简体" w:cs="ArialUnicodeMS"/>
          <w:kern w:val="0"/>
          <w:sz w:val="52"/>
          <w:szCs w:val="52"/>
          <w:lang w:eastAsia="zh-CN"/>
        </w:rPr>
        <w:t>自治区应急管理信息</w:t>
      </w:r>
    </w:p>
    <w:p>
      <w:pPr>
        <w:jc w:val="center"/>
        <w:rPr>
          <w:rFonts w:hint="eastAsia" w:ascii="方正小标宋简体" w:eastAsia="方正小标宋简体" w:cs="ArialUnicodeMS"/>
          <w:kern w:val="0"/>
          <w:sz w:val="52"/>
          <w:szCs w:val="52"/>
        </w:rPr>
      </w:pPr>
      <w:r>
        <w:rPr>
          <w:rFonts w:hint="eastAsia" w:ascii="方正小标宋简体" w:eastAsia="方正小标宋简体" w:cs="ArialUnicodeMS"/>
          <w:kern w:val="0"/>
          <w:sz w:val="52"/>
          <w:szCs w:val="52"/>
          <w:lang w:eastAsia="zh-CN"/>
        </w:rPr>
        <w:t>技术中心</w:t>
      </w: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both"/>
        <w:rPr>
          <w:rFonts w:hint="eastAsia" w:ascii="方正小标宋简体" w:eastAsia="方正小标宋简体"/>
          <w:b/>
          <w:sz w:val="44"/>
          <w:szCs w:val="44"/>
        </w:rPr>
      </w:pPr>
    </w:p>
    <w:p>
      <w:pPr>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eastAsia="zh-CN"/>
        </w:rPr>
        <w:t>自治区应急管理信息技术中心</w:t>
      </w:r>
      <w:r>
        <w:rPr>
          <w:rFonts w:hint="eastAsia" w:ascii="黑体" w:hAnsi="黑体" w:eastAsia="黑体"/>
          <w:sz w:val="32"/>
          <w:szCs w:val="32"/>
          <w:u w:val="none"/>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eastAsia="zh-CN"/>
        </w:rPr>
        <w:t>自治区应急管理信息技术中心</w:t>
      </w:r>
      <w:r>
        <w:rPr>
          <w:rFonts w:hint="eastAsia" w:ascii="黑体" w:hAnsi="黑体" w:eastAsia="黑体"/>
          <w:sz w:val="32"/>
          <w:szCs w:val="32"/>
          <w:u w:val="none"/>
        </w:rPr>
        <w:t>2</w:t>
      </w:r>
      <w:r>
        <w:rPr>
          <w:rFonts w:hint="eastAsia" w:ascii="黑体" w:hAnsi="黑体" w:eastAsia="黑体"/>
          <w:sz w:val="32"/>
          <w:szCs w:val="32"/>
        </w:rPr>
        <w:t>020年度部门决算报表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hint="eastAsia" w:ascii="黑体" w:hAnsi="黑体" w:eastAsia="黑体"/>
          <w:sz w:val="32"/>
          <w:szCs w:val="32"/>
          <w:u w:val="none"/>
        </w:rPr>
      </w:pPr>
      <w:r>
        <w:rPr>
          <w:rFonts w:hint="eastAsia" w:ascii="黑体" w:hAnsi="黑体" w:eastAsia="黑体"/>
          <w:sz w:val="32"/>
          <w:szCs w:val="32"/>
        </w:rPr>
        <w:t>第三部分：</w:t>
      </w:r>
      <w:r>
        <w:rPr>
          <w:rFonts w:hint="eastAsia" w:ascii="黑体" w:hAnsi="黑体" w:eastAsia="黑体"/>
          <w:bCs/>
          <w:color w:val="000000"/>
          <w:sz w:val="32"/>
          <w:szCs w:val="32"/>
          <w:u w:val="none"/>
          <w:lang w:eastAsia="zh-CN"/>
        </w:rPr>
        <w:t>自治区应急管理信息技术中心</w:t>
      </w:r>
      <w:r>
        <w:rPr>
          <w:rFonts w:hint="eastAsia" w:ascii="黑体" w:hAnsi="黑体" w:eastAsia="黑体"/>
          <w:sz w:val="32"/>
          <w:szCs w:val="32"/>
          <w:u w:val="none"/>
        </w:rPr>
        <w:t>2020年度部门决算情况说明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三、2020年度一般公共预算财政拨款基本支出决算情况说明。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五、2020年度国有资本经营预算支出决算情况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eastAsia="zh-CN"/>
        </w:rPr>
        <w:t>自治区应急管理信息技术中心</w:t>
      </w:r>
      <w:r>
        <w:rPr>
          <w:rFonts w:hint="eastAsia" w:ascii="黑体" w:hAnsi="黑体" w:eastAsia="黑体"/>
          <w:sz w:val="32"/>
          <w:szCs w:val="32"/>
          <w:u w:val="none"/>
        </w:rPr>
        <w:t>概</w:t>
      </w:r>
      <w:r>
        <w:rPr>
          <w:rFonts w:hint="eastAsia" w:ascii="黑体" w:hAnsi="黑体" w:eastAsia="黑体"/>
          <w:sz w:val="32"/>
          <w:szCs w:val="32"/>
        </w:rPr>
        <w:t>况</w:t>
      </w:r>
    </w:p>
    <w:p>
      <w:pPr>
        <w:ind w:firstLine="646"/>
        <w:rPr>
          <w:rFonts w:hint="eastAsia" w:ascii="黑体" w:hAnsi="黑体" w:eastAsia="黑体"/>
          <w:sz w:val="32"/>
          <w:szCs w:val="32"/>
        </w:rPr>
      </w:pPr>
      <w:r>
        <w:rPr>
          <w:rFonts w:hint="eastAsia" w:ascii="黑体" w:hAnsi="黑体" w:eastAsia="黑体"/>
          <w:sz w:val="32"/>
          <w:szCs w:val="32"/>
        </w:rPr>
        <w:t>一、主要职能</w:t>
      </w:r>
    </w:p>
    <w:p>
      <w:pPr>
        <w:ind w:firstLine="646"/>
        <w:rPr>
          <w:rFonts w:hint="eastAsia" w:ascii="仿宋_GB2312" w:eastAsia="仿宋_GB2312"/>
          <w:sz w:val="32"/>
          <w:szCs w:val="32"/>
        </w:rPr>
      </w:pPr>
      <w:r>
        <w:rPr>
          <w:rFonts w:hint="eastAsia" w:ascii="仿宋_GB2312" w:eastAsia="仿宋_GB2312"/>
          <w:sz w:val="32"/>
          <w:szCs w:val="32"/>
        </w:rPr>
        <w:t>负责应急管理、安全生产、防灾减灾救灾信息化的运行支撑、安全监测和服务保障；承担应急管理信息化项目建设的技术性、事务性、辅助性工作；承担机关信息、宣传、科普、门户网站和微信公众号等新媒体的建设与管理工作；协助开展安全生产培训考核发证事务性工作。</w:t>
      </w:r>
    </w:p>
    <w:p>
      <w:pPr>
        <w:ind w:firstLine="646"/>
        <w:rPr>
          <w:rFonts w:hint="eastAsia" w:ascii="黑体" w:hAnsi="黑体" w:eastAsia="黑体"/>
          <w:sz w:val="32"/>
          <w:szCs w:val="32"/>
        </w:rPr>
      </w:pPr>
      <w:r>
        <w:rPr>
          <w:rFonts w:hint="eastAsia" w:ascii="黑体" w:hAnsi="黑体" w:eastAsia="黑体"/>
          <w:sz w:val="32"/>
          <w:szCs w:val="32"/>
        </w:rPr>
        <w:t>二、部门决算单位构成</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根据《自治区党委编办关于调整自治区应急管理厅所属事业单位机构编制事项的批复》（桂编办复〔2019〕109号），同意将自治区民政厅所属原自治区减灾中心（自治区社会捐助接收工作站）的减灾救灾数据信息管理和救助技术保障职责、10名全额拨款事业编制及相关人员划归我中心，与自治区安全生产宣教信息中心相关职责整合，设立自治区应急管理信息技术中心，为正处级公益一类事业单位。</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ind w:firstLine="0"/>
        <w:jc w:val="center"/>
        <w:rPr>
          <w:rFonts w:hint="eastAsia" w:ascii="黑体" w:hAnsi="黑体" w:eastAsia="黑体"/>
          <w:sz w:val="32"/>
          <w:szCs w:val="32"/>
        </w:rPr>
      </w:pPr>
    </w:p>
    <w:p>
      <w:pPr>
        <w:ind w:firstLine="0"/>
        <w:jc w:val="left"/>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eastAsia="zh-CN"/>
        </w:rPr>
        <w:t>自治区应急管理信息技术中心</w:t>
      </w:r>
      <w:r>
        <w:rPr>
          <w:rFonts w:hint="eastAsia" w:ascii="黑体" w:hAnsi="黑体" w:eastAsia="黑体"/>
          <w:sz w:val="32"/>
          <w:szCs w:val="32"/>
          <w:u w:val="none"/>
        </w:rPr>
        <w:t>20</w:t>
      </w:r>
      <w:r>
        <w:rPr>
          <w:rFonts w:hint="eastAsia" w:ascii="黑体" w:hAnsi="黑体" w:eastAsia="黑体"/>
          <w:sz w:val="32"/>
          <w:szCs w:val="32"/>
        </w:rPr>
        <w:t>20年度部门</w:t>
      </w:r>
      <w:r>
        <w:rPr>
          <w:rFonts w:hint="eastAsia" w:ascii="黑体" w:hAnsi="黑体" w:eastAsia="黑体"/>
          <w:sz w:val="32"/>
          <w:szCs w:val="32"/>
          <w:lang w:eastAsia="zh-CN"/>
        </w:rPr>
        <w:t>决</w:t>
      </w:r>
      <w:r>
        <w:rPr>
          <w:rFonts w:hint="eastAsia" w:ascii="黑体" w:hAnsi="黑体" w:eastAsia="黑体"/>
          <w:sz w:val="32"/>
          <w:szCs w:val="32"/>
        </w:rPr>
        <w:t>算报表</w:t>
      </w:r>
    </w:p>
    <w:p>
      <w:pPr>
        <w:ind w:firstLine="320" w:firstLineChars="100"/>
        <w:jc w:val="both"/>
        <w:rPr>
          <w:rFonts w:hint="eastAsia" w:ascii="仿宋_GB2312" w:hAnsi="黑体" w:eastAsia="仿宋_GB2312"/>
          <w:sz w:val="32"/>
          <w:szCs w:val="32"/>
        </w:rPr>
      </w:pPr>
      <w:r>
        <w:rPr>
          <w:rFonts w:hint="eastAsia" w:ascii="仿宋_GB2312" w:hAnsi="黑体" w:eastAsia="仿宋_GB2312"/>
          <w:sz w:val="32"/>
          <w:szCs w:val="32"/>
        </w:rPr>
        <w:t>我</w:t>
      </w:r>
      <w:r>
        <w:rPr>
          <w:rFonts w:hint="eastAsia" w:ascii="仿宋_GB2312" w:hAnsi="黑体" w:eastAsia="仿宋_GB2312"/>
          <w:sz w:val="32"/>
          <w:szCs w:val="32"/>
          <w:lang w:eastAsia="zh-CN"/>
        </w:rPr>
        <w:t>中心</w:t>
      </w:r>
      <w:r>
        <w:rPr>
          <w:rFonts w:hint="eastAsia" w:ascii="仿宋_GB2312" w:hAnsi="黑体" w:eastAsia="仿宋_GB2312"/>
          <w:sz w:val="32"/>
          <w:szCs w:val="32"/>
        </w:rPr>
        <w:t>无政府性基金预算财政拨款发生。</w:t>
      </w:r>
    </w:p>
    <w:p>
      <w:pPr>
        <w:ind w:firstLine="320" w:firstLineChars="100"/>
        <w:jc w:val="both"/>
        <w:rPr>
          <w:rFonts w:hint="eastAsia" w:ascii="黑体" w:hAnsi="黑体" w:eastAsia="黑体"/>
          <w:sz w:val="32"/>
          <w:szCs w:val="32"/>
        </w:rPr>
      </w:pPr>
      <w:r>
        <w:rPr>
          <w:rFonts w:hint="eastAsia" w:ascii="仿宋_GB2312" w:hAnsi="黑体" w:eastAsia="仿宋_GB2312"/>
          <w:sz w:val="32"/>
          <w:szCs w:val="32"/>
        </w:rPr>
        <w:t>（详见附件：自治区应急管理信息技术中心</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年度部门决算公开附表）</w:t>
      </w:r>
    </w:p>
    <w:p>
      <w:pPr>
        <w:jc w:val="center"/>
        <w:rPr>
          <w:rFonts w:hint="eastAsia"/>
        </w:rPr>
      </w:pPr>
    </w:p>
    <w:p>
      <w:pPr>
        <w:spacing w:line="560" w:lineRule="exact"/>
        <w:rPr>
          <w:rFonts w:hint="eastAsia" w:ascii="仿宋_GB2312" w:eastAsia="仿宋_GB2312"/>
          <w:b/>
          <w:sz w:val="32"/>
          <w:szCs w:val="32"/>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spacing w:line="560" w:lineRule="exact"/>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eastAsia="zh-CN"/>
        </w:rPr>
        <w:t>自治区应急管理信息技术中心</w:t>
      </w:r>
      <w:r>
        <w:rPr>
          <w:rFonts w:hint="eastAsia" w:ascii="黑体" w:hAnsi="黑体" w:eastAsia="黑体"/>
          <w:sz w:val="32"/>
          <w:szCs w:val="32"/>
          <w:u w:val="none"/>
        </w:rPr>
        <w:t>2</w:t>
      </w:r>
      <w:r>
        <w:rPr>
          <w:rFonts w:hint="eastAsia" w:ascii="黑体" w:hAnsi="黑体" w:eastAsia="黑体"/>
          <w:sz w:val="32"/>
          <w:szCs w:val="32"/>
        </w:rPr>
        <w:t>020年度部门决算情况说明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2020</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（一）本部门2020年度总收入</w:t>
      </w:r>
      <w:r>
        <w:rPr>
          <w:rFonts w:hint="eastAsia" w:ascii="仿宋_GB2312" w:eastAsia="仿宋_GB2312"/>
          <w:kern w:val="0"/>
          <w:sz w:val="32"/>
          <w:szCs w:val="32"/>
          <w:lang w:val="en-US" w:eastAsia="zh-CN"/>
        </w:rPr>
        <w:t>66.8</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66.8</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66.8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66.8</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66.8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中心为新成立单位，人员编制转入时已过年初编制部门预算，经费均为</w:t>
      </w:r>
      <w:r>
        <w:rPr>
          <w:rFonts w:hint="eastAsia" w:ascii="仿宋_GB2312" w:hAnsi="黑体" w:eastAsia="仿宋_GB2312" w:cs="仿宋_GB2312"/>
          <w:kern w:val="0"/>
          <w:sz w:val="32"/>
          <w:szCs w:val="32"/>
          <w:lang w:val="en-US" w:eastAsia="zh-CN"/>
        </w:rPr>
        <w:t>2020年年中追加。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万，为事业单位在业务活动之外开展非独立核算经营活动取得的收入。</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w:t>
      </w:r>
      <w:r>
        <w:rPr>
          <w:rFonts w:hint="eastAsia" w:ascii="仿宋_GB2312" w:eastAsia="仿宋_GB2312" w:cs="仿宋_GB2312"/>
          <w:color w:val="auto"/>
          <w:kern w:val="0"/>
          <w:sz w:val="32"/>
          <w:szCs w:val="32"/>
        </w:rPr>
        <w:t>预算单位在</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财政拨款收入</w:t>
      </w:r>
      <w:r>
        <w:rPr>
          <w:rFonts w:hint="eastAsia" w:ascii="仿宋_GB2312" w:eastAsia="仿宋_GB2312"/>
          <w:color w:val="auto"/>
          <w:kern w:val="0"/>
          <w:sz w:val="32"/>
          <w:szCs w:val="32"/>
        </w:rPr>
        <w:t>”</w:t>
      </w:r>
    </w:p>
    <w:p>
      <w:pPr>
        <w:autoSpaceDE w:val="0"/>
        <w:autoSpaceDN w:val="0"/>
        <w:adjustRightInd w:val="0"/>
        <w:spacing w:line="560" w:lineRule="exact"/>
        <w:jc w:val="left"/>
        <w:rPr>
          <w:rFonts w:hint="eastAsia" w:ascii="仿宋_GB2312" w:eastAsia="仿宋_GB2312" w:cs="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之外取得的收入。</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.用事业基金弥补收支差额</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lang w:eastAsia="zh-CN"/>
        </w:rPr>
        <w:t>与</w:t>
      </w:r>
      <w:r>
        <w:rPr>
          <w:rFonts w:hint="eastAsia" w:ascii="仿宋_GB2312" w:hAnsi="黑体" w:eastAsia="仿宋_GB2312" w:cs="仿宋_GB2312"/>
          <w:kern w:val="0"/>
          <w:sz w:val="32"/>
          <w:szCs w:val="32"/>
          <w:lang w:val="en-US" w:eastAsia="zh-CN"/>
        </w:rPr>
        <w:t>2019年持平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cs="仿宋_GB2312"/>
          <w:kern w:val="0"/>
          <w:sz w:val="32"/>
          <w:szCs w:val="32"/>
          <w:lang w:val="en-US" w:eastAsia="zh-CN"/>
        </w:rPr>
        <w:t>66.8</w:t>
      </w:r>
      <w:r>
        <w:rPr>
          <w:rFonts w:hint="eastAsia" w:ascii="仿宋_GB2312" w:eastAsia="仿宋_GB2312" w:cs="仿宋_GB2312"/>
          <w:kern w:val="0"/>
          <w:sz w:val="32"/>
          <w:szCs w:val="32"/>
        </w:rPr>
        <w:t>万元，其中</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本年支出</w:t>
      </w:r>
      <w:r>
        <w:rPr>
          <w:rFonts w:hint="eastAsia" w:ascii="仿宋_GB2312" w:eastAsia="仿宋_GB2312" w:cs="仿宋_GB2312"/>
          <w:kern w:val="0"/>
          <w:sz w:val="32"/>
          <w:szCs w:val="32"/>
          <w:lang w:val="en-US" w:eastAsia="zh-CN"/>
        </w:rPr>
        <w:t>66.8</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66.8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val="en-US" w:eastAsia="zh-CN"/>
        </w:rPr>
      </w:pPr>
      <w:r>
        <w:rPr>
          <w:rFonts w:hint="eastAsia" w:ascii="仿宋_GB2312" w:eastAsia="仿宋_GB2312"/>
          <w:bCs/>
          <w:kern w:val="0"/>
          <w:sz w:val="32"/>
          <w:szCs w:val="32"/>
          <w:lang w:val="en-US" w:eastAsia="zh-CN"/>
        </w:rPr>
        <w:t>1</w:t>
      </w:r>
      <w:r>
        <w:rPr>
          <w:rFonts w:hint="eastAsia" w:ascii="仿宋_GB2312" w:hAnsi="黑体" w:eastAsia="仿宋_GB2312" w:cs="仿宋_GB2312"/>
          <w:kern w:val="0"/>
          <w:sz w:val="32"/>
          <w:szCs w:val="32"/>
          <w:lang w:val="en-US" w:eastAsia="zh-CN"/>
        </w:rPr>
        <w:t>.社会保障和就业支出（类）9.18万元，较2019年度决算数增加9.18万元，增长100%，主要用于我中心按国家规定发放的离退休人员工资津补贴及离退休人员管理方面的支出。增长原因为中心为新成立单位，人员编制转入时已过年初编制部门预算，经费均为2020年年中追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住房保障支出（类）4.9万元，较2019年度决算数增加4.9万元，增长100%，主要用于按照国家政策规定向职工发放的住房公积金、提租补贴、购房补贴等住房改革方面的支出。增加原因为中心为新成立单位，人员编制转入时已过年初编制部门预算，经费均为2020年年中追加。</w:t>
      </w:r>
    </w:p>
    <w:p>
      <w:pPr>
        <w:autoSpaceDE w:val="0"/>
        <w:autoSpaceDN w:val="0"/>
        <w:adjustRightInd w:val="0"/>
        <w:spacing w:line="560" w:lineRule="exact"/>
        <w:ind w:firstLine="627" w:firstLineChars="196"/>
        <w:jc w:val="left"/>
        <w:rPr>
          <w:rFonts w:hint="eastAsia"/>
          <w:lang w:val="en-US"/>
        </w:rPr>
      </w:pPr>
      <w:r>
        <w:rPr>
          <w:rFonts w:hint="eastAsia" w:ascii="仿宋_GB2312" w:eastAsia="仿宋_GB2312" w:cs="仿宋_GB2312"/>
          <w:kern w:val="0"/>
          <w:sz w:val="32"/>
          <w:szCs w:val="32"/>
          <w:lang w:val="en-US" w:eastAsia="zh-CN"/>
        </w:rPr>
        <w:t>3.灾害防治及应急管理支出（类）52.72万元，较2019年度决算数增加52.72万元，增长100%。主要用于事业单位办公经费。增长原因为中心为新成立单位，人员编制转入时已过年初编制部门预算，经费均为2020年年中追加。</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2020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自治区应急管理信息技术中心</w:t>
      </w:r>
      <w:r>
        <w:rPr>
          <w:rFonts w:hint="eastAsia" w:ascii="仿宋_GB2312" w:eastAsia="仿宋_GB2312"/>
          <w:kern w:val="0"/>
          <w:sz w:val="32"/>
          <w:szCs w:val="32"/>
          <w:u w:val="none"/>
        </w:rPr>
        <w:t>20</w:t>
      </w:r>
      <w:r>
        <w:rPr>
          <w:rFonts w:hint="eastAsia" w:ascii="仿宋_GB2312" w:eastAsia="仿宋_GB2312"/>
          <w:kern w:val="0"/>
          <w:sz w:val="32"/>
          <w:szCs w:val="32"/>
        </w:rPr>
        <w:t>20</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66.8</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66.8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w:t>
      </w:r>
      <w:r>
        <w:rPr>
          <w:rFonts w:hint="eastAsia" w:ascii="仿宋_GB2312" w:eastAsia="仿宋_GB2312" w:cs="仿宋_GB2312"/>
          <w:kern w:val="0"/>
          <w:sz w:val="32"/>
          <w:szCs w:val="32"/>
          <w:lang w:eastAsia="zh-CN"/>
        </w:rPr>
        <w:t>出</w:t>
      </w:r>
      <w:r>
        <w:rPr>
          <w:rFonts w:hint="eastAsia" w:ascii="仿宋_GB2312" w:eastAsia="仿宋_GB2312" w:cs="仿宋_GB2312"/>
          <w:kern w:val="0"/>
          <w:sz w:val="32"/>
          <w:szCs w:val="32"/>
          <w:lang w:val="en-US" w:eastAsia="zh-CN"/>
        </w:rPr>
        <w:t>66.8</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lang w:eastAsia="zh-CN"/>
        </w:rPr>
      </w:pPr>
      <w:r>
        <w:rPr>
          <w:rFonts w:hint="eastAsia" w:ascii="仿宋_GB2312" w:hAnsi="黑体" w:eastAsia="仿宋_GB2312"/>
          <w:bCs/>
          <w:color w:val="000000"/>
          <w:sz w:val="32"/>
          <w:szCs w:val="32"/>
          <w:u w:val="none"/>
          <w:lang w:eastAsia="zh-CN"/>
        </w:rPr>
        <w:t>自治区应急管理信息技术中心</w:t>
      </w:r>
      <w:r>
        <w:rPr>
          <w:rFonts w:hint="eastAsia" w:ascii="仿宋_GB2312" w:hAnsi="黑体" w:eastAsia="仿宋_GB2312"/>
          <w:kern w:val="0"/>
          <w:sz w:val="32"/>
          <w:szCs w:val="32"/>
        </w:rPr>
        <w:t>2020</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66.8</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为年中追加经费。</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社会保障和就业支出（类）年初预算</w:t>
      </w:r>
      <w:r>
        <w:rPr>
          <w:rFonts w:hint="eastAsia" w:ascii="仿宋_GB2312" w:hAnsi="黑体" w:eastAsia="仿宋_GB2312" w:cs="仿宋_GB2312"/>
          <w:kern w:val="0"/>
          <w:sz w:val="32"/>
          <w:szCs w:val="32"/>
          <w:lang w:val="en-US" w:eastAsia="zh-CN"/>
        </w:rPr>
        <w:t>0万元，支出决算为9.18万元，为年中追加经费。主要为追加我中心人员社会保障和就业支出经费。</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住房保障支出（类）年初预算</w:t>
      </w:r>
      <w:r>
        <w:rPr>
          <w:rFonts w:hint="eastAsia" w:ascii="仿宋_GB2312" w:hAnsi="黑体" w:eastAsia="仿宋_GB2312" w:cs="仿宋_GB2312"/>
          <w:kern w:val="0"/>
          <w:sz w:val="32"/>
          <w:szCs w:val="32"/>
          <w:lang w:val="en-US" w:eastAsia="zh-CN"/>
        </w:rPr>
        <w:t>0万元，支出决算为4.9万元，为年中追加经费。主要为追加中心人员住房保障支出经费。</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黑体" w:eastAsia="仿宋_GB2312" w:cs="仿宋_GB2312"/>
          <w:kern w:val="0"/>
          <w:sz w:val="32"/>
          <w:szCs w:val="32"/>
          <w:lang w:eastAsia="zh-CN"/>
        </w:rPr>
        <w:t>灾害防治及应急管理支出（类）年初预算</w:t>
      </w:r>
      <w:r>
        <w:rPr>
          <w:rFonts w:hint="eastAsia" w:ascii="仿宋_GB2312" w:hAnsi="黑体" w:eastAsia="仿宋_GB2312" w:cs="仿宋_GB2312"/>
          <w:kern w:val="0"/>
          <w:sz w:val="32"/>
          <w:szCs w:val="32"/>
          <w:lang w:val="en-US" w:eastAsia="zh-CN"/>
        </w:rPr>
        <w:t>0万元，支出决算为52.72万元，为年中追加经费。主要为追加的事业单位开办经费。</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66.8</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27" w:firstLineChars="196"/>
        <w:jc w:val="left"/>
        <w:rPr>
          <w:rFonts w:hint="eastAsia"/>
          <w:lang w:val="en-US"/>
        </w:rPr>
      </w:pPr>
      <w:r>
        <w:rPr>
          <w:rFonts w:hint="eastAsia" w:ascii="仿宋_GB2312" w:eastAsia="仿宋_GB2312"/>
          <w:bCs/>
          <w:kern w:val="0"/>
          <w:sz w:val="32"/>
          <w:szCs w:val="32"/>
          <w:lang w:eastAsia="zh-CN"/>
        </w:rPr>
        <w:t>（一）</w:t>
      </w: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60.62</w:t>
      </w:r>
      <w:r>
        <w:rPr>
          <w:rFonts w:hint="eastAsia" w:ascii="仿宋_GB2312" w:eastAsia="仿宋_GB2312"/>
          <w:bCs/>
          <w:kern w:val="0"/>
          <w:sz w:val="32"/>
          <w:szCs w:val="32"/>
        </w:rPr>
        <w:t>万元，</w:t>
      </w:r>
      <w:r>
        <w:rPr>
          <w:rFonts w:hint="eastAsia" w:ascii="仿宋_GB2312" w:eastAsia="仿宋_GB2312"/>
          <w:bCs/>
          <w:kern w:val="0"/>
          <w:sz w:val="32"/>
          <w:szCs w:val="32"/>
          <w:lang w:eastAsia="zh-CN"/>
        </w:rPr>
        <w:t>年初部门预算</w:t>
      </w:r>
      <w:r>
        <w:rPr>
          <w:rFonts w:hint="eastAsia" w:ascii="仿宋_GB2312" w:eastAsia="仿宋_GB2312"/>
          <w:bCs/>
          <w:kern w:val="0"/>
          <w:sz w:val="32"/>
          <w:szCs w:val="32"/>
          <w:lang w:val="en-US" w:eastAsia="zh-CN"/>
        </w:rPr>
        <w:t>0万元，</w:t>
      </w:r>
      <w:r>
        <w:rPr>
          <w:rFonts w:hint="eastAsia" w:ascii="仿宋_GB2312" w:eastAsia="仿宋_GB2312"/>
          <w:bCs/>
          <w:kern w:val="0"/>
          <w:sz w:val="32"/>
          <w:szCs w:val="32"/>
          <w:lang w:eastAsia="zh-CN"/>
        </w:rPr>
        <w:t>为年中追加经费</w:t>
      </w:r>
      <w:r>
        <w:rPr>
          <w:rFonts w:hint="eastAsia" w:ascii="仿宋_GB2312" w:eastAsia="仿宋_GB2312"/>
          <w:bCs/>
          <w:kern w:val="0"/>
          <w:sz w:val="32"/>
          <w:szCs w:val="32"/>
        </w:rPr>
        <w:t>。</w:t>
      </w:r>
      <w:r>
        <w:rPr>
          <w:rFonts w:hint="eastAsia" w:ascii="仿宋_GB2312" w:eastAsia="仿宋_GB2312"/>
          <w:bCs/>
          <w:kern w:val="0"/>
          <w:sz w:val="32"/>
          <w:szCs w:val="32"/>
          <w:lang w:eastAsia="zh-CN"/>
        </w:rPr>
        <w:t>主要原因为</w:t>
      </w:r>
      <w:r>
        <w:rPr>
          <w:rFonts w:hint="eastAsia" w:ascii="仿宋_GB2312" w:eastAsia="仿宋_GB2312" w:cs="仿宋_GB2312"/>
          <w:kern w:val="0"/>
          <w:sz w:val="32"/>
          <w:szCs w:val="32"/>
          <w:lang w:val="en-US" w:eastAsia="zh-CN"/>
        </w:rPr>
        <w:t>中心为新成立单位，人员编制转入时已过年初编制部门预算，经费均为2020年年中追加。</w:t>
      </w:r>
    </w:p>
    <w:p>
      <w:pPr>
        <w:numPr>
          <w:ilvl w:val="0"/>
          <w:numId w:val="0"/>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eastAsia="zh-CN"/>
        </w:rPr>
        <w:t>（二）</w:t>
      </w:r>
      <w:r>
        <w:rPr>
          <w:rFonts w:hint="eastAsia" w:ascii="仿宋_GB2312" w:eastAsia="仿宋_GB2312"/>
          <w:bCs/>
          <w:kern w:val="0"/>
          <w:sz w:val="32"/>
          <w:szCs w:val="32"/>
        </w:rPr>
        <w:t>商品和服务支出</w:t>
      </w:r>
      <w:r>
        <w:rPr>
          <w:rFonts w:hint="eastAsia" w:ascii="仿宋_GB2312" w:eastAsia="仿宋_GB2312"/>
          <w:bCs/>
          <w:kern w:val="0"/>
          <w:sz w:val="32"/>
          <w:szCs w:val="32"/>
          <w:lang w:val="en-US" w:eastAsia="zh-CN"/>
        </w:rPr>
        <w:t>4.13</w:t>
      </w:r>
      <w:r>
        <w:rPr>
          <w:rFonts w:hint="eastAsia" w:ascii="仿宋_GB2312" w:eastAsia="仿宋_GB2312"/>
          <w:bCs/>
          <w:kern w:val="0"/>
          <w:sz w:val="32"/>
          <w:szCs w:val="32"/>
        </w:rPr>
        <w:t>万元，</w:t>
      </w:r>
      <w:r>
        <w:rPr>
          <w:rFonts w:hint="eastAsia" w:ascii="仿宋_GB2312" w:eastAsia="仿宋_GB2312"/>
          <w:bCs/>
          <w:kern w:val="0"/>
          <w:sz w:val="32"/>
          <w:szCs w:val="32"/>
          <w:lang w:eastAsia="zh-CN"/>
        </w:rPr>
        <w:t>年初部门预算</w:t>
      </w:r>
      <w:r>
        <w:rPr>
          <w:rFonts w:hint="eastAsia" w:ascii="仿宋_GB2312" w:eastAsia="仿宋_GB2312"/>
          <w:bCs/>
          <w:kern w:val="0"/>
          <w:sz w:val="32"/>
          <w:szCs w:val="32"/>
          <w:lang w:val="en-US" w:eastAsia="zh-CN"/>
        </w:rPr>
        <w:t>0万元，</w:t>
      </w:r>
      <w:r>
        <w:rPr>
          <w:rFonts w:hint="eastAsia" w:ascii="仿宋_GB2312" w:eastAsia="仿宋_GB2312"/>
          <w:bCs/>
          <w:kern w:val="0"/>
          <w:sz w:val="32"/>
          <w:szCs w:val="32"/>
          <w:lang w:eastAsia="zh-CN"/>
        </w:rPr>
        <w:t>为年中追加经费。主要原因为</w:t>
      </w:r>
      <w:r>
        <w:rPr>
          <w:rFonts w:hint="eastAsia" w:ascii="仿宋_GB2312" w:eastAsia="仿宋_GB2312" w:cs="仿宋_GB2312"/>
          <w:kern w:val="0"/>
          <w:sz w:val="32"/>
          <w:szCs w:val="32"/>
          <w:lang w:val="en-US" w:eastAsia="zh-CN"/>
        </w:rPr>
        <w:t>中心为新成立单位，人员编制转入时已过年初编制部门预算，经费均为2020年年中追加</w:t>
      </w:r>
      <w:r>
        <w:rPr>
          <w:rFonts w:hint="eastAsia" w:ascii="仿宋_GB2312" w:eastAsia="仿宋_GB2312"/>
          <w:bCs/>
          <w:kern w:val="0"/>
          <w:sz w:val="32"/>
          <w:szCs w:val="32"/>
          <w:lang w:eastAsia="zh-CN"/>
        </w:rPr>
        <w:t>。</w:t>
      </w:r>
    </w:p>
    <w:p>
      <w:pPr>
        <w:numPr>
          <w:ilvl w:val="0"/>
          <w:numId w:val="0"/>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eastAsia="zh-CN"/>
        </w:rPr>
        <w:t>（三）对个人和家庭的补助</w:t>
      </w:r>
      <w:r>
        <w:rPr>
          <w:rFonts w:hint="eastAsia" w:ascii="仿宋_GB2312" w:eastAsia="仿宋_GB2312"/>
          <w:bCs/>
          <w:kern w:val="0"/>
          <w:sz w:val="32"/>
          <w:szCs w:val="32"/>
          <w:lang w:val="en-US" w:eastAsia="zh-CN"/>
        </w:rPr>
        <w:t>2.04万元，年初部门预算0万元，</w:t>
      </w:r>
      <w:r>
        <w:rPr>
          <w:rFonts w:hint="eastAsia" w:ascii="仿宋_GB2312" w:eastAsia="仿宋_GB2312"/>
          <w:bCs/>
          <w:kern w:val="0"/>
          <w:sz w:val="32"/>
          <w:szCs w:val="32"/>
          <w:lang w:eastAsia="zh-CN"/>
        </w:rPr>
        <w:t>为年中追加经费。主要原因为</w:t>
      </w:r>
      <w:r>
        <w:rPr>
          <w:rFonts w:hint="eastAsia" w:ascii="仿宋_GB2312" w:eastAsia="仿宋_GB2312" w:cs="仿宋_GB2312"/>
          <w:kern w:val="0"/>
          <w:sz w:val="32"/>
          <w:szCs w:val="32"/>
          <w:lang w:val="en-US" w:eastAsia="zh-CN"/>
        </w:rPr>
        <w:t>中心为新成立单位，人员编制转入时已过年初编制部门预算，经费均为2020年年中追加</w:t>
      </w:r>
      <w:r>
        <w:rPr>
          <w:rFonts w:hint="eastAsia" w:ascii="仿宋_GB2312" w:eastAsia="仿宋_GB2312"/>
          <w:bCs/>
          <w:kern w:val="0"/>
          <w:sz w:val="32"/>
          <w:szCs w:val="32"/>
          <w:lang w:eastAsia="zh-CN"/>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我中心没有政府性基金支出。</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五、2020年度国有资本经营预算支出决算情况</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eastAsia="zh-CN"/>
        </w:rPr>
        <w:t>我中心</w:t>
      </w:r>
      <w:r>
        <w:rPr>
          <w:rFonts w:hint="eastAsia" w:ascii="仿宋_GB2312" w:eastAsia="仿宋_GB2312"/>
          <w:kern w:val="0"/>
          <w:sz w:val="32"/>
          <w:szCs w:val="32"/>
          <w:lang w:eastAsia="zh-CN"/>
        </w:rPr>
        <w:t>没有</w:t>
      </w:r>
      <w:r>
        <w:rPr>
          <w:rFonts w:hint="eastAsia" w:ascii="仿宋_GB2312" w:eastAsia="仿宋_GB2312" w:cs="仿宋_GB2312"/>
          <w:kern w:val="0"/>
          <w:sz w:val="32"/>
          <w:szCs w:val="32"/>
        </w:rPr>
        <w:t>国有资本经营预算支出</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2020年度</w:t>
      </w:r>
      <w:r>
        <w:rPr>
          <w:rFonts w:hint="eastAsia" w:ascii="仿宋_GB2312" w:eastAsia="仿宋_GB2312" w:cs="仿宋_GB2312"/>
          <w:kern w:val="0"/>
          <w:sz w:val="32"/>
          <w:szCs w:val="32"/>
          <w:lang w:eastAsia="zh-CN"/>
        </w:rPr>
        <w:t>我中心未有</w:t>
      </w:r>
      <w:r>
        <w:rPr>
          <w:rFonts w:hint="eastAsia" w:ascii="仿宋_GB2312" w:eastAsia="仿宋_GB2312"/>
          <w:sz w:val="32"/>
          <w:szCs w:val="32"/>
        </w:rPr>
        <w:t>一般</w:t>
      </w:r>
      <w:r>
        <w:rPr>
          <w:rFonts w:hint="eastAsia" w:ascii="仿宋_GB2312" w:eastAsia="仿宋_GB2312" w:cs="仿宋_GB2312"/>
          <w:kern w:val="0"/>
          <w:sz w:val="32"/>
          <w:szCs w:val="32"/>
        </w:rPr>
        <w:t>公共预算财政拨款的“三公”经费支出</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本部门无机关运行经费支出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本部门无政府采购支出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截至2020年12月31日，本部门共有车辆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辆，其中：副部（省）级领导干部用车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辆、机要通信用车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辆、应急保障用车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辆、特种专业技术用车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辆、其他用车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；单位价值50万元以上通用设备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台（套）；单位价值100万元以上专用设备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lang w:eastAsia="zh-CN"/>
        </w:rPr>
        <w:t>台（套）。</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rPr>
      </w:pPr>
      <w:r>
        <w:rPr>
          <w:rFonts w:hint="eastAsia" w:ascii="仿宋_GB2312" w:eastAsia="仿宋_GB2312" w:cs="仿宋_GB2312"/>
          <w:kern w:val="0"/>
          <w:sz w:val="32"/>
          <w:szCs w:val="32"/>
          <w:lang w:eastAsia="zh-CN"/>
        </w:rPr>
        <w:t>本部门</w:t>
      </w:r>
      <w:r>
        <w:rPr>
          <w:rFonts w:hint="eastAsia" w:ascii="仿宋_GB2312" w:eastAsia="仿宋_GB2312" w:cs="仿宋_GB2312"/>
          <w:kern w:val="0"/>
          <w:sz w:val="32"/>
          <w:szCs w:val="32"/>
          <w:lang w:val="en-US" w:eastAsia="zh-CN"/>
        </w:rPr>
        <w:t>未开展预算绩效管理工作。</w:t>
      </w: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p>
    <w:p>
      <w:pPr>
        <w:pStyle w:val="2"/>
        <w:rPr>
          <w:rFonts w:hint="eastAsia" w:ascii="黑体" w:hAnsi="黑体" w:eastAsia="黑体" w:cs="仿宋_GB2312"/>
          <w:kern w:val="0"/>
          <w:sz w:val="32"/>
          <w:szCs w:val="32"/>
        </w:rPr>
      </w:pPr>
    </w:p>
    <w:p>
      <w:pPr>
        <w:pStyle w:val="2"/>
        <w:rPr>
          <w:rFonts w:hint="eastAsia" w:ascii="黑体" w:hAnsi="黑体" w:eastAsia="黑体" w:cs="仿宋_GB2312"/>
          <w:kern w:val="0"/>
          <w:sz w:val="32"/>
          <w:szCs w:val="32"/>
        </w:rPr>
      </w:pPr>
    </w:p>
    <w:p>
      <w:pPr>
        <w:pStyle w:val="2"/>
        <w:rPr>
          <w:rFonts w:hint="eastAsia" w:ascii="黑体" w:hAnsi="黑体" w:eastAsia="黑体" w:cs="仿宋_GB2312"/>
          <w:kern w:val="0"/>
          <w:sz w:val="32"/>
          <w:szCs w:val="32"/>
        </w:rPr>
      </w:pPr>
    </w:p>
    <w:p>
      <w:pPr>
        <w:pStyle w:val="2"/>
        <w:rPr>
          <w:rFonts w:hint="eastAsia" w:ascii="黑体" w:hAnsi="黑体" w:eastAsia="黑体" w:cs="仿宋_GB2312"/>
          <w:kern w:val="0"/>
          <w:sz w:val="32"/>
          <w:szCs w:val="32"/>
        </w:rPr>
      </w:pPr>
      <w:bookmarkStart w:id="0" w:name="_GoBack"/>
      <w:bookmarkEnd w:id="0"/>
    </w:p>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45BB4"/>
    <w:multiLevelType w:val="singleLevel"/>
    <w:tmpl w:val="61245BB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71391"/>
    <w:rsid w:val="29194F30"/>
    <w:rsid w:val="3BC71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2021-08-25T03:12:00Z</dcterms:created>
  <dc:creator>思斯</dc:creator>
  <cp:lastModifiedBy>思斯</cp:lastModifiedBy>
  <dcterms:modified xsi:type="dcterms:W3CDTF">2021-08-25T07:27:50Z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