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ArialUnicodeMS"/>
          <w:kern w:val="0"/>
          <w:sz w:val="72"/>
          <w:szCs w:val="72"/>
          <w:u w:val="none"/>
        </w:rPr>
      </w:pPr>
    </w:p>
    <w:p>
      <w:pPr>
        <w:jc w:val="center"/>
        <w:rPr>
          <w:rFonts w:hint="default" w:ascii="方正小标宋简体" w:hAnsi="黑体" w:eastAsia="方正小标宋简体"/>
          <w:bCs/>
          <w:color w:val="000000"/>
          <w:sz w:val="52"/>
          <w:szCs w:val="52"/>
          <w:u w:val="none"/>
          <w:lang w:val="en-US" w:eastAsia="zh-CN"/>
        </w:rPr>
      </w:pPr>
      <w:r>
        <w:rPr>
          <w:rFonts w:hint="eastAsia" w:ascii="方正小标宋简体" w:eastAsia="方正小标宋简体" w:cs="ArialUnicodeMS"/>
          <w:kern w:val="0"/>
          <w:sz w:val="52"/>
          <w:szCs w:val="52"/>
          <w:u w:val="none"/>
        </w:rPr>
        <w:t>广西壮族自治区</w:t>
      </w:r>
      <w:r>
        <w:rPr>
          <w:rFonts w:hint="eastAsia" w:ascii="方正小标宋简体" w:hAnsi="黑体" w:eastAsia="方正小标宋简体"/>
          <w:bCs/>
          <w:color w:val="000000"/>
          <w:sz w:val="52"/>
          <w:szCs w:val="52"/>
          <w:u w:val="none"/>
          <w:lang w:val="en-US" w:eastAsia="zh-CN"/>
        </w:rPr>
        <w:t>应急管理信息技术中心</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w:t>
      </w:r>
      <w:r>
        <w:rPr>
          <w:rFonts w:hint="eastAsia" w:ascii="方正小标宋简体" w:eastAsia="方正小标宋简体"/>
          <w:kern w:val="0"/>
          <w:sz w:val="52"/>
          <w:szCs w:val="52"/>
          <w:lang w:val="en-US" w:eastAsia="zh-CN"/>
        </w:rPr>
        <w:t>2</w:t>
      </w:r>
      <w:r>
        <w:rPr>
          <w:rFonts w:hint="eastAsia" w:ascii="方正小标宋简体" w:eastAsia="方正小标宋简体" w:cs="ArialUnicodeMS"/>
          <w:kern w:val="0"/>
          <w:sz w:val="52"/>
          <w:szCs w:val="52"/>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pStyle w:val="2"/>
        <w:rPr>
          <w:rFonts w:hint="eastAsia" w:ascii="黑体" w:eastAsia="黑体" w:cs="黑体"/>
          <w:kern w:val="0"/>
          <w:sz w:val="44"/>
          <w:szCs w:val="44"/>
        </w:rPr>
      </w:pPr>
    </w:p>
    <w:p>
      <w:pPr>
        <w:pStyle w:val="2"/>
        <w:rPr>
          <w:rFonts w:hint="eastAsia" w:ascii="黑体" w:eastAsia="黑体" w:cs="黑体"/>
          <w:kern w:val="0"/>
          <w:sz w:val="44"/>
          <w:szCs w:val="44"/>
        </w:rPr>
      </w:pPr>
    </w:p>
    <w:p>
      <w:pPr>
        <w:jc w:val="center"/>
        <w:rPr>
          <w:rFonts w:hint="eastAsia" w:ascii="黑体" w:eastAsia="黑体" w:cs="黑体"/>
          <w:kern w:val="0"/>
          <w:sz w:val="44"/>
          <w:szCs w:val="44"/>
        </w:rPr>
      </w:pPr>
    </w:p>
    <w:p>
      <w:pPr>
        <w:ind w:firstLine="0"/>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right="23" w:rightChars="11"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val="en-US" w:eastAsia="zh-CN"/>
        </w:rPr>
        <w:t>自治区应急管理信息技术中心</w:t>
      </w:r>
      <w:r>
        <w:rPr>
          <w:rFonts w:hint="eastAsia" w:ascii="黑体" w:hAnsi="黑体" w:eastAsia="黑体"/>
          <w:sz w:val="32"/>
          <w:szCs w:val="32"/>
          <w:u w:val="none"/>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val="en-US" w:eastAsia="zh-CN"/>
        </w:rPr>
        <w:t>自治区应急管理信息技术中心</w:t>
      </w:r>
      <w:r>
        <w:rPr>
          <w:rFonts w:hint="eastAsia" w:ascii="黑体" w:hAnsi="黑体" w:eastAsia="黑体"/>
          <w:sz w:val="32"/>
          <w:szCs w:val="32"/>
          <w:lang w:val="en-US" w:eastAsia="zh-CN"/>
        </w:rPr>
        <w:t>2022</w:t>
      </w:r>
      <w:r>
        <w:rPr>
          <w:rFonts w:hint="eastAsia" w:ascii="黑体" w:hAnsi="黑体" w:eastAsia="黑体"/>
          <w:sz w:val="32"/>
          <w:szCs w:val="32"/>
        </w:rPr>
        <w:t>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表六：一般公共预算财政拨款基本支出决算明细表</w:t>
      </w:r>
    </w:p>
    <w:p>
      <w:pPr>
        <w:ind w:left="0" w:firstLine="640" w:firstLineChars="200"/>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自治区应急管理信息技术中心</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年度国有资本经营预算支出决算情况</w:t>
      </w:r>
      <w:r>
        <w:rPr>
          <w:rFonts w:hint="eastAsia" w:asci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pStyle w:val="2"/>
        <w:rPr>
          <w:rFonts w:hint="eastAsia" w:ascii="仿宋_GB2312" w:eastAsia="仿宋_GB2312"/>
          <w:b/>
          <w:sz w:val="32"/>
          <w:szCs w:val="32"/>
        </w:rPr>
      </w:pPr>
    </w:p>
    <w:p>
      <w:pPr>
        <w:pStyle w:val="2"/>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val="en-US" w:eastAsia="zh-CN"/>
        </w:rPr>
        <w:t>自治区应急管理信息技术中心</w:t>
      </w:r>
      <w:r>
        <w:rPr>
          <w:rFonts w:hint="eastAsia" w:ascii="黑体" w:hAnsi="黑体" w:eastAsia="黑体"/>
          <w:sz w:val="32"/>
          <w:szCs w:val="32"/>
        </w:rPr>
        <w:t>概况</w:t>
      </w:r>
    </w:p>
    <w:p>
      <w:pPr>
        <w:ind w:firstLine="646"/>
        <w:rPr>
          <w:rFonts w:hint="eastAsia" w:ascii="黑体" w:hAnsi="黑体" w:eastAsia="黑体"/>
          <w:sz w:val="32"/>
          <w:szCs w:val="32"/>
        </w:rPr>
      </w:pPr>
      <w:r>
        <w:rPr>
          <w:rFonts w:hint="eastAsia" w:ascii="黑体" w:hAnsi="黑体" w:eastAsia="黑体"/>
          <w:sz w:val="32"/>
          <w:szCs w:val="32"/>
        </w:rPr>
        <w:t>一、主要职能</w:t>
      </w:r>
    </w:p>
    <w:p>
      <w:pPr>
        <w:ind w:firstLine="646"/>
        <w:rPr>
          <w:rFonts w:hint="eastAsia" w:ascii="仿宋_GB2312" w:eastAsia="仿宋_GB2312"/>
          <w:sz w:val="32"/>
          <w:szCs w:val="32"/>
        </w:rPr>
      </w:pPr>
      <w:r>
        <w:rPr>
          <w:rFonts w:hint="eastAsia" w:ascii="仿宋_GB2312" w:eastAsia="仿宋_GB2312"/>
          <w:sz w:val="32"/>
          <w:szCs w:val="32"/>
        </w:rPr>
        <w:t>负责应急管理、安全生产、防灾减灾救灾信息化的运行支撑、安全监测和服务保障；承担应急管理信息化项目建设的技术性、事务性、辅助性工作；承担机关信息、宣传、科普、门户网站和微信公众号等新媒体的建设与管理工作；协助开展安全生产培训考核发证事务性工作。</w:t>
      </w:r>
    </w:p>
    <w:p>
      <w:pPr>
        <w:ind w:firstLine="646"/>
        <w:rPr>
          <w:rFonts w:hint="eastAsia" w:ascii="黑体" w:hAnsi="黑体" w:eastAsia="黑体"/>
          <w:sz w:val="32"/>
          <w:szCs w:val="32"/>
        </w:rPr>
      </w:pPr>
      <w:r>
        <w:rPr>
          <w:rFonts w:hint="eastAsia" w:ascii="黑体" w:hAnsi="黑体" w:eastAsia="黑体"/>
          <w:sz w:val="32"/>
          <w:szCs w:val="32"/>
        </w:rPr>
        <w:t>二、部门决算单位构成</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根据《自治区党委编办关于调整自治区应急管理厅所属事业单位机构编制事项的批复》（桂编办复〔2019〕109号），同意将自治区民政厅所属原自治区减灾中心（自治区社会捐助接收工作站）的减灾救灾数据信息管理和救助技术保障职责、10名全额拨款事业编制及相关人员划归我中心，与自治区安全生产宣教信息中心相关职责整合，设立自治区应急管理信息技术中心，为正处级公益一类事业单位。</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rPr>
      </w:pPr>
    </w:p>
    <w:p>
      <w:pPr>
        <w:ind w:firstLine="0"/>
        <w:jc w:val="center"/>
        <w:rPr>
          <w:rFonts w:hint="eastAsia" w:ascii="黑体" w:hAnsi="黑体" w:eastAsia="黑体"/>
          <w:bCs/>
          <w:color w:val="000000"/>
          <w:sz w:val="32"/>
          <w:szCs w:val="32"/>
          <w:u w:val="none"/>
          <w:lang w:val="en-US" w:eastAsia="zh-CN"/>
        </w:rPr>
      </w:pPr>
      <w:r>
        <w:rPr>
          <w:rFonts w:hint="eastAsia" w:ascii="黑体" w:hAnsi="黑体" w:eastAsia="黑体"/>
          <w:sz w:val="32"/>
          <w:szCs w:val="32"/>
        </w:rPr>
        <w:t>第二部分：</w:t>
      </w:r>
      <w:r>
        <w:rPr>
          <w:rFonts w:hint="eastAsia" w:ascii="黑体" w:hAnsi="黑体" w:eastAsia="黑体"/>
          <w:bCs/>
          <w:color w:val="000000"/>
          <w:sz w:val="32"/>
          <w:szCs w:val="32"/>
          <w:u w:val="none"/>
          <w:lang w:val="en-US" w:eastAsia="zh-CN"/>
        </w:rPr>
        <w:t>自治区应急管理信息技术中心</w:t>
      </w:r>
    </w:p>
    <w:p>
      <w:pPr>
        <w:ind w:firstLine="0"/>
        <w:jc w:val="center"/>
        <w:rPr>
          <w:rFonts w:ascii="黑体" w:hAnsi="黑体" w:eastAsia="黑体"/>
          <w:sz w:val="32"/>
          <w:szCs w:val="32"/>
        </w:rPr>
      </w:pP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表一：收入支出决算总表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表二：收入决算表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表三：支出决算表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表四：财政拨款收入支出决算总表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表五：一般公共预算财政拨款支出决算表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表六：一般公共预算财政拨款基本支出决算表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表七：一般公共预算财政拨款安排的“三公”经费支出决算表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表八：政府性基金预算财政拨款收入支出决算表</w:t>
      </w:r>
    </w:p>
    <w:p>
      <w:pPr>
        <w:ind w:firstLine="640" w:firstLineChars="200"/>
        <w:rPr>
          <w:rFonts w:hint="eastAsia" w:ascii="仿宋_GB2312" w:hAnsi="黑体" w:eastAsia="仿宋_GB2312"/>
          <w:sz w:val="32"/>
          <w:szCs w:val="32"/>
        </w:rPr>
      </w:pPr>
      <w:r>
        <w:rPr>
          <w:rFonts w:hint="eastAsia" w:ascii="仿宋_GB2312" w:hAnsi="黑体" w:eastAsia="仿宋_GB2312"/>
          <w:color w:val="auto"/>
          <w:sz w:val="32"/>
          <w:szCs w:val="32"/>
        </w:rPr>
        <w:t>表九：国有</w:t>
      </w:r>
      <w:r>
        <w:rPr>
          <w:rFonts w:hint="eastAsia" w:ascii="仿宋_GB2312" w:hAnsi="黑体" w:eastAsia="仿宋_GB2312"/>
          <w:sz w:val="32"/>
          <w:szCs w:val="32"/>
        </w:rPr>
        <w:t>资本经营预算财政拨款收入支出决算表</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黑体" w:eastAsia="仿宋_GB2312"/>
          <w:sz w:val="32"/>
          <w:szCs w:val="32"/>
        </w:rPr>
        <w:t>上述报表详见附件</w:t>
      </w:r>
      <w:r>
        <w:rPr>
          <w:rFonts w:hint="eastAsia" w:ascii="仿宋_GB2312" w:hAnsi="黑体" w:eastAsia="仿宋_GB2312"/>
          <w:sz w:val="32"/>
          <w:szCs w:val="32"/>
          <w:lang w:eastAsia="zh-CN"/>
        </w:rPr>
        <w:t>）。</w:t>
      </w: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pStyle w:val="2"/>
        <w:rPr>
          <w:rFonts w:hint="eastAsia" w:ascii="仿宋_GB2312" w:hAnsi="黑体" w:eastAsia="仿宋_GB2312"/>
          <w:sz w:val="32"/>
          <w:szCs w:val="32"/>
          <w:lang w:eastAsia="zh-CN"/>
        </w:rPr>
      </w:pPr>
    </w:p>
    <w:p>
      <w:pPr>
        <w:spacing w:line="560" w:lineRule="exact"/>
        <w:jc w:val="center"/>
        <w:rPr>
          <w:rFonts w:hint="eastAsia" w:ascii="黑体" w:hAnsi="黑体" w:eastAsia="黑体"/>
          <w:bCs/>
          <w:color w:val="000000"/>
          <w:sz w:val="32"/>
          <w:szCs w:val="32"/>
          <w:u w:val="none"/>
          <w:lang w:val="en-US" w:eastAsia="zh-CN"/>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自治区应急管理信息技术中心</w:t>
      </w:r>
    </w:p>
    <w:p>
      <w:pPr>
        <w:spacing w:line="560" w:lineRule="exact"/>
        <w:jc w:val="center"/>
        <w:rPr>
          <w:rFonts w:hint="eastAsia" w:ascii="黑体" w:hAnsi="黑体" w:eastAsia="黑体"/>
          <w:sz w:val="32"/>
          <w:szCs w:val="32"/>
        </w:rPr>
      </w:pP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right="-34" w:rightChars="-16"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年度总收入</w:t>
      </w:r>
      <w:r>
        <w:rPr>
          <w:rFonts w:hint="eastAsia" w:ascii="仿宋_GB2312" w:eastAsia="仿宋_GB2312" w:cs="仿宋_GB2312"/>
          <w:kern w:val="0"/>
          <w:sz w:val="32"/>
          <w:szCs w:val="32"/>
          <w:lang w:val="en-US" w:eastAsia="zh-CN"/>
        </w:rPr>
        <w:t>201.48</w:t>
      </w:r>
      <w:r>
        <w:rPr>
          <w:rFonts w:hint="eastAsia" w:ascii="仿宋_GB2312" w:eastAsia="仿宋_GB2312" w:cs="仿宋_GB2312"/>
          <w:kern w:val="0"/>
          <w:sz w:val="32"/>
          <w:szCs w:val="32"/>
        </w:rPr>
        <w:t>万元，其中本年收</w:t>
      </w:r>
      <w:r>
        <w:rPr>
          <w:rFonts w:hint="eastAsia" w:ascii="仿宋_GB2312" w:eastAsia="仿宋_GB2312" w:cs="仿宋_GB2312"/>
          <w:kern w:val="0"/>
          <w:sz w:val="32"/>
          <w:szCs w:val="32"/>
          <w:lang w:val="en-US" w:eastAsia="zh-CN"/>
        </w:rPr>
        <w:t>入204.48</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减少34.85</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下降14.75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both"/>
        <w:rPr>
          <w:rFonts w:hint="default" w:ascii="仿宋_GB2312" w:hAnsi="黑体"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201.48</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减少34.85</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下降14.75</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主要原因是人员变动。</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万，为事业单位在业务活动之外开展非独立核算经营活动取得的收入。</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年度总支出</w:t>
      </w:r>
      <w:r>
        <w:rPr>
          <w:rFonts w:hint="eastAsia" w:ascii="仿宋_GB2312" w:eastAsia="仿宋_GB2312" w:cs="仿宋_GB2312"/>
          <w:kern w:val="0"/>
          <w:sz w:val="32"/>
          <w:szCs w:val="32"/>
          <w:lang w:val="en-US" w:eastAsia="zh-CN"/>
        </w:rPr>
        <w:t>201.48</w:t>
      </w:r>
      <w:r>
        <w:rPr>
          <w:rFonts w:hint="eastAsia" w:ascii="仿宋_GB2312" w:eastAsia="仿宋_GB2312" w:cs="仿宋_GB2312"/>
          <w:kern w:val="0"/>
          <w:sz w:val="32"/>
          <w:szCs w:val="32"/>
        </w:rPr>
        <w:t>万元，其中本年支</w:t>
      </w:r>
      <w:r>
        <w:rPr>
          <w:rFonts w:hint="eastAsia" w:ascii="仿宋_GB2312" w:eastAsia="仿宋_GB2312" w:cs="仿宋_GB2312"/>
          <w:kern w:val="0"/>
          <w:sz w:val="32"/>
          <w:szCs w:val="32"/>
          <w:lang w:val="en-US" w:eastAsia="zh-CN"/>
        </w:rPr>
        <w:t>出201.48</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减少34.85</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下降14.75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both"/>
        <w:rPr>
          <w:rFonts w:hint="default" w:ascii="仿宋_GB2312" w:hAnsi="黑体"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与2021年持平。</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kern w:val="0"/>
          <w:sz w:val="32"/>
          <w:szCs w:val="32"/>
          <w:lang w:val="en-US" w:eastAsia="zh-CN"/>
        </w:rPr>
        <w:t>2.社会保障和</w:t>
      </w:r>
      <w:r>
        <w:rPr>
          <w:rFonts w:hint="eastAsia" w:ascii="仿宋_GB2312" w:eastAsia="仿宋_GB2312" w:cs="仿宋_GB2312"/>
          <w:color w:val="auto"/>
          <w:kern w:val="0"/>
          <w:sz w:val="32"/>
          <w:szCs w:val="32"/>
          <w:lang w:val="en-US" w:eastAsia="zh-CN"/>
        </w:rPr>
        <w:t>就业支出24.53万元，主要用于按国家规定发放的退休人员工资津补贴，单位基本养老保险、职业年金缴费支出等。较2021年度决算数增加0.92万元，增长3.9%，增长原因是调资。</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3.卫生健康支出7.35万元，主要用于按规定比例计缴的医疗保险。较2021年度决算数增加0.03万元，增长0.41%，增长原因是调资。</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4.住房保障支出11.92万元，主要用于按照国家政策规定向职工发放的住房公积金等住房改革方面的支出。较2021年度决算数增加0.11万元，增长0.93%，增长原因是调资。</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lang w:val="en-US" w:eastAsia="zh-CN"/>
        </w:rPr>
      </w:pPr>
      <w:r>
        <w:rPr>
          <w:rFonts w:hint="eastAsia" w:ascii="仿宋_GB2312" w:eastAsia="仿宋_GB2312" w:cs="仿宋_GB2312"/>
          <w:color w:val="auto"/>
          <w:kern w:val="0"/>
          <w:sz w:val="32"/>
          <w:szCs w:val="32"/>
          <w:lang w:val="en-US" w:eastAsia="zh-CN"/>
        </w:rPr>
        <w:t>5.灾害防治及应急管理支出157.68万元，主要用于为保证日常运转发生的公用经费基本支出。</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减少35.91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下降18.55</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增长的原因人员变动。</w:t>
      </w:r>
    </w:p>
    <w:p>
      <w:pPr>
        <w:autoSpaceDE w:val="0"/>
        <w:autoSpaceDN w:val="0"/>
        <w:adjustRightInd w:val="0"/>
        <w:spacing w:line="560" w:lineRule="exact"/>
        <w:ind w:firstLine="627" w:firstLineChars="196"/>
        <w:jc w:val="both"/>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6.年末结转和结余0万元，为本年度或以前年度预算安排、因客观条件发生变化无法按原计划实施，需要延迟到以后年度按有关规定继续使用的资金。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lang w:val="en-US" w:eastAsia="zh-CN"/>
        </w:rPr>
        <w:t>与2021年持平。</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lang w:val="en-US" w:eastAsia="zh-CN"/>
        </w:rPr>
        <w:t>7</w:t>
      </w:r>
      <w:r>
        <w:rPr>
          <w:rFonts w:hint="eastAsia" w:ascii="仿宋_GB2312" w:eastAsia="仿宋_GB2312" w:cs="仿宋_GB2312"/>
          <w:color w:val="auto"/>
          <w:kern w:val="0"/>
          <w:sz w:val="32"/>
          <w:szCs w:val="32"/>
        </w:rPr>
        <w:t>.结余分配</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万元，为事业单位按规定提取的专用结余、缴纳所得税和转入非财政拨款结余等。</w:t>
      </w:r>
      <w:r>
        <w:rPr>
          <w:rFonts w:hint="eastAsia" w:ascii="仿宋_GB2312" w:hAnsi="黑体" w:eastAsia="仿宋_GB2312" w:cs="仿宋_GB2312"/>
          <w:color w:val="auto"/>
          <w:kern w:val="0"/>
          <w:sz w:val="32"/>
          <w:szCs w:val="32"/>
          <w:lang w:val="en-US" w:eastAsia="zh-CN"/>
        </w:rPr>
        <w:t>与2021年持平</w:t>
      </w:r>
      <w:r>
        <w:rPr>
          <w:rFonts w:hint="eastAsia" w:ascii="仿宋_GB2312" w:hAnsi="黑体" w:eastAsia="仿宋_GB2312" w:cs="仿宋_GB2312"/>
          <w:color w:val="auto"/>
          <w:kern w:val="0"/>
          <w:sz w:val="32"/>
          <w:szCs w:val="32"/>
        </w:rPr>
        <w:t>。</w:t>
      </w:r>
    </w:p>
    <w:p>
      <w:pPr>
        <w:autoSpaceDE w:val="0"/>
        <w:autoSpaceDN w:val="0"/>
        <w:adjustRightInd w:val="0"/>
        <w:spacing w:line="560" w:lineRule="exact"/>
        <w:ind w:right="-506" w:rightChars="-241"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2022</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right="-34" w:rightChars="-16" w:firstLine="640" w:firstLineChars="200"/>
        <w:jc w:val="both"/>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自治区应急管理信息技术中心</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w:t>
      </w:r>
      <w:r>
        <w:rPr>
          <w:rFonts w:hint="eastAsia" w:ascii="仿宋_GB2312" w:eastAsia="仿宋_GB2312" w:cs="仿宋_GB2312"/>
          <w:kern w:val="0"/>
          <w:sz w:val="32"/>
          <w:szCs w:val="32"/>
          <w:lang w:val="en-US" w:eastAsia="zh-CN"/>
        </w:rPr>
        <w:t>出201.48</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减少34.85</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下降14.75</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201.48</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right="-34" w:rightChars="-16" w:firstLine="640" w:firstLineChars="200"/>
        <w:jc w:val="both"/>
        <w:rPr>
          <w:rFonts w:hint="eastAsia" w:ascii="仿宋_GB2312" w:hAnsi="黑体" w:eastAsia="仿宋_GB2312" w:cs="仿宋_GB2312"/>
          <w:color w:val="auto"/>
          <w:kern w:val="0"/>
          <w:sz w:val="32"/>
          <w:szCs w:val="32"/>
        </w:rPr>
      </w:pPr>
      <w:r>
        <w:rPr>
          <w:rFonts w:hint="eastAsia" w:ascii="仿宋_GB2312" w:hAnsi="黑体" w:eastAsia="仿宋_GB2312"/>
          <w:bCs/>
          <w:color w:val="000000"/>
          <w:sz w:val="32"/>
          <w:szCs w:val="32"/>
          <w:u w:val="none"/>
          <w:lang w:val="en-US" w:eastAsia="zh-CN"/>
        </w:rPr>
        <w:t>自治区应急管理信息技术中心</w:t>
      </w:r>
      <w:r>
        <w:rPr>
          <w:rFonts w:hint="eastAsia" w:ascii="仿宋_GB2312" w:hAnsi="黑体" w:eastAsia="仿宋_GB2312"/>
          <w:kern w:val="0"/>
          <w:sz w:val="32"/>
          <w:szCs w:val="32"/>
          <w:lang w:eastAsia="zh-CN"/>
        </w:rPr>
        <w:t>2022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w:t>
      </w:r>
      <w:r>
        <w:rPr>
          <w:rFonts w:hint="eastAsia" w:ascii="仿宋_GB2312" w:hAnsi="黑体" w:eastAsia="仿宋_GB2312" w:cs="仿宋_GB2312"/>
          <w:kern w:val="0"/>
          <w:sz w:val="32"/>
          <w:szCs w:val="32"/>
          <w:lang w:val="en-US" w:eastAsia="zh-CN"/>
        </w:rPr>
        <w:t>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175.48</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201.48</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114.82</w:t>
      </w:r>
      <w:r>
        <w:rPr>
          <w:rFonts w:hint="eastAsia" w:ascii="仿宋_GB2312" w:hAnsi="黑体" w:eastAsia="仿宋_GB2312" w:cs="仿宋_GB2312"/>
          <w:kern w:val="0"/>
          <w:sz w:val="32"/>
          <w:szCs w:val="32"/>
        </w:rPr>
        <w:t>%。</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一般公共服务支出（类）</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0</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0</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eastAsia="zh-CN"/>
        </w:rPr>
        <w:t>。</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lang w:eastAsia="zh-CN"/>
        </w:rPr>
        <w:t>社会保障和就业支出（类）行政事业单位养老支出（款）事业单位离退休（项）支出决算为</w:t>
      </w:r>
      <w:r>
        <w:rPr>
          <w:rFonts w:hint="eastAsia" w:ascii="仿宋_GB2312" w:hAnsi="黑体" w:eastAsia="仿宋_GB2312" w:cs="仿宋_GB2312"/>
          <w:color w:val="auto"/>
          <w:kern w:val="0"/>
          <w:sz w:val="32"/>
          <w:szCs w:val="32"/>
          <w:lang w:val="en-US" w:eastAsia="zh-CN"/>
        </w:rPr>
        <w:t>24.53</w:t>
      </w:r>
      <w:r>
        <w:rPr>
          <w:rFonts w:hint="eastAsia" w:ascii="仿宋_GB2312" w:hAnsi="黑体" w:eastAsia="仿宋_GB2312" w:cs="仿宋_GB2312"/>
          <w:color w:val="auto"/>
          <w:kern w:val="0"/>
          <w:sz w:val="32"/>
          <w:szCs w:val="32"/>
          <w:lang w:eastAsia="zh-CN"/>
        </w:rPr>
        <w:t>万元，年初预算数为</w:t>
      </w:r>
      <w:r>
        <w:rPr>
          <w:rFonts w:hint="eastAsia" w:ascii="仿宋_GB2312" w:hAnsi="黑体" w:eastAsia="仿宋_GB2312" w:cs="仿宋_GB2312"/>
          <w:color w:val="auto"/>
          <w:kern w:val="0"/>
          <w:sz w:val="32"/>
          <w:szCs w:val="32"/>
          <w:lang w:val="en-US" w:eastAsia="zh-CN"/>
        </w:rPr>
        <w:t>24.54</w:t>
      </w:r>
      <w:r>
        <w:rPr>
          <w:rFonts w:hint="eastAsia" w:ascii="仿宋_GB2312" w:hAnsi="黑体" w:eastAsia="仿宋_GB2312" w:cs="仿宋_GB2312"/>
          <w:color w:val="auto"/>
          <w:kern w:val="0"/>
          <w:sz w:val="32"/>
          <w:szCs w:val="32"/>
          <w:lang w:eastAsia="zh-CN"/>
        </w:rPr>
        <w:t>万元，完成年初预算的</w:t>
      </w:r>
      <w:r>
        <w:rPr>
          <w:rFonts w:hint="eastAsia" w:ascii="仿宋_GB2312" w:hAnsi="黑体" w:eastAsia="仿宋_GB2312" w:cs="仿宋_GB2312"/>
          <w:color w:val="auto"/>
          <w:kern w:val="0"/>
          <w:sz w:val="32"/>
          <w:szCs w:val="32"/>
          <w:lang w:val="en-US" w:eastAsia="zh-CN"/>
        </w:rPr>
        <w:t>99.96</w:t>
      </w:r>
      <w:r>
        <w:rPr>
          <w:rFonts w:hint="eastAsia" w:ascii="仿宋_GB2312" w:hAnsi="黑体" w:eastAsia="仿宋_GB2312" w:cs="仿宋_GB2312"/>
          <w:color w:val="auto"/>
          <w:kern w:val="0"/>
          <w:sz w:val="32"/>
          <w:szCs w:val="32"/>
          <w:lang w:eastAsia="zh-CN"/>
        </w:rPr>
        <w:t>%。事业单位离退休支出主要用于按国家规定发放的离退休人员工资津补贴及离退休人员管理方面的支出，</w:t>
      </w:r>
      <w:r>
        <w:rPr>
          <w:rFonts w:hint="eastAsia" w:ascii="仿宋_GB2312" w:hAnsi="黑体" w:eastAsia="仿宋_GB2312" w:cs="仿宋_GB2312"/>
          <w:color w:val="auto"/>
          <w:kern w:val="0"/>
          <w:sz w:val="32"/>
          <w:szCs w:val="32"/>
          <w:lang w:val="en-US" w:eastAsia="zh-CN"/>
        </w:rPr>
        <w:t>差异的主要原因是调资。</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lang w:eastAsia="zh-CN"/>
        </w:rPr>
        <w:t>卫生健康支出（类）行政事业单位医疗（款）事业单位医疗（项）支出决算数为</w:t>
      </w:r>
      <w:r>
        <w:rPr>
          <w:rFonts w:hint="eastAsia" w:ascii="仿宋_GB2312" w:hAnsi="黑体" w:eastAsia="仿宋_GB2312" w:cs="仿宋_GB2312"/>
          <w:color w:val="auto"/>
          <w:kern w:val="0"/>
          <w:sz w:val="32"/>
          <w:szCs w:val="32"/>
          <w:lang w:val="en-US" w:eastAsia="zh-CN"/>
        </w:rPr>
        <w:t>7.35</w:t>
      </w:r>
      <w:r>
        <w:rPr>
          <w:rFonts w:hint="eastAsia" w:ascii="仿宋_GB2312" w:hAnsi="黑体" w:eastAsia="仿宋_GB2312" w:cs="仿宋_GB2312"/>
          <w:color w:val="auto"/>
          <w:kern w:val="0"/>
          <w:sz w:val="32"/>
          <w:szCs w:val="32"/>
          <w:lang w:eastAsia="zh-CN"/>
        </w:rPr>
        <w:t>万元，年初预算数为</w:t>
      </w:r>
      <w:r>
        <w:rPr>
          <w:rFonts w:hint="eastAsia" w:ascii="仿宋_GB2312" w:hAnsi="黑体" w:eastAsia="仿宋_GB2312" w:cs="仿宋_GB2312"/>
          <w:color w:val="auto"/>
          <w:kern w:val="0"/>
          <w:sz w:val="32"/>
          <w:szCs w:val="32"/>
          <w:lang w:val="en-US" w:eastAsia="zh-CN"/>
        </w:rPr>
        <w:t>7.35</w:t>
      </w:r>
      <w:r>
        <w:rPr>
          <w:rFonts w:hint="eastAsia" w:ascii="仿宋_GB2312" w:hAnsi="黑体" w:eastAsia="仿宋_GB2312" w:cs="仿宋_GB2312"/>
          <w:color w:val="auto"/>
          <w:kern w:val="0"/>
          <w:sz w:val="32"/>
          <w:szCs w:val="32"/>
          <w:lang w:eastAsia="zh-CN"/>
        </w:rPr>
        <w:t>万元，完成年初预算的</w:t>
      </w:r>
      <w:r>
        <w:rPr>
          <w:rFonts w:hint="eastAsia" w:ascii="仿宋_GB2312" w:hAnsi="黑体" w:eastAsia="仿宋_GB2312" w:cs="仿宋_GB2312"/>
          <w:color w:val="auto"/>
          <w:kern w:val="0"/>
          <w:sz w:val="32"/>
          <w:szCs w:val="32"/>
          <w:lang w:val="en-US" w:eastAsia="zh-CN"/>
        </w:rPr>
        <w:t>100</w:t>
      </w:r>
      <w:r>
        <w:rPr>
          <w:rFonts w:hint="eastAsia" w:ascii="仿宋_GB2312" w:hAnsi="黑体" w:eastAsia="仿宋_GB2312" w:cs="仿宋_GB2312"/>
          <w:color w:val="auto"/>
          <w:kern w:val="0"/>
          <w:sz w:val="32"/>
          <w:szCs w:val="32"/>
          <w:lang w:eastAsia="zh-CN"/>
        </w:rPr>
        <w:t>%。行政单位医疗主要用于根据自治区统一规定，按规定的比例计缴的医疗保险。</w:t>
      </w:r>
      <w:r>
        <w:rPr>
          <w:rFonts w:hint="eastAsia" w:ascii="仿宋_GB2312" w:hAnsi="黑体" w:eastAsia="仿宋_GB2312" w:cs="仿宋_GB2312"/>
          <w:color w:val="auto"/>
          <w:kern w:val="0"/>
          <w:sz w:val="32"/>
          <w:szCs w:val="32"/>
          <w:lang w:val="en-US" w:eastAsia="zh-CN"/>
        </w:rPr>
        <w:t>无差异。</w:t>
      </w:r>
    </w:p>
    <w:p>
      <w:pPr>
        <w:numPr>
          <w:ilvl w:val="0"/>
          <w:numId w:val="1"/>
        </w:numPr>
        <w:autoSpaceDE w:val="0"/>
        <w:autoSpaceDN w:val="0"/>
        <w:adjustRightInd w:val="0"/>
        <w:spacing w:line="560" w:lineRule="exact"/>
        <w:ind w:left="3" w:leftChars="0" w:right="-34" w:rightChars="-16" w:firstLine="627" w:firstLineChars="0"/>
        <w:jc w:val="both"/>
        <w:rPr>
          <w:rFonts w:hint="default"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eastAsia="zh-CN"/>
        </w:rPr>
        <w:t>住房保障支出（类）住房改革支出（款）住房公积金（项）支出决算数为</w:t>
      </w:r>
      <w:r>
        <w:rPr>
          <w:rFonts w:hint="eastAsia" w:ascii="仿宋_GB2312" w:hAnsi="黑体" w:eastAsia="仿宋_GB2312" w:cs="仿宋_GB2312"/>
          <w:color w:val="auto"/>
          <w:kern w:val="0"/>
          <w:sz w:val="32"/>
          <w:szCs w:val="32"/>
          <w:lang w:val="en-US" w:eastAsia="zh-CN"/>
        </w:rPr>
        <w:t>11.92</w:t>
      </w:r>
      <w:r>
        <w:rPr>
          <w:rFonts w:hint="eastAsia" w:ascii="仿宋_GB2312" w:hAnsi="黑体" w:eastAsia="仿宋_GB2312" w:cs="仿宋_GB2312"/>
          <w:color w:val="auto"/>
          <w:kern w:val="0"/>
          <w:sz w:val="32"/>
          <w:szCs w:val="32"/>
          <w:lang w:eastAsia="zh-CN"/>
        </w:rPr>
        <w:t>万元，年初预算数为</w:t>
      </w:r>
      <w:r>
        <w:rPr>
          <w:rFonts w:hint="eastAsia" w:ascii="仿宋_GB2312" w:hAnsi="黑体" w:eastAsia="仿宋_GB2312" w:cs="仿宋_GB2312"/>
          <w:color w:val="auto"/>
          <w:kern w:val="0"/>
          <w:sz w:val="32"/>
          <w:szCs w:val="32"/>
          <w:lang w:val="en-US" w:eastAsia="zh-CN"/>
        </w:rPr>
        <w:t>11.92</w:t>
      </w:r>
      <w:r>
        <w:rPr>
          <w:rFonts w:hint="eastAsia" w:ascii="仿宋_GB2312" w:hAnsi="黑体" w:eastAsia="仿宋_GB2312" w:cs="仿宋_GB2312"/>
          <w:color w:val="auto"/>
          <w:kern w:val="0"/>
          <w:sz w:val="32"/>
          <w:szCs w:val="32"/>
          <w:lang w:eastAsia="zh-CN"/>
        </w:rPr>
        <w:t>万元，完成年初预算的</w:t>
      </w:r>
      <w:r>
        <w:rPr>
          <w:rFonts w:hint="eastAsia" w:ascii="仿宋_GB2312" w:hAnsi="黑体" w:eastAsia="仿宋_GB2312" w:cs="仿宋_GB2312"/>
          <w:color w:val="auto"/>
          <w:kern w:val="0"/>
          <w:sz w:val="32"/>
          <w:szCs w:val="32"/>
          <w:lang w:val="en-US" w:eastAsia="zh-CN"/>
        </w:rPr>
        <w:t>100</w:t>
      </w:r>
      <w:r>
        <w:rPr>
          <w:rFonts w:hint="eastAsia" w:ascii="仿宋_GB2312" w:hAnsi="黑体" w:eastAsia="仿宋_GB2312" w:cs="仿宋_GB2312"/>
          <w:color w:val="auto"/>
          <w:kern w:val="0"/>
          <w:sz w:val="32"/>
          <w:szCs w:val="32"/>
          <w:lang w:eastAsia="zh-CN"/>
        </w:rPr>
        <w:t>%。住房公积金主要用于按照国家政策规定为职工计缴的住房公积金等住房改革方面的支出。</w:t>
      </w:r>
      <w:r>
        <w:rPr>
          <w:rFonts w:hint="eastAsia" w:ascii="仿宋_GB2312" w:hAnsi="黑体" w:eastAsia="仿宋_GB2312" w:cs="仿宋_GB2312"/>
          <w:color w:val="auto"/>
          <w:kern w:val="0"/>
          <w:sz w:val="32"/>
          <w:szCs w:val="32"/>
          <w:lang w:val="en-US" w:eastAsia="zh-CN"/>
        </w:rPr>
        <w:t>无差异。</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lang w:val="en-US" w:eastAsia="zh-CN"/>
        </w:rPr>
      </w:pP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五</w:t>
      </w:r>
      <w:r>
        <w:rPr>
          <w:rFonts w:hint="eastAsia" w:ascii="仿宋_GB2312" w:hAnsi="黑体" w:eastAsia="仿宋_GB2312" w:cs="仿宋_GB2312"/>
          <w:color w:val="auto"/>
          <w:kern w:val="0"/>
          <w:sz w:val="32"/>
          <w:szCs w:val="32"/>
          <w:lang w:eastAsia="zh-CN"/>
        </w:rPr>
        <w:t>）灾害防治及应急管理支出（</w:t>
      </w:r>
      <w:r>
        <w:rPr>
          <w:rFonts w:hint="eastAsia" w:ascii="仿宋_GB2312" w:hAnsi="黑体" w:eastAsia="仿宋_GB2312" w:cs="仿宋_GB2312"/>
          <w:color w:val="auto"/>
          <w:kern w:val="0"/>
          <w:sz w:val="32"/>
          <w:szCs w:val="32"/>
          <w:lang w:val="en-US" w:eastAsia="zh-CN"/>
        </w:rPr>
        <w:t>类</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支出决算数为157.68</w:t>
      </w:r>
      <w:r>
        <w:rPr>
          <w:rFonts w:hint="eastAsia" w:ascii="仿宋_GB2312" w:hAnsi="黑体" w:eastAsia="仿宋_GB2312" w:cs="仿宋_GB2312"/>
          <w:color w:val="auto"/>
          <w:kern w:val="0"/>
          <w:sz w:val="32"/>
          <w:szCs w:val="32"/>
          <w:lang w:eastAsia="zh-CN"/>
        </w:rPr>
        <w:t>万元，</w:t>
      </w:r>
      <w:r>
        <w:rPr>
          <w:rFonts w:hint="eastAsia" w:ascii="仿宋_GB2312" w:hAnsi="黑体" w:eastAsia="仿宋_GB2312" w:cs="仿宋_GB2312"/>
          <w:color w:val="auto"/>
          <w:kern w:val="0"/>
          <w:sz w:val="32"/>
          <w:szCs w:val="32"/>
          <w:lang w:val="en-US" w:eastAsia="zh-CN"/>
        </w:rPr>
        <w:t>年初预算数为131.68万元</w:t>
      </w:r>
      <w:r>
        <w:rPr>
          <w:rFonts w:hint="eastAsia" w:ascii="仿宋_GB2312" w:hAnsi="黑体" w:eastAsia="仿宋_GB2312" w:cs="仿宋_GB2312"/>
          <w:kern w:val="0"/>
          <w:sz w:val="32"/>
          <w:szCs w:val="32"/>
          <w:lang w:val="en-US" w:eastAsia="zh-CN"/>
        </w:rPr>
        <w:t>，完成年初预算的119.74%。</w:t>
      </w:r>
      <w:r>
        <w:rPr>
          <w:rFonts w:hint="eastAsia" w:ascii="仿宋_GB2312" w:hAnsi="黑体" w:eastAsia="仿宋_GB2312" w:cs="仿宋_GB2312"/>
          <w:kern w:val="0"/>
          <w:sz w:val="32"/>
          <w:szCs w:val="32"/>
          <w:lang w:eastAsia="zh-CN"/>
        </w:rPr>
        <w:t>主要用于为保证日常运转发生的人员经费基本支出。</w:t>
      </w:r>
      <w:r>
        <w:rPr>
          <w:rFonts w:hint="eastAsia" w:ascii="仿宋_GB2312" w:hAnsi="黑体" w:eastAsia="仿宋_GB2312" w:cs="仿宋_GB2312"/>
          <w:kern w:val="0"/>
          <w:sz w:val="32"/>
          <w:szCs w:val="32"/>
          <w:lang w:val="en-US" w:eastAsia="zh-CN"/>
        </w:rPr>
        <w:t>差异的主要原因是追加人员经费。</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201.48</w:t>
      </w:r>
      <w:r>
        <w:rPr>
          <w:rFonts w:hint="eastAsia" w:ascii="仿宋_GB2312" w:eastAsia="仿宋_GB2312" w:cs="仿宋_GB2312"/>
          <w:kern w:val="0"/>
          <w:sz w:val="32"/>
          <w:szCs w:val="32"/>
        </w:rPr>
        <w:t>万元，支出具体情况如下：</w:t>
      </w:r>
    </w:p>
    <w:p>
      <w:pPr>
        <w:numPr>
          <w:ilvl w:val="0"/>
          <w:numId w:val="2"/>
        </w:numPr>
        <w:autoSpaceDE w:val="0"/>
        <w:autoSpaceDN w:val="0"/>
        <w:adjustRightInd w:val="0"/>
        <w:spacing w:line="560" w:lineRule="exact"/>
        <w:ind w:right="-15" w:rightChars="-7" w:firstLine="640" w:firstLineChars="200"/>
        <w:jc w:val="both"/>
        <w:rPr>
          <w:rFonts w:hint="eastAsia" w:ascii="仿宋_GB2312" w:eastAsia="仿宋_GB2312"/>
          <w:bCs/>
          <w:kern w:val="0"/>
          <w:sz w:val="32"/>
          <w:szCs w:val="32"/>
          <w:lang w:val="en-US" w:eastAsia="zh-CN"/>
        </w:rPr>
      </w:pP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172.79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118.98</w:t>
      </w:r>
      <w:r>
        <w:rPr>
          <w:rFonts w:hint="eastAsia" w:ascii="仿宋_GB2312" w:eastAsia="仿宋_GB2312"/>
          <w:bCs/>
          <w:kern w:val="0"/>
          <w:sz w:val="32"/>
          <w:szCs w:val="32"/>
        </w:rPr>
        <w:t>%。</w:t>
      </w:r>
      <w:r>
        <w:rPr>
          <w:rFonts w:hint="eastAsia" w:ascii="仿宋_GB2312" w:eastAsia="仿宋_GB2312"/>
          <w:bCs/>
          <w:kern w:val="0"/>
          <w:sz w:val="32"/>
          <w:szCs w:val="32"/>
          <w:lang w:val="en-US" w:eastAsia="zh-CN"/>
        </w:rPr>
        <w:t>决算数大于预算数是因为追加绩效工资。</w:t>
      </w:r>
    </w:p>
    <w:p>
      <w:pPr>
        <w:numPr>
          <w:ilvl w:val="0"/>
          <w:numId w:val="2"/>
        </w:numPr>
        <w:autoSpaceDE w:val="0"/>
        <w:autoSpaceDN w:val="0"/>
        <w:adjustRightInd w:val="0"/>
        <w:spacing w:line="560" w:lineRule="exact"/>
        <w:ind w:left="0" w:leftChars="0" w:right="-15" w:rightChars="-7" w:firstLine="640" w:firstLineChars="200"/>
        <w:jc w:val="both"/>
        <w:rPr>
          <w:rFonts w:hint="default" w:ascii="仿宋_GB2312" w:eastAsia="仿宋_GB2312"/>
          <w:bCs/>
          <w:kern w:val="0"/>
          <w:sz w:val="32"/>
          <w:szCs w:val="32"/>
          <w:lang w:val="en-US" w:eastAsia="zh-CN"/>
        </w:rPr>
      </w:pPr>
      <w:r>
        <w:rPr>
          <w:rFonts w:hint="default" w:ascii="仿宋_GB2312" w:eastAsia="仿宋_GB2312"/>
          <w:bCs/>
          <w:kern w:val="0"/>
          <w:sz w:val="32"/>
          <w:szCs w:val="32"/>
          <w:lang w:val="en-US" w:eastAsia="zh-CN"/>
        </w:rPr>
        <w:t>商品和服务支出决算数为</w:t>
      </w:r>
      <w:r>
        <w:rPr>
          <w:rFonts w:hint="eastAsia" w:ascii="仿宋_GB2312" w:eastAsia="仿宋_GB2312"/>
          <w:bCs/>
          <w:kern w:val="0"/>
          <w:sz w:val="32"/>
          <w:szCs w:val="32"/>
          <w:lang w:val="en-US" w:eastAsia="zh-CN"/>
        </w:rPr>
        <w:t>23.72</w:t>
      </w:r>
      <w:r>
        <w:rPr>
          <w:rFonts w:hint="default" w:ascii="仿宋_GB2312" w:eastAsia="仿宋_GB2312"/>
          <w:bCs/>
          <w:kern w:val="0"/>
          <w:sz w:val="32"/>
          <w:szCs w:val="32"/>
          <w:lang w:val="en-US" w:eastAsia="zh-CN"/>
        </w:rPr>
        <w:t>万元，</w:t>
      </w:r>
      <w:r>
        <w:rPr>
          <w:rFonts w:hint="eastAsia" w:ascii="仿宋_GB2312" w:eastAsia="仿宋_GB2312"/>
          <w:bCs/>
          <w:kern w:val="0"/>
          <w:sz w:val="32"/>
          <w:szCs w:val="32"/>
          <w:lang w:val="en-US" w:eastAsia="zh-CN"/>
        </w:rPr>
        <w:t>完成年初预算数的93.93</w:t>
      </w:r>
      <w:r>
        <w:rPr>
          <w:rFonts w:hint="default" w:ascii="仿宋_GB2312" w:eastAsia="仿宋_GB2312"/>
          <w:bCs/>
          <w:kern w:val="0"/>
          <w:sz w:val="32"/>
          <w:szCs w:val="32"/>
          <w:lang w:val="en-US" w:eastAsia="zh-CN"/>
        </w:rPr>
        <w:t>%。</w:t>
      </w:r>
      <w:r>
        <w:rPr>
          <w:rFonts w:hint="eastAsia" w:ascii="仿宋_GB2312" w:eastAsia="仿宋_GB2312"/>
          <w:bCs/>
          <w:kern w:val="0"/>
          <w:sz w:val="32"/>
          <w:szCs w:val="32"/>
          <w:lang w:val="en-US" w:eastAsia="zh-CN"/>
        </w:rPr>
        <w:t>决算数小于预算数是因为压减预算。</w:t>
      </w:r>
    </w:p>
    <w:p>
      <w:pPr>
        <w:numPr>
          <w:ilvl w:val="0"/>
          <w:numId w:val="2"/>
        </w:numPr>
        <w:autoSpaceDE w:val="0"/>
        <w:autoSpaceDN w:val="0"/>
        <w:adjustRightInd w:val="0"/>
        <w:spacing w:line="560" w:lineRule="exact"/>
        <w:ind w:left="0" w:leftChars="0" w:right="-15" w:rightChars="-7" w:firstLine="640" w:firstLineChars="200"/>
        <w:jc w:val="both"/>
        <w:rPr>
          <w:rFonts w:hint="eastAsia" w:ascii="仿宋_GB2312" w:eastAsia="仿宋_GB2312"/>
          <w:bCs/>
          <w:kern w:val="0"/>
          <w:sz w:val="32"/>
          <w:szCs w:val="32"/>
          <w:lang w:val="en-US" w:eastAsia="zh-CN"/>
        </w:rPr>
      </w:pPr>
      <w:r>
        <w:rPr>
          <w:rFonts w:hint="default" w:ascii="仿宋_GB2312" w:eastAsia="仿宋_GB2312"/>
          <w:bCs/>
          <w:kern w:val="0"/>
          <w:sz w:val="32"/>
          <w:szCs w:val="32"/>
          <w:lang w:val="en-US" w:eastAsia="zh-CN"/>
        </w:rPr>
        <w:t>对个人和家庭的补助支出决算数为</w:t>
      </w:r>
      <w:r>
        <w:rPr>
          <w:rFonts w:hint="eastAsia" w:ascii="仿宋_GB2312" w:eastAsia="仿宋_GB2312"/>
          <w:bCs/>
          <w:kern w:val="0"/>
          <w:sz w:val="32"/>
          <w:szCs w:val="32"/>
          <w:lang w:val="en-US" w:eastAsia="zh-CN"/>
        </w:rPr>
        <w:t>4.97</w:t>
      </w:r>
      <w:r>
        <w:rPr>
          <w:rFonts w:hint="default" w:ascii="仿宋_GB2312" w:eastAsia="仿宋_GB2312"/>
          <w:bCs/>
          <w:kern w:val="0"/>
          <w:sz w:val="32"/>
          <w:szCs w:val="32"/>
          <w:lang w:val="en-US" w:eastAsia="zh-CN"/>
        </w:rPr>
        <w:t>万元，</w:t>
      </w:r>
      <w:r>
        <w:rPr>
          <w:rFonts w:hint="eastAsia" w:ascii="仿宋_GB2312" w:eastAsia="仿宋_GB2312"/>
          <w:bCs/>
          <w:kern w:val="0"/>
          <w:sz w:val="32"/>
          <w:szCs w:val="32"/>
          <w:lang w:val="en-US" w:eastAsia="zh-CN"/>
        </w:rPr>
        <w:t>完成年初预算数的100%。无差异。</w:t>
      </w:r>
    </w:p>
    <w:p>
      <w:pPr>
        <w:numPr>
          <w:ilvl w:val="0"/>
          <w:numId w:val="0"/>
        </w:num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kern w:val="0"/>
          <w:sz w:val="32"/>
          <w:szCs w:val="32"/>
          <w:lang w:eastAsia="zh-CN"/>
        </w:rPr>
      </w:pPr>
      <w:r>
        <w:rPr>
          <w:rFonts w:hint="eastAsia" w:ascii="仿宋_GB2312" w:hAnsi="Times New Roman" w:eastAsia="仿宋_GB2312" w:cs="仿宋_GB2312"/>
          <w:kern w:val="0"/>
          <w:sz w:val="32"/>
          <w:szCs w:val="32"/>
        </w:rPr>
        <w:t>本部门无</w:t>
      </w:r>
      <w:r>
        <w:rPr>
          <w:rFonts w:hint="eastAsia" w:ascii="仿宋_GB2312" w:hAnsi="Times New Roman" w:eastAsia="仿宋_GB2312" w:cs="仿宋_GB2312"/>
          <w:kern w:val="0"/>
          <w:sz w:val="32"/>
          <w:szCs w:val="32"/>
          <w:lang w:val="en-US" w:eastAsia="zh-CN"/>
        </w:rPr>
        <w:t>政府性基金</w:t>
      </w:r>
      <w:r>
        <w:rPr>
          <w:rFonts w:hint="eastAsia" w:ascii="仿宋_GB2312" w:hAnsi="Times New Roman" w:eastAsia="仿宋_GB2312" w:cs="仿宋_GB2312"/>
          <w:kern w:val="0"/>
          <w:sz w:val="32"/>
          <w:szCs w:val="32"/>
        </w:rPr>
        <w:t>支出</w:t>
      </w:r>
      <w:r>
        <w:rPr>
          <w:rFonts w:hint="eastAsia" w:ascii="仿宋_GB2312" w:hAnsi="Times New Roman" w:eastAsia="仿宋_GB2312" w:cs="仿宋_GB2312"/>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right="-15" w:rightChars="-7" w:firstLine="640" w:firstLineChars="200"/>
        <w:jc w:val="both"/>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本部门无</w:t>
      </w:r>
      <w:r>
        <w:rPr>
          <w:rFonts w:hint="eastAsia" w:ascii="仿宋_GB2312" w:hAnsi="Times New Roman" w:eastAsia="仿宋_GB2312" w:cs="Times New Roman"/>
          <w:sz w:val="32"/>
          <w:szCs w:val="32"/>
          <w:lang w:val="en-US" w:eastAsia="zh-CN"/>
        </w:rPr>
        <w:t>国有资本经验预算</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eastAsia="zh-CN"/>
        </w:rPr>
        <w:t>。</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kern w:val="0"/>
          <w:sz w:val="32"/>
          <w:szCs w:val="32"/>
          <w:lang w:val="en-US" w:eastAsia="zh-CN"/>
        </w:rPr>
        <w:t>0.44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16.92</w:t>
      </w:r>
      <w:r>
        <w:rPr>
          <w:rFonts w:hint="eastAsia" w:ascii="仿宋_GB2312" w:eastAsia="仿宋_GB2312" w:cs="仿宋_GB2312"/>
          <w:kern w:val="0"/>
          <w:sz w:val="32"/>
          <w:szCs w:val="32"/>
        </w:rPr>
        <w:t>%，</w:t>
      </w:r>
      <w:r>
        <w:rPr>
          <w:rFonts w:hint="eastAsia" w:ascii="仿宋_GB2312" w:eastAsia="仿宋_GB2312"/>
          <w:bCs/>
          <w:kern w:val="0"/>
          <w:sz w:val="32"/>
          <w:szCs w:val="32"/>
          <w:lang w:val="en-US" w:eastAsia="zh-CN"/>
        </w:rPr>
        <w:t>较2021年增加0.33万元，增长300%。</w:t>
      </w:r>
      <w:r>
        <w:rPr>
          <w:rFonts w:hint="eastAsia" w:ascii="仿宋_GB2312" w:eastAsia="仿宋_GB2312" w:cs="仿宋_GB2312"/>
          <w:color w:val="auto"/>
          <w:kern w:val="0"/>
          <w:sz w:val="32"/>
          <w:szCs w:val="32"/>
        </w:rPr>
        <w:t>其中：因公出国（境</w:t>
      </w:r>
      <w:r>
        <w:rPr>
          <w:rFonts w:hint="eastAsia" w:ascii="仿宋_GB2312" w:eastAsia="仿宋_GB2312" w:cs="仿宋_GB2312"/>
          <w:kern w:val="0"/>
          <w:sz w:val="32"/>
          <w:szCs w:val="32"/>
        </w:rPr>
        <w:t>）费支出决算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0.44</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该单位无出国计划。</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right="-15" w:rightChars="-7" w:firstLine="640" w:firstLineChars="200"/>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kern w:val="0"/>
          <w:sz w:val="32"/>
          <w:szCs w:val="32"/>
        </w:rPr>
        <w:t>公务</w:t>
      </w:r>
      <w:r>
        <w:rPr>
          <w:rFonts w:hint="eastAsia" w:ascii="仿宋_GB2312" w:eastAsia="仿宋_GB2312" w:cs="仿宋_GB2312"/>
          <w:color w:val="auto"/>
          <w:kern w:val="0"/>
          <w:sz w:val="32"/>
          <w:szCs w:val="32"/>
        </w:rPr>
        <w:t>用车购置支出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100</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val="en-US" w:eastAsia="zh-CN"/>
        </w:rPr>
        <w:t>与上年度持平。该单位无购车计划。</w:t>
      </w:r>
    </w:p>
    <w:p>
      <w:pPr>
        <w:autoSpaceDE w:val="0"/>
        <w:autoSpaceDN w:val="0"/>
        <w:adjustRightInd w:val="0"/>
        <w:spacing w:line="560" w:lineRule="exact"/>
        <w:ind w:right="-15" w:rightChars="-7" w:firstLine="640" w:firstLineChars="200"/>
        <w:jc w:val="both"/>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公务用车运行支出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100</w:t>
      </w:r>
      <w:r>
        <w:rPr>
          <w:rFonts w:hint="eastAsia" w:ascii="仿宋_GB2312" w:eastAsia="仿宋_GB2312" w:cs="仿宋_GB2312"/>
          <w:color w:val="auto"/>
          <w:kern w:val="0"/>
          <w:sz w:val="32"/>
          <w:szCs w:val="32"/>
        </w:rPr>
        <w:t>%，该单位</w:t>
      </w:r>
      <w:r>
        <w:rPr>
          <w:rFonts w:hint="eastAsia" w:ascii="仿宋_GB2312" w:eastAsia="仿宋_GB2312" w:cs="仿宋_GB2312"/>
          <w:color w:val="auto"/>
          <w:kern w:val="0"/>
          <w:sz w:val="32"/>
          <w:szCs w:val="32"/>
          <w:lang w:val="en-US" w:eastAsia="zh-CN"/>
        </w:rPr>
        <w:t>无公务车辆</w:t>
      </w:r>
      <w:r>
        <w:rPr>
          <w:rFonts w:hint="eastAsia" w:ascii="仿宋_GB2312" w:hAnsi="黑体" w:eastAsia="仿宋_GB2312"/>
          <w:bCs/>
          <w:color w:val="auto"/>
          <w:sz w:val="32"/>
          <w:szCs w:val="32"/>
        </w:rPr>
        <w:t>。</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color w:val="auto"/>
          <w:kern w:val="0"/>
          <w:sz w:val="32"/>
          <w:szCs w:val="32"/>
        </w:rPr>
        <w:t>（三）公务接待费支出</w:t>
      </w:r>
      <w:r>
        <w:rPr>
          <w:rFonts w:hint="eastAsia" w:ascii="仿宋_GB2312" w:eastAsia="仿宋_GB2312" w:cs="仿宋_GB2312"/>
          <w:color w:val="auto"/>
          <w:kern w:val="0"/>
          <w:sz w:val="32"/>
          <w:szCs w:val="32"/>
          <w:lang w:val="en-US" w:eastAsia="zh-CN"/>
        </w:rPr>
        <w:t>0.44</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16.92</w:t>
      </w:r>
      <w:r>
        <w:rPr>
          <w:rFonts w:hint="eastAsia" w:ascii="仿宋_GB2312" w:eastAsia="仿宋_GB2312" w:cs="仿宋_GB2312"/>
          <w:color w:val="auto"/>
          <w:kern w:val="0"/>
          <w:sz w:val="32"/>
          <w:szCs w:val="32"/>
        </w:rPr>
        <w:t>%，</w:t>
      </w:r>
      <w:r>
        <w:rPr>
          <w:rFonts w:hint="eastAsia" w:ascii="仿宋_GB2312" w:eastAsia="仿宋_GB2312"/>
          <w:bCs/>
          <w:kern w:val="0"/>
          <w:sz w:val="32"/>
          <w:szCs w:val="32"/>
          <w:lang w:val="en-US" w:eastAsia="zh-CN"/>
        </w:rPr>
        <w:t>较2021年增加0.33万元，增长300%，增长原因为该单位加强与兄弟单位工作往来。国内公务接待批次2次，人次15次，国（境）外公务接待批次0次，人次0次。</w:t>
      </w:r>
    </w:p>
    <w:p>
      <w:pPr>
        <w:autoSpaceDE w:val="0"/>
        <w:autoSpaceDN w:val="0"/>
        <w:adjustRightInd w:val="0"/>
        <w:spacing w:line="560" w:lineRule="exact"/>
        <w:ind w:right="-15" w:rightChars="-7" w:firstLine="627" w:firstLineChars="196"/>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right="-15" w:rightChars="-7"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（一）机关运行经费支出情况说明。</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color w:val="auto"/>
          <w:kern w:val="0"/>
          <w:sz w:val="32"/>
          <w:szCs w:val="32"/>
          <w:lang w:eastAsia="zh-CN"/>
        </w:rPr>
      </w:pPr>
      <w:r>
        <w:rPr>
          <w:rFonts w:hint="eastAsia" w:ascii="仿宋_GB2312" w:hAnsi="Times New Roman" w:eastAsia="仿宋_GB2312" w:cs="仿宋_GB2312"/>
          <w:color w:val="auto"/>
          <w:kern w:val="0"/>
          <w:sz w:val="32"/>
          <w:szCs w:val="32"/>
        </w:rPr>
        <w:t>本部门无机关运行经费支出</w:t>
      </w:r>
      <w:r>
        <w:rPr>
          <w:rFonts w:hint="eastAsia" w:ascii="仿宋_GB2312" w:hAnsi="Times New Roman" w:eastAsia="仿宋_GB2312" w:cs="仿宋_GB2312"/>
          <w:color w:val="auto"/>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hAnsi="Times New Roman" w:eastAsia="仿宋_GB2312" w:cs="仿宋_GB2312"/>
          <w:color w:val="auto"/>
          <w:kern w:val="0"/>
          <w:sz w:val="32"/>
          <w:szCs w:val="32"/>
        </w:rPr>
        <w:t>本部门无</w:t>
      </w:r>
      <w:r>
        <w:rPr>
          <w:rFonts w:hint="eastAsia" w:ascii="仿宋_GB2312" w:hAnsi="Times New Roman" w:eastAsia="仿宋_GB2312" w:cs="仿宋_GB2312"/>
          <w:color w:val="auto"/>
          <w:kern w:val="0"/>
          <w:sz w:val="32"/>
          <w:szCs w:val="32"/>
          <w:lang w:val="en-US" w:eastAsia="zh-CN"/>
        </w:rPr>
        <w:t>政府采购支出</w:t>
      </w:r>
      <w:r>
        <w:rPr>
          <w:rFonts w:hint="eastAsia" w:ascii="仿宋_GB2312" w:hAnsi="Times New Roman" w:eastAsia="仿宋_GB2312" w:cs="仿宋_GB2312"/>
          <w:color w:val="auto"/>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截至</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年12月31日，本部门共有车辆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辆，其中：副部（省）级领导干部用车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辆、机要通信用车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辆、应急保障用车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辆、特种专业技术用车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辆；单位价值50万元以上通用设备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台（套）；单位价值100万元以上专用设备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w:t>
      </w:r>
    </w:p>
    <w:p>
      <w:pPr>
        <w:autoSpaceDE w:val="0"/>
        <w:autoSpaceDN w:val="0"/>
        <w:adjustRightInd w:val="0"/>
        <w:spacing w:line="560" w:lineRule="exact"/>
        <w:ind w:right="-15" w:rightChars="-7"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kern w:val="0"/>
          <w:sz w:val="32"/>
          <w:szCs w:val="32"/>
          <w:lang w:eastAsia="zh-CN"/>
        </w:rPr>
      </w:pPr>
      <w:r>
        <w:rPr>
          <w:rFonts w:hint="eastAsia" w:ascii="仿宋_GB2312" w:hAnsi="Times New Roman" w:eastAsia="仿宋_GB2312" w:cs="仿宋_GB2312"/>
          <w:kern w:val="0"/>
          <w:sz w:val="32"/>
          <w:szCs w:val="32"/>
        </w:rPr>
        <w:t>本部门未开展预算绩效管理工作</w:t>
      </w:r>
      <w:r>
        <w:rPr>
          <w:rFonts w:hint="eastAsia" w:ascii="仿宋_GB2312" w:hAnsi="Times New Roman" w:eastAsia="仿宋_GB2312" w:cs="仿宋_GB2312"/>
          <w:kern w:val="0"/>
          <w:sz w:val="32"/>
          <w:szCs w:val="32"/>
          <w:lang w:eastAsia="zh-CN"/>
        </w:rPr>
        <w:t>。</w:t>
      </w:r>
    </w:p>
    <w:p>
      <w:pPr>
        <w:pStyle w:val="2"/>
        <w:rPr>
          <w:rFonts w:hint="eastAsia" w:ascii="仿宋_GB2312" w:hAnsi="Times New Roman" w:eastAsia="仿宋_GB2312" w:cs="仿宋_GB2312"/>
          <w:kern w:val="0"/>
          <w:sz w:val="32"/>
          <w:szCs w:val="32"/>
          <w:lang w:eastAsia="zh-CN"/>
        </w:rPr>
      </w:pPr>
    </w:p>
    <w:p>
      <w:pPr>
        <w:pStyle w:val="2"/>
        <w:rPr>
          <w:rFonts w:hint="eastAsia" w:ascii="仿宋_GB2312" w:hAnsi="Times New Roman" w:eastAsia="仿宋_GB2312" w:cs="仿宋_GB2312"/>
          <w:kern w:val="0"/>
          <w:sz w:val="32"/>
          <w:szCs w:val="32"/>
          <w:lang w:eastAsia="zh-CN"/>
        </w:rPr>
      </w:pPr>
    </w:p>
    <w:p>
      <w:pPr>
        <w:autoSpaceDE w:val="0"/>
        <w:autoSpaceDN w:val="0"/>
        <w:adjustRightInd w:val="0"/>
        <w:spacing w:line="560" w:lineRule="exact"/>
        <w:jc w:val="both"/>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十二、“三公”经费：纳入自治区财政预决算管理的“三公”经费，是指自治区本级各部门用财政拨款安排的因公出国（境）费、公务用车购置及运行费和公务接待费。其中</w:t>
      </w:r>
      <w:r>
        <w:rPr>
          <w:rFonts w:hint="eastAsia" w:ascii="仿宋_GB2312" w:eastAsia="仿宋_GB2312"/>
          <w:sz w:val="32"/>
          <w:szCs w:val="32"/>
          <w:lang w:eastAsia="zh-CN"/>
        </w:rPr>
        <w:t>：</w:t>
      </w:r>
      <w:r>
        <w:rPr>
          <w:rFonts w:hint="eastAsia" w:ascii="仿宋_GB2312" w:eastAsia="仿宋_GB2312"/>
          <w:sz w:val="32"/>
          <w:szCs w:val="32"/>
        </w:rPr>
        <w:t xml:space="preserve">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仿宋_GB2312" w:eastAsia="仿宋_GB2312"/>
          <w:b/>
          <w:sz w:val="32"/>
          <w:szCs w:val="32"/>
        </w:rPr>
        <w:sectPr>
          <w:footerReference r:id="rId3" w:type="default"/>
          <w:footerReference r:id="rId4" w:type="even"/>
          <w:pgSz w:w="11906" w:h="16838"/>
          <w:pgMar w:top="1701" w:right="1474" w:bottom="1247" w:left="1587" w:header="851" w:footer="992" w:gutter="0"/>
          <w:cols w:space="720" w:num="1"/>
          <w:docGrid w:type="lines" w:linePitch="312" w:charSpace="0"/>
        </w:sectPr>
      </w:pPr>
      <w:bookmarkStart w:id="0" w:name="_GoBack"/>
      <w:bookmarkEnd w:id="0"/>
    </w:p>
    <w:p>
      <w:pPr>
        <w:rPr>
          <w:rFonts w:hint="eastAsia" w:ascii="黑体" w:hAnsi="黑体" w:eastAsia="黑体" w:cs="仿宋_GB2312"/>
          <w:kern w:val="0"/>
          <w:sz w:val="32"/>
          <w:szCs w:val="32"/>
        </w:rPr>
      </w:pPr>
    </w:p>
    <w:p/>
    <w:sectPr>
      <w:pgSz w:w="11906" w:h="16838"/>
      <w:pgMar w:top="1701" w:right="1474" w:bottom="124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D0C4C"/>
    <w:multiLevelType w:val="singleLevel"/>
    <w:tmpl w:val="C47D0C4C"/>
    <w:lvl w:ilvl="0" w:tentative="0">
      <w:start w:val="1"/>
      <w:numFmt w:val="chineseCounting"/>
      <w:suff w:val="nothing"/>
      <w:lvlText w:val="（%1）"/>
      <w:lvlJc w:val="left"/>
      <w:rPr>
        <w:rFonts w:hint="eastAsia"/>
      </w:rPr>
    </w:lvl>
  </w:abstractNum>
  <w:abstractNum w:abstractNumId="1">
    <w:nsid w:val="32CF8B0A"/>
    <w:multiLevelType w:val="singleLevel"/>
    <w:tmpl w:val="32CF8B0A"/>
    <w:lvl w:ilvl="0" w:tentative="0">
      <w:start w:val="1"/>
      <w:numFmt w:val="chineseCounting"/>
      <w:suff w:val="nothing"/>
      <w:lvlText w:val="（%1）"/>
      <w:lvlJc w:val="left"/>
      <w:pPr>
        <w:ind w:left="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Tc0YTdkZDczNjU0OGUyOWZmNTIzZTNhMjdiNjYifQ=="/>
  </w:docVars>
  <w:rsids>
    <w:rsidRoot w:val="01963748"/>
    <w:rsid w:val="0196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2023-08-14T07:48:00Z</dcterms:created>
  <dc:creator>思~</dc:creator>
  <cp:lastModifiedBy>思~</cp:lastModifiedBy>
  <dcterms:modified xsi:type="dcterms:W3CDTF">2023-08-14T08:12:44Z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335198B4042B4CDC9A676F53B7A6DFB8_11</vt:lpwstr>
  </property>
</Properties>
</file>