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附件1</w:t>
      </w:r>
    </w:p>
    <w:p>
      <w:pPr>
        <w:rPr>
          <w:rFonts w:hint="eastAsia" w:ascii="黑体" w:eastAsia="黑体" w:cs="ArialUnicodeMS"/>
          <w:kern w:val="0"/>
          <w:sz w:val="72"/>
          <w:szCs w:val="72"/>
        </w:rPr>
      </w:pPr>
    </w:p>
    <w:p>
      <w:pPr>
        <w:pStyle w:val="2"/>
        <w:rPr>
          <w:rFonts w:hint="eastAsia" w:ascii="黑体" w:eastAsia="黑体" w:cs="ArialUnicodeMS"/>
          <w:kern w:val="0"/>
          <w:sz w:val="72"/>
          <w:szCs w:val="72"/>
        </w:rPr>
      </w:pPr>
    </w:p>
    <w:p>
      <w:pPr>
        <w:pStyle w:val="2"/>
        <w:rPr>
          <w:rFonts w:hint="eastAsia" w:ascii="黑体" w:eastAsia="黑体" w:cs="ArialUnicodeMS"/>
          <w:kern w:val="0"/>
          <w:sz w:val="72"/>
          <w:szCs w:val="72"/>
        </w:rPr>
      </w:pPr>
    </w:p>
    <w:p>
      <w:pPr>
        <w:pStyle w:val="2"/>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default" w:ascii="方正小标宋简体" w:hAnsi="黑体" w:eastAsia="方正小标宋简体"/>
          <w:bCs/>
          <w:color w:val="000000"/>
          <w:sz w:val="48"/>
          <w:szCs w:val="48"/>
          <w:lang w:val="en-US" w:eastAsia="zh-CN"/>
        </w:rPr>
      </w:pPr>
      <w:r>
        <w:rPr>
          <w:rFonts w:hint="eastAsia" w:ascii="方正小标宋简体" w:eastAsia="方正小标宋简体" w:cs="ArialUnicodeMS"/>
          <w:kern w:val="0"/>
          <w:sz w:val="48"/>
          <w:szCs w:val="48"/>
        </w:rPr>
        <w:t>广西壮</w:t>
      </w:r>
      <w:r>
        <w:rPr>
          <w:rFonts w:hint="eastAsia" w:ascii="方正小标宋简体" w:eastAsia="方正小标宋简体" w:cs="ArialUnicodeMS"/>
          <w:kern w:val="0"/>
          <w:sz w:val="48"/>
          <w:szCs w:val="48"/>
          <w:u w:val="none"/>
        </w:rPr>
        <w:t>族自治区</w:t>
      </w:r>
      <w:r>
        <w:rPr>
          <w:rFonts w:hint="eastAsia" w:ascii="方正小标宋简体" w:hAnsi="黑体" w:eastAsia="方正小标宋简体"/>
          <w:bCs/>
          <w:color w:val="000000"/>
          <w:sz w:val="48"/>
          <w:szCs w:val="48"/>
          <w:u w:val="none"/>
          <w:lang w:val="en-US" w:eastAsia="zh-CN"/>
        </w:rPr>
        <w:t>安全生产检验检测中心</w:t>
      </w:r>
    </w:p>
    <w:p>
      <w:pPr>
        <w:jc w:val="center"/>
        <w:rPr>
          <w:rFonts w:hint="eastAsia" w:ascii="方正小标宋简体" w:eastAsia="方正小标宋简体" w:cs="ArialUnicodeMS"/>
          <w:kern w:val="0"/>
          <w:sz w:val="48"/>
          <w:szCs w:val="48"/>
        </w:rPr>
      </w:pPr>
      <w:r>
        <w:rPr>
          <w:rFonts w:hint="eastAsia" w:ascii="方正小标宋简体" w:eastAsia="方正小标宋简体"/>
          <w:kern w:val="0"/>
          <w:sz w:val="48"/>
          <w:szCs w:val="48"/>
        </w:rPr>
        <w:t>2022</w:t>
      </w:r>
      <w:r>
        <w:rPr>
          <w:rFonts w:hint="eastAsia" w:ascii="方正小标宋简体" w:eastAsia="方正小标宋简体" w:cs="ArialUnicodeMS"/>
          <w:kern w:val="0"/>
          <w:sz w:val="48"/>
          <w:szCs w:val="48"/>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both"/>
        <w:rPr>
          <w:rFonts w:hint="eastAsia" w:ascii="黑体" w:eastAsia="黑体" w:cs="黑体"/>
          <w:kern w:val="0"/>
          <w:sz w:val="44"/>
          <w:szCs w:val="44"/>
        </w:rPr>
      </w:pPr>
    </w:p>
    <w:p>
      <w:pPr>
        <w:ind w:firstLine="646"/>
        <w:jc w:val="center"/>
        <w:rPr>
          <w:rFonts w:hint="eastAsia" w:ascii="方正小标宋简体" w:eastAsia="方正小标宋简体"/>
          <w:b/>
          <w:sz w:val="44"/>
          <w:szCs w:val="44"/>
        </w:rPr>
        <w:sectPr>
          <w:footerReference r:id="rId3" w:type="default"/>
          <w:pgSz w:w="11906" w:h="16838"/>
          <w:pgMar w:top="1440" w:right="1474" w:bottom="1440" w:left="1797" w:header="851" w:footer="992" w:gutter="0"/>
          <w:cols w:space="720" w:num="1"/>
          <w:docGrid w:type="lines" w:linePitch="312" w:charSpace="0"/>
        </w:sectPr>
      </w:pPr>
    </w:p>
    <w:p>
      <w:pPr>
        <w:ind w:firstLine="646"/>
        <w:jc w:val="center"/>
        <w:rPr>
          <w:rFonts w:hint="eastAsia" w:ascii="方正小标宋简体" w:eastAsia="方正小标宋简体"/>
          <w:b/>
          <w:sz w:val="44"/>
          <w:szCs w:val="44"/>
        </w:rPr>
      </w:pPr>
      <w:bookmarkStart w:id="0" w:name="_GoBack"/>
      <w:bookmarkEnd w:id="0"/>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广西壮族自治区安全生产检验检测中心</w:t>
      </w:r>
      <w:r>
        <w:rPr>
          <w:rFonts w:hint="eastAsia" w:ascii="黑体" w:hAnsi="黑体" w:eastAsia="黑体"/>
          <w:sz w:val="32"/>
          <w:szCs w:val="32"/>
        </w:rPr>
        <w:t>概况</w:t>
      </w:r>
    </w:p>
    <w:p>
      <w:pPr>
        <w:ind w:firstLine="645"/>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本部门职责</w:t>
      </w:r>
    </w:p>
    <w:p>
      <w:pPr>
        <w:ind w:firstLine="645"/>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机构设置情况</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rPr>
        <w:t>广西壮族自治区安全生产检验检测中心</w:t>
      </w:r>
      <w:r>
        <w:rPr>
          <w:rFonts w:hint="eastAsia" w:ascii="黑体" w:hAnsi="黑体" w:eastAsia="黑体"/>
          <w:sz w:val="32"/>
          <w:szCs w:val="32"/>
        </w:rPr>
        <w:t>2022年度部门决算报表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表六：一般公共预算财政拨款基本支出决算明细表</w:t>
      </w:r>
    </w:p>
    <w:p>
      <w:pPr>
        <w:ind w:left="645"/>
        <w:rPr>
          <w:rFonts w:hint="eastAsia"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表九：财政拨款安排的“三公”经费支出决算表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rPr>
        <w:t>广西壮族自治区安全生产检验检测中心</w:t>
      </w:r>
      <w:r>
        <w:rPr>
          <w:rFonts w:hint="eastAsia" w:ascii="黑体" w:hAnsi="黑体" w:eastAsia="黑体"/>
          <w:sz w:val="32"/>
          <w:szCs w:val="32"/>
        </w:rPr>
        <w:t>2022年度部门决算情况说明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八、</w:t>
      </w:r>
      <w:r>
        <w:rPr>
          <w:rFonts w:hint="eastAsia" w:ascii="仿宋_GB2312" w:eastAsia="仿宋_GB2312" w:cs="仿宋_GB2312"/>
          <w:kern w:val="0"/>
          <w:sz w:val="32"/>
          <w:szCs w:val="32"/>
        </w:rPr>
        <w:t>预算绩效管理工作开展情况。</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jc w:val="both"/>
        <w:rPr>
          <w:rFonts w:hint="eastAsia" w:ascii="黑体" w:hAnsi="黑体" w:eastAsia="黑体"/>
          <w:sz w:val="32"/>
          <w:szCs w:val="32"/>
        </w:rPr>
        <w:sectPr>
          <w:footerReference r:id="rId4" w:type="default"/>
          <w:pgSz w:w="11906" w:h="16838"/>
          <w:pgMar w:top="1440" w:right="1474" w:bottom="1440" w:left="1797" w:header="851" w:footer="992" w:gutter="0"/>
          <w:pgNumType w:start="1"/>
          <w:cols w:space="720" w:num="1"/>
          <w:docGrid w:type="lines" w:linePitch="312" w:charSpace="0"/>
        </w:sectPr>
      </w:pPr>
    </w:p>
    <w:p>
      <w:pPr>
        <w:jc w:val="both"/>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广西壮族自治区安全生产检验检测中心</w:t>
      </w:r>
      <w:r>
        <w:rPr>
          <w:rFonts w:hint="eastAsia" w:ascii="黑体" w:hAnsi="黑体" w:eastAsia="黑体"/>
          <w:sz w:val="32"/>
          <w:szCs w:val="32"/>
        </w:rPr>
        <w:t>概况</w:t>
      </w:r>
    </w:p>
    <w:p>
      <w:pPr>
        <w:numPr>
          <w:ilvl w:val="0"/>
          <w:numId w:val="1"/>
        </w:numPr>
        <w:ind w:firstLine="646"/>
        <w:rPr>
          <w:rFonts w:hint="eastAsia" w:ascii="黑体" w:hAnsi="黑体" w:eastAsia="黑体"/>
          <w:sz w:val="32"/>
          <w:szCs w:val="32"/>
          <w:lang w:eastAsia="zh-CN"/>
        </w:rPr>
      </w:pPr>
      <w:r>
        <w:rPr>
          <w:rFonts w:hint="eastAsia" w:ascii="黑体" w:hAnsi="黑体" w:eastAsia="黑体"/>
          <w:sz w:val="32"/>
          <w:szCs w:val="32"/>
          <w:lang w:eastAsia="zh-CN"/>
        </w:rPr>
        <w:t>本部门职责</w:t>
      </w:r>
    </w:p>
    <w:p>
      <w:pPr>
        <w:autoSpaceDE w:val="0"/>
        <w:autoSpaceDN w:val="0"/>
        <w:adjustRightInd w:val="0"/>
        <w:ind w:firstLine="640" w:firstLineChars="200"/>
        <w:jc w:val="both"/>
        <w:rPr>
          <w:rFonts w:hint="eastAsia" w:ascii="黑体" w:hAnsi="黑体" w:eastAsia="黑体"/>
          <w:sz w:val="32"/>
          <w:szCs w:val="32"/>
          <w:lang w:eastAsia="zh-CN"/>
        </w:rPr>
      </w:pPr>
      <w:r>
        <w:rPr>
          <w:rFonts w:hint="eastAsia" w:ascii="仿宋_GB2312" w:hAnsi="Times New Roman" w:eastAsia="仿宋_GB2312" w:cs="仿宋_GB2312"/>
          <w:kern w:val="0"/>
          <w:sz w:val="32"/>
          <w:szCs w:val="32"/>
          <w:highlight w:val="none"/>
        </w:rPr>
        <w:t>我</w:t>
      </w:r>
      <w:r>
        <w:rPr>
          <w:rFonts w:hint="eastAsia" w:ascii="仿宋_GB2312" w:hAnsi="Times New Roman" w:eastAsia="仿宋_GB2312" w:cs="仿宋_GB2312"/>
          <w:kern w:val="0"/>
          <w:sz w:val="32"/>
          <w:szCs w:val="32"/>
          <w:highlight w:val="none"/>
          <w:lang w:val="en-US" w:eastAsia="zh-CN"/>
        </w:rPr>
        <w:t>中心</w:t>
      </w:r>
      <w:r>
        <w:rPr>
          <w:rFonts w:hint="eastAsia" w:ascii="仿宋_GB2312" w:hAnsi="Times New Roman" w:eastAsia="仿宋_GB2312" w:cs="仿宋_GB2312"/>
          <w:kern w:val="0"/>
          <w:sz w:val="32"/>
          <w:szCs w:val="32"/>
          <w:highlight w:val="none"/>
        </w:rPr>
        <w:t>是</w:t>
      </w:r>
      <w:r>
        <w:rPr>
          <w:rFonts w:hint="eastAsia" w:ascii="仿宋_GB2312" w:hAnsi="Times New Roman" w:eastAsia="仿宋_GB2312" w:cs="仿宋_GB2312"/>
          <w:kern w:val="0"/>
          <w:sz w:val="32"/>
          <w:szCs w:val="32"/>
          <w:highlight w:val="none"/>
          <w:lang w:eastAsia="zh-CN"/>
        </w:rPr>
        <w:t>广西壮族自治区应急管理厅</w:t>
      </w:r>
      <w:r>
        <w:rPr>
          <w:rFonts w:hint="eastAsia" w:ascii="仿宋_GB2312" w:hAnsi="Times New Roman" w:eastAsia="仿宋_GB2312" w:cs="仿宋_GB2312"/>
          <w:kern w:val="0"/>
          <w:sz w:val="32"/>
          <w:szCs w:val="32"/>
          <w:highlight w:val="none"/>
        </w:rPr>
        <w:t>直属管理的全额拨款的</w:t>
      </w:r>
      <w:r>
        <w:rPr>
          <w:rFonts w:hint="eastAsia" w:ascii="仿宋_GB2312" w:hAnsi="Times New Roman" w:eastAsia="仿宋_GB2312" w:cs="仿宋_GB2312"/>
          <w:kern w:val="0"/>
          <w:sz w:val="32"/>
          <w:szCs w:val="32"/>
          <w:highlight w:val="none"/>
          <w:lang w:eastAsia="zh-CN"/>
        </w:rPr>
        <w:t>公益</w:t>
      </w:r>
      <w:r>
        <w:rPr>
          <w:rFonts w:hint="eastAsia" w:ascii="仿宋_GB2312" w:hAnsi="Times New Roman" w:eastAsia="仿宋_GB2312" w:cs="仿宋_GB2312"/>
          <w:kern w:val="0"/>
          <w:sz w:val="32"/>
          <w:szCs w:val="32"/>
          <w:highlight w:val="none"/>
        </w:rPr>
        <w:t>二类事业单位，</w:t>
      </w:r>
      <w:r>
        <w:rPr>
          <w:rFonts w:hint="eastAsia" w:ascii="仿宋_GB2312" w:hAnsi="Times New Roman" w:eastAsia="仿宋_GB2312" w:cs="仿宋_GB2312"/>
          <w:kern w:val="0"/>
          <w:sz w:val="32"/>
          <w:szCs w:val="32"/>
          <w:highlight w:val="none"/>
          <w:lang w:eastAsia="zh-CN"/>
        </w:rPr>
        <w:t>经广西壮族自治区市场监督管理局审查获得《检验检测机构资质认定证书》</w:t>
      </w:r>
      <w:r>
        <w:rPr>
          <w:rFonts w:hint="eastAsia" w:ascii="仿宋_GB2312" w:hAnsi="Times New Roman" w:eastAsia="仿宋_GB2312" w:cs="仿宋_GB2312"/>
          <w:kern w:val="0"/>
          <w:sz w:val="32"/>
          <w:szCs w:val="32"/>
          <w:highlight w:val="none"/>
        </w:rPr>
        <w:t>，</w:t>
      </w:r>
      <w:r>
        <w:rPr>
          <w:rFonts w:hint="eastAsia" w:ascii="仿宋_GB2312" w:hAnsi="Times New Roman" w:eastAsia="仿宋_GB2312" w:cs="仿宋_GB2312"/>
          <w:kern w:val="0"/>
          <w:sz w:val="32"/>
          <w:szCs w:val="32"/>
          <w:highlight w:val="none"/>
          <w:lang w:eastAsia="zh-CN"/>
        </w:rPr>
        <w:t>可开展煤炭焦炭及其产品、其他燃料、非金属矿物等成分进行检测分析业务，</w:t>
      </w:r>
      <w:r>
        <w:rPr>
          <w:rFonts w:hint="eastAsia" w:ascii="仿宋_GB2312" w:hAnsi="Times New Roman" w:eastAsia="仿宋_GB2312" w:cs="仿宋_GB2312"/>
          <w:kern w:val="0"/>
          <w:sz w:val="32"/>
          <w:szCs w:val="32"/>
          <w:highlight w:val="none"/>
          <w:lang w:val="en-US" w:eastAsia="zh-CN"/>
        </w:rPr>
        <w:t>并</w:t>
      </w:r>
      <w:r>
        <w:rPr>
          <w:rFonts w:hint="eastAsia" w:ascii="仿宋_GB2312" w:hAnsi="Times New Roman" w:eastAsia="仿宋_GB2312" w:cs="仿宋_GB2312"/>
          <w:kern w:val="0"/>
          <w:sz w:val="32"/>
          <w:szCs w:val="32"/>
          <w:highlight w:val="none"/>
          <w:lang w:eastAsia="zh-CN"/>
        </w:rPr>
        <w:t>出具证明作用的数据和结果；承担安全生产事故预防、鉴定分析、高危行业安全仪表计量检定、企业安全生产标准化考评等技术工作；承担危险化学品、烟花爆竹、工贸行业安全监管技术研究工作；承担危险化学品登记事务性工作；承担资质范围内煤炭产品质量检验的相关工作。</w:t>
      </w:r>
    </w:p>
    <w:p>
      <w:pPr>
        <w:ind w:firstLine="645"/>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机构设置情况</w:t>
      </w:r>
    </w:p>
    <w:p>
      <w:pPr>
        <w:ind w:firstLine="645"/>
        <w:rPr>
          <w:rFonts w:hint="default" w:ascii="仿宋_GB2312" w:hAnsi="Times New Roman" w:eastAsia="仿宋_GB2312" w:cs="Times New Roman"/>
          <w:sz w:val="32"/>
          <w:szCs w:val="32"/>
          <w:lang w:val="en-US" w:eastAsia="zh-CN"/>
        </w:rPr>
      </w:pPr>
      <w:r>
        <w:rPr>
          <w:rFonts w:hint="eastAsia" w:ascii="仿宋_GB2312" w:eastAsia="仿宋_GB2312"/>
          <w:sz w:val="32"/>
          <w:szCs w:val="32"/>
          <w:lang w:val="en-US" w:eastAsia="zh-CN"/>
        </w:rPr>
        <w:t>我中心下设五个职能科室，各科室的基本职能如下：</w:t>
      </w:r>
    </w:p>
    <w:p>
      <w:pPr>
        <w:ind w:firstLine="645"/>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（一）综合办公室</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负责行政文秘、档案管理、后勤管理、党务及单位会计、出纳、劳资等管理工作。</w:t>
      </w:r>
    </w:p>
    <w:p>
      <w:pPr>
        <w:ind w:firstLine="645"/>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（二）检验检测室</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负责资质范围内煤炭产品质量检验及市场业务开拓、业务项目承接、客户服务等工作。</w:t>
      </w:r>
    </w:p>
    <w:p>
      <w:pPr>
        <w:ind w:firstLine="645"/>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（三）广西壮族自治区化学品登记注册办公室</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负责组织、协调本行政区域内危险化学品登记工作；对登记单位申报材料的完整性、规范性、内容一致性进行审查,并指导登记单位进行危险化学品登记工作；建立本行政区域危险化学品登记管理数据库和动态统计分析信息系统</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提供危险化学品事故预防与应急救援信息支持,为化学品事故调查提供应急咨询服务；协助开展登记培训；承担安全生产技术服务工作；承担应急管理部门交办的相关工作。</w:t>
      </w:r>
    </w:p>
    <w:p>
      <w:pPr>
        <w:ind w:firstLine="645"/>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（四）广西安全仪表计量站</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负责资质范围内安全仪表计量检定工作。</w:t>
      </w:r>
    </w:p>
    <w:p>
      <w:pPr>
        <w:ind w:firstLine="645"/>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（五）安全工程技术中心</w:t>
      </w:r>
    </w:p>
    <w:p>
      <w:pPr>
        <w:ind w:firstLine="645"/>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负责资质范围内的安全生产事故预防、鉴定分析、重大危险源监控、企业安全生产标准化考评等技术工作；承担危险化学品、金属非金属矿山、烟花爆竹、工贸行业安全监管技术研究工作；承担安全生产技术服务等工作。</w:t>
      </w:r>
    </w:p>
    <w:p>
      <w:pPr>
        <w:ind w:firstLine="645"/>
        <w:rPr>
          <w:rFonts w:hint="eastAsia" w:ascii="仿宋_GB2312" w:hAnsi="Times New Roman" w:eastAsia="仿宋_GB2312" w:cs="Times New Roman"/>
          <w:sz w:val="32"/>
          <w:szCs w:val="32"/>
          <w:lang w:val="en-US" w:eastAsia="zh-CN"/>
        </w:rPr>
      </w:pPr>
    </w:p>
    <w:p>
      <w:pPr>
        <w:ind w:firstLine="645"/>
        <w:rPr>
          <w:rFonts w:hint="eastAsia" w:ascii="仿宋_GB2312" w:hAnsi="Times New Roman" w:eastAsia="仿宋_GB2312" w:cs="Times New Roman"/>
          <w:sz w:val="32"/>
          <w:szCs w:val="32"/>
          <w:lang w:val="en-US" w:eastAsia="zh-CN"/>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pPr>
    </w:p>
    <w:p>
      <w:pPr>
        <w:jc w:val="center"/>
      </w:pPr>
    </w:p>
    <w:p>
      <w:pPr>
        <w:jc w:val="center"/>
      </w:pPr>
    </w:p>
    <w:p>
      <w:pPr>
        <w:jc w:val="both"/>
        <w:rPr>
          <w:rFonts w:hint="eastAsia" w:ascii="仿宋_GB2312" w:eastAsia="仿宋_GB2312"/>
          <w:b/>
          <w:sz w:val="32"/>
          <w:szCs w:val="32"/>
        </w:rPr>
      </w:pPr>
    </w:p>
    <w:p>
      <w:pPr>
        <w:jc w:val="both"/>
        <w:rPr>
          <w:rFonts w:hint="eastAsia"/>
        </w:rPr>
      </w:pPr>
      <w:r>
        <w:rPr>
          <w:rFonts w:hint="eastAsia" w:ascii="黑体" w:hAnsi="黑体" w:eastAsia="黑体"/>
          <w:sz w:val="32"/>
          <w:szCs w:val="32"/>
        </w:rPr>
        <w:t>第二部分：</w:t>
      </w:r>
      <w:r>
        <w:rPr>
          <w:rFonts w:hint="eastAsia" w:ascii="黑体" w:hAnsi="黑体" w:eastAsia="黑体"/>
          <w:bCs/>
          <w:color w:val="000000"/>
          <w:sz w:val="32"/>
          <w:szCs w:val="32"/>
          <w:u w:val="none"/>
          <w:lang w:val="en-US" w:eastAsia="zh-CN"/>
        </w:rPr>
        <w:t>广西壮族自治区安全生产检验检测中心</w:t>
      </w:r>
      <w:r>
        <w:rPr>
          <w:rFonts w:hint="eastAsia" w:ascii="黑体" w:hAnsi="黑体" w:eastAsia="黑体"/>
          <w:sz w:val="32"/>
          <w:szCs w:val="32"/>
        </w:rPr>
        <w:t>2022年度部门决算报表</w:t>
      </w:r>
    </w:p>
    <w:p>
      <w:pPr>
        <w:ind w:firstLine="645"/>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我中心没有政府性基金预算财政拨款收入，也没有政府性基金预算财政拨款安排的支出，故本表无数据。</w:t>
      </w:r>
    </w:p>
    <w:p>
      <w:pPr>
        <w:ind w:firstLine="645"/>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我中心没有国有资本经营预算财政拨款收入，也没有国有资本经营预算财政拨款安排的支出，故本表无数据。</w:t>
      </w:r>
    </w:p>
    <w:p>
      <w:pPr>
        <w:ind w:firstLine="645"/>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(详见附件</w:t>
      </w: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：广西壮族自治区安全生产检验检测中心2022年决算公开表)</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jc w:val="both"/>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rPr>
        <w:t>广西壮族自治区安全生产检验检测中心</w:t>
      </w:r>
      <w:r>
        <w:rPr>
          <w:rFonts w:hint="eastAsia" w:ascii="黑体" w:hAnsi="黑体" w:eastAsia="黑体"/>
          <w:sz w:val="32"/>
          <w:szCs w:val="32"/>
        </w:rPr>
        <w:t>2022年度部门决算情况说明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（一）本部门2022年度总收入</w:t>
      </w:r>
      <w:r>
        <w:rPr>
          <w:rFonts w:hint="eastAsia" w:ascii="仿宋_GB2312" w:eastAsia="仿宋_GB2312"/>
          <w:kern w:val="0"/>
          <w:sz w:val="32"/>
          <w:szCs w:val="32"/>
          <w:lang w:val="en-US" w:eastAsia="zh-CN"/>
        </w:rPr>
        <w:t>585.98</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565.98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年度决算数增加156.05万元，增长36.3%。</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184.56</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8.96</w:t>
      </w:r>
      <w:r>
        <w:rPr>
          <w:rFonts w:hint="eastAsia" w:ascii="仿宋_GB2312" w:hAnsi="黑体" w:eastAsia="仿宋_GB2312" w:cs="仿宋_GB2312"/>
          <w:kern w:val="0"/>
          <w:sz w:val="32"/>
          <w:szCs w:val="32"/>
        </w:rPr>
        <w:t>万元，下</w:t>
      </w:r>
      <w:r>
        <w:rPr>
          <w:rFonts w:hint="eastAsia" w:ascii="仿宋_GB2312" w:hAnsi="黑体" w:eastAsia="仿宋_GB2312" w:cs="仿宋_GB2312"/>
          <w:kern w:val="0"/>
          <w:sz w:val="32"/>
          <w:szCs w:val="32"/>
          <w:lang w:val="en-US" w:eastAsia="zh-CN"/>
        </w:rPr>
        <w:t>降4.63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2022年初在编在职人员较2021年减少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381.30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185.24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94.48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2022年技术服务收入增加</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0.12</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both"/>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之外取得的收入。如：</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0.04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50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2022年利息收入增加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度决算数增加（减少） 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上年结转和结余</w:t>
      </w:r>
      <w:r>
        <w:rPr>
          <w:rFonts w:hint="eastAsia" w:ascii="仿宋_GB2312" w:eastAsia="仿宋_GB2312"/>
          <w:kern w:val="0"/>
          <w:sz w:val="32"/>
          <w:szCs w:val="32"/>
          <w:highlight w:val="none"/>
          <w:lang w:val="en-US" w:eastAsia="zh-CN"/>
        </w:rPr>
        <w:t>20.01</w:t>
      </w:r>
      <w:r>
        <w:rPr>
          <w:rFonts w:hint="eastAsia" w:ascii="仿宋_GB2312" w:eastAsia="仿宋_GB2312" w:cs="仿宋_GB2312"/>
          <w:kern w:val="0"/>
          <w:sz w:val="32"/>
          <w:szCs w:val="32"/>
          <w:highlight w:val="none"/>
        </w:rPr>
        <w:t>万元，为以前年度支出预算因客观条件变化未执行完毕、结转到本年度按有关规定继续使用的资金。</w:t>
      </w:r>
      <w:r>
        <w:rPr>
          <w:rFonts w:hint="eastAsia" w:ascii="仿宋_GB2312" w:hAnsi="黑体" w:eastAsia="仿宋_GB2312" w:cs="仿宋_GB2312"/>
          <w:kern w:val="0"/>
          <w:sz w:val="32"/>
          <w:szCs w:val="32"/>
          <w:highlight w:val="none"/>
        </w:rPr>
        <w:t>较</w:t>
      </w:r>
      <w:r>
        <w:rPr>
          <w:rFonts w:hint="eastAsia" w:ascii="仿宋_GB2312" w:hAnsi="黑体" w:eastAsia="仿宋_GB2312" w:cs="仿宋_GB2312"/>
          <w:kern w:val="0"/>
          <w:sz w:val="32"/>
          <w:szCs w:val="32"/>
          <w:highlight w:val="none"/>
          <w:lang w:eastAsia="zh-CN"/>
        </w:rPr>
        <w:t>2021年</w:t>
      </w:r>
      <w:r>
        <w:rPr>
          <w:rFonts w:hint="eastAsia" w:ascii="仿宋_GB2312" w:hAnsi="黑体" w:eastAsia="仿宋_GB2312" w:cs="仿宋_GB2312"/>
          <w:kern w:val="0"/>
          <w:sz w:val="32"/>
          <w:szCs w:val="32"/>
          <w:highlight w:val="none"/>
        </w:rPr>
        <w:t>度决算数增加</w:t>
      </w:r>
      <w:r>
        <w:rPr>
          <w:rFonts w:hint="eastAsia" w:ascii="仿宋_GB2312" w:hAnsi="黑体" w:eastAsia="仿宋_GB2312" w:cs="仿宋_GB2312"/>
          <w:kern w:val="0"/>
          <w:sz w:val="32"/>
          <w:szCs w:val="32"/>
          <w:highlight w:val="none"/>
          <w:lang w:val="en-US" w:eastAsia="zh-CN"/>
        </w:rPr>
        <w:t>17.91</w:t>
      </w:r>
      <w:r>
        <w:rPr>
          <w:rFonts w:hint="eastAsia" w:ascii="仿宋_GB2312" w:hAnsi="黑体" w:eastAsia="仿宋_GB2312" w:cs="仿宋_GB2312"/>
          <w:kern w:val="0"/>
          <w:sz w:val="32"/>
          <w:szCs w:val="32"/>
          <w:highlight w:val="none"/>
        </w:rPr>
        <w:t>万元，增长</w:t>
      </w:r>
      <w:r>
        <w:rPr>
          <w:rFonts w:hint="eastAsia" w:ascii="仿宋_GB2312" w:hAnsi="黑体" w:eastAsia="仿宋_GB2312" w:cs="仿宋_GB2312"/>
          <w:kern w:val="0"/>
          <w:sz w:val="32"/>
          <w:szCs w:val="32"/>
          <w:highlight w:val="none"/>
          <w:lang w:val="en-US" w:eastAsia="zh-CN"/>
        </w:rPr>
        <w:t>852.86</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highlight w:val="none"/>
          <w:lang w:val="en-US" w:eastAsia="zh-CN"/>
        </w:rPr>
        <w:t>检测检验及技术服务业务增多，事业收入增加</w:t>
      </w:r>
      <w:r>
        <w:rPr>
          <w:rFonts w:hint="eastAsia" w:ascii="仿宋_GB2312" w:hAnsi="黑体" w:eastAsia="仿宋_GB2312" w:cs="仿宋_GB2312"/>
          <w:kern w:val="0"/>
          <w:sz w:val="32"/>
          <w:szCs w:val="32"/>
          <w:highlight w:val="none"/>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（二）本部门2022年度总支出</w:t>
      </w:r>
      <w:r>
        <w:rPr>
          <w:rFonts w:hint="eastAsia" w:ascii="仿宋_GB2312" w:eastAsia="仿宋_GB2312"/>
          <w:kern w:val="0"/>
          <w:sz w:val="32"/>
          <w:szCs w:val="32"/>
          <w:lang w:val="en-US" w:eastAsia="zh-CN"/>
        </w:rPr>
        <w:t>585.98</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519.29</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110.17</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26.93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both"/>
        <w:rPr>
          <w:rFonts w:hint="default" w:ascii="仿宋_GB2312"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科学技术支出</w:t>
      </w:r>
      <w:r>
        <w:rPr>
          <w:rFonts w:hint="eastAsia" w:ascii="仿宋_GB2312" w:eastAsia="仿宋_GB2312"/>
          <w:kern w:val="0"/>
          <w:sz w:val="32"/>
          <w:szCs w:val="32"/>
          <w:lang w:val="en-US" w:eastAsia="zh-CN"/>
        </w:rPr>
        <w:t>20.00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实验室条件改善，</w:t>
      </w:r>
    </w:p>
    <w:p>
      <w:pPr>
        <w:autoSpaceDE w:val="0"/>
        <w:autoSpaceDN w:val="0"/>
        <w:adjustRightInd w:val="0"/>
        <w:spacing w:line="560" w:lineRule="exact"/>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度决算数减少</w:t>
      </w:r>
      <w:r>
        <w:rPr>
          <w:rFonts w:hint="eastAsia" w:ascii="仿宋_GB2312" w:hAnsi="黑体" w:eastAsia="仿宋_GB2312" w:cs="仿宋_GB2312"/>
          <w:kern w:val="0"/>
          <w:sz w:val="32"/>
          <w:szCs w:val="32"/>
          <w:lang w:val="en-US" w:eastAsia="zh-CN"/>
        </w:rPr>
        <w:t>363.44</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94.78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调整部门预算管理，部分支出功能分类不适用科学技术支出类</w:t>
      </w:r>
      <w:r>
        <w:rPr>
          <w:rFonts w:hint="eastAsia" w:ascii="仿宋_GB2312" w:hAnsi="黑体"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highlight w:val="none"/>
          <w:lang w:val="en-US" w:eastAsia="zh-CN"/>
        </w:rPr>
      </w:pPr>
      <w:r>
        <w:rPr>
          <w:rFonts w:hint="eastAsia" w:ascii="仿宋_GB2312" w:eastAsia="仿宋_GB2312" w:cs="仿宋_GB2312"/>
          <w:kern w:val="0"/>
          <w:sz w:val="32"/>
          <w:szCs w:val="32"/>
          <w:lang w:val="en-US" w:eastAsia="zh-CN"/>
        </w:rPr>
        <w:t>2.社会保障和就业支出10.67万元，主要用于机关事业单位基本养老保险缴费支出，较2021年度决算数减少1.47万元，下降12.11%，主要原因是</w:t>
      </w:r>
      <w:r>
        <w:rPr>
          <w:rFonts w:hint="eastAsia" w:ascii="仿宋_GB2312" w:hAnsi="黑体" w:eastAsia="仿宋_GB2312" w:cs="仿宋_GB2312"/>
          <w:kern w:val="0"/>
          <w:sz w:val="32"/>
          <w:szCs w:val="32"/>
          <w:highlight w:val="none"/>
          <w:lang w:val="en-US" w:eastAsia="zh-CN"/>
        </w:rPr>
        <w:t>2022年初在职在编人员人数减少，养老</w:t>
      </w:r>
      <w:r>
        <w:rPr>
          <w:rFonts w:hint="eastAsia" w:ascii="仿宋_GB2312" w:eastAsia="仿宋_GB2312" w:cs="仿宋_GB2312"/>
          <w:kern w:val="0"/>
          <w:sz w:val="32"/>
          <w:szCs w:val="32"/>
          <w:highlight w:val="none"/>
          <w:lang w:val="en-US" w:eastAsia="zh-CN"/>
        </w:rPr>
        <w:t>保险缴费支出减少。</w:t>
      </w:r>
    </w:p>
    <w:p>
      <w:pPr>
        <w:autoSpaceDE w:val="0"/>
        <w:autoSpaceDN w:val="0"/>
        <w:adjustRightInd w:val="0"/>
        <w:spacing w:line="560" w:lineRule="exact"/>
        <w:ind w:firstLine="627" w:firstLineChars="196"/>
        <w:jc w:val="both"/>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3.卫生健康支出4.48万元，主要用于</w:t>
      </w:r>
      <w:r>
        <w:rPr>
          <w:rFonts w:hint="eastAsia" w:ascii="仿宋_GB2312" w:eastAsia="仿宋_GB2312" w:cs="仿宋_GB2312"/>
          <w:kern w:val="0"/>
          <w:sz w:val="32"/>
          <w:szCs w:val="32"/>
          <w:highlight w:val="none"/>
          <w:lang w:val="en-US" w:eastAsia="zh-CN"/>
        </w:rPr>
        <w:t>事业单位医疗保险支出</w:t>
      </w:r>
      <w:r>
        <w:rPr>
          <w:rFonts w:hint="eastAsia" w:ascii="仿宋_GB2312" w:eastAsia="仿宋_GB2312"/>
          <w:bCs/>
          <w:kern w:val="0"/>
          <w:sz w:val="32"/>
          <w:szCs w:val="32"/>
          <w:lang w:val="en-US" w:eastAsia="zh-CN"/>
        </w:rPr>
        <w:t>，较2021年度决算数减少0.68万元，下降13.18%，主要原因是2022年初在职在编人员人数减少，</w:t>
      </w:r>
      <w:r>
        <w:rPr>
          <w:rFonts w:hint="eastAsia" w:ascii="仿宋_GB2312" w:eastAsia="仿宋_GB2312" w:cs="仿宋_GB2312"/>
          <w:kern w:val="0"/>
          <w:sz w:val="32"/>
          <w:szCs w:val="32"/>
          <w:highlight w:val="none"/>
          <w:lang w:val="en-US" w:eastAsia="zh-CN"/>
        </w:rPr>
        <w:t>医疗保险支出减少</w:t>
      </w:r>
      <w:r>
        <w:rPr>
          <w:rFonts w:hint="eastAsia" w:ascii="仿宋_GB2312" w:eastAsia="仿宋_GB2312"/>
          <w:bCs/>
          <w:kern w:val="0"/>
          <w:sz w:val="32"/>
          <w:szCs w:val="32"/>
          <w:lang w:val="en-US" w:eastAsia="zh-CN"/>
        </w:rPr>
        <w:t>。</w:t>
      </w:r>
    </w:p>
    <w:p>
      <w:pPr>
        <w:autoSpaceDE w:val="0"/>
        <w:autoSpaceDN w:val="0"/>
        <w:adjustRightInd w:val="0"/>
        <w:spacing w:line="560" w:lineRule="exact"/>
        <w:ind w:firstLine="627" w:firstLineChars="196"/>
        <w:jc w:val="both"/>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4.住房保障支出7.26万元，主要用于</w:t>
      </w:r>
      <w:r>
        <w:rPr>
          <w:rFonts w:hint="eastAsia" w:ascii="仿宋_GB2312" w:hAnsi="Times New Roman" w:eastAsia="仿宋_GB2312" w:cs="Times New Roman"/>
          <w:bCs/>
          <w:kern w:val="0"/>
          <w:sz w:val="32"/>
          <w:szCs w:val="32"/>
          <w:highlight w:val="none"/>
          <w:lang w:val="en-US" w:eastAsia="zh-CN"/>
        </w:rPr>
        <w:t>住房公积金支出</w:t>
      </w:r>
      <w:r>
        <w:rPr>
          <w:rFonts w:hint="eastAsia" w:ascii="仿宋_GB2312" w:eastAsia="仿宋_GB2312"/>
          <w:bCs/>
          <w:kern w:val="0"/>
          <w:sz w:val="32"/>
          <w:szCs w:val="32"/>
          <w:lang w:val="en-US" w:eastAsia="zh-CN"/>
        </w:rPr>
        <w:t>，较2021年度决算数减少1.11万元，下降13.26%，主要原因是2022年初在职在编人员人数减少，</w:t>
      </w:r>
      <w:r>
        <w:rPr>
          <w:rFonts w:hint="eastAsia" w:ascii="仿宋_GB2312" w:hAnsi="Times New Roman" w:eastAsia="仿宋_GB2312" w:cs="Times New Roman"/>
          <w:bCs/>
          <w:kern w:val="0"/>
          <w:sz w:val="32"/>
          <w:szCs w:val="32"/>
          <w:highlight w:val="none"/>
          <w:lang w:val="en-US" w:eastAsia="zh-CN"/>
        </w:rPr>
        <w:t>住房公积金支出</w:t>
      </w:r>
      <w:r>
        <w:rPr>
          <w:rFonts w:hint="eastAsia" w:ascii="仿宋_GB2312" w:eastAsia="仿宋_GB2312" w:cs="仿宋_GB2312"/>
          <w:kern w:val="0"/>
          <w:sz w:val="32"/>
          <w:szCs w:val="32"/>
          <w:highlight w:val="none"/>
          <w:lang w:val="en-US" w:eastAsia="zh-CN"/>
        </w:rPr>
        <w:t>减少</w:t>
      </w:r>
      <w:r>
        <w:rPr>
          <w:rFonts w:hint="eastAsia" w:ascii="仿宋_GB2312" w:eastAsia="仿宋_GB2312"/>
          <w:bCs/>
          <w:kern w:val="0"/>
          <w:sz w:val="32"/>
          <w:szCs w:val="32"/>
          <w:lang w:val="en-US" w:eastAsia="zh-CN"/>
        </w:rPr>
        <w:t>。</w:t>
      </w:r>
    </w:p>
    <w:p>
      <w:pPr>
        <w:autoSpaceDE w:val="0"/>
        <w:autoSpaceDN w:val="0"/>
        <w:adjustRightInd w:val="0"/>
        <w:spacing w:line="560" w:lineRule="exact"/>
        <w:ind w:firstLine="627" w:firstLineChars="196"/>
        <w:jc w:val="both"/>
        <w:rPr>
          <w:rFonts w:hint="default"/>
          <w:lang w:val="en-US" w:eastAsia="zh-CN"/>
        </w:rPr>
      </w:pPr>
      <w:r>
        <w:rPr>
          <w:rFonts w:hint="eastAsia" w:ascii="仿宋_GB2312" w:eastAsia="仿宋_GB2312"/>
          <w:bCs/>
          <w:kern w:val="0"/>
          <w:sz w:val="32"/>
          <w:szCs w:val="32"/>
          <w:lang w:val="en-US" w:eastAsia="zh-CN"/>
        </w:rPr>
        <w:t>5.灾害防治及应急管理支出476.88万元，主要用于</w:t>
      </w:r>
      <w:r>
        <w:rPr>
          <w:rFonts w:hint="eastAsia" w:ascii="仿宋_GB2312" w:eastAsia="仿宋_GB2312" w:cs="仿宋_GB2312"/>
          <w:kern w:val="0"/>
          <w:sz w:val="32"/>
          <w:szCs w:val="32"/>
          <w:highlight w:val="none"/>
          <w:lang w:val="en-US" w:eastAsia="zh-CN"/>
        </w:rPr>
        <w:t>日常经费支出及人员经费支出。</w:t>
      </w:r>
      <w:r>
        <w:rPr>
          <w:rFonts w:hint="eastAsia" w:ascii="仿宋_GB2312" w:eastAsia="仿宋_GB2312"/>
          <w:bCs/>
          <w:kern w:val="0"/>
          <w:sz w:val="32"/>
          <w:szCs w:val="32"/>
          <w:lang w:val="en-US" w:eastAsia="zh-CN"/>
        </w:rPr>
        <w:t>较2021年度决算数增加476.88万元，增加100%，主要原因是</w:t>
      </w:r>
      <w:r>
        <w:rPr>
          <w:rFonts w:hint="eastAsia" w:ascii="仿宋_GB2312" w:hAnsi="黑体" w:eastAsia="仿宋_GB2312" w:cs="仿宋_GB2312"/>
          <w:kern w:val="0"/>
          <w:sz w:val="32"/>
          <w:szCs w:val="32"/>
          <w:lang w:val="en-US" w:eastAsia="zh-CN"/>
        </w:rPr>
        <w:t>调整部门预算管理，调整功能分类支出</w:t>
      </w:r>
      <w:r>
        <w:rPr>
          <w:rFonts w:hint="eastAsia" w:ascii="仿宋_GB2312" w:eastAsia="仿宋_GB2312"/>
          <w:bCs/>
          <w:kern w:val="0"/>
          <w:sz w:val="32"/>
          <w:szCs w:val="32"/>
          <w:lang w:val="en-US" w:eastAsia="zh-CN"/>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6</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万元，为事业单位按规定提取的专用结余、缴纳所得税和转入非财政拨款结余等。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66.67</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46.66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233.18%，</w:t>
      </w:r>
      <w:r>
        <w:rPr>
          <w:rFonts w:hint="eastAsia" w:ascii="仿宋_GB2312" w:hAnsi="黑体" w:eastAsia="仿宋_GB2312" w:cs="仿宋_GB2312"/>
          <w:kern w:val="0"/>
          <w:sz w:val="32"/>
          <w:szCs w:val="32"/>
        </w:rPr>
        <w:t>主要原因是</w:t>
      </w:r>
      <w:r>
        <w:rPr>
          <w:rFonts w:hint="eastAsia" w:ascii="仿宋_GB2312" w:hAnsi="仿宋_GB2312" w:eastAsia="仿宋_GB2312" w:cs="仿宋_GB2312"/>
          <w:kern w:val="0"/>
          <w:sz w:val="32"/>
          <w:szCs w:val="32"/>
          <w:highlight w:val="none"/>
          <w:lang w:eastAsia="zh-CN"/>
        </w:rPr>
        <w:t>事业收入安排的项目支出结转至下年用于单位日常运行费用支出</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我中心</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184.56</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度决算数减少</w:t>
      </w:r>
      <w:r>
        <w:rPr>
          <w:rFonts w:hint="eastAsia" w:ascii="仿宋_GB2312" w:hAnsi="黑体" w:eastAsia="仿宋_GB2312" w:cs="仿宋_GB2312"/>
          <w:kern w:val="0"/>
          <w:sz w:val="32"/>
          <w:szCs w:val="32"/>
          <w:lang w:val="en-US" w:eastAsia="zh-CN"/>
        </w:rPr>
        <w:t>8.96</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4.63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100.14</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84.43</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val="en-US" w:eastAsia="zh-CN"/>
        </w:rPr>
        <w:t>我中心</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178.61</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184.56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1.03</w:t>
      </w:r>
      <w:r>
        <w:rPr>
          <w:rFonts w:hint="eastAsia" w:ascii="仿宋_GB2312" w:hAnsi="黑体" w:eastAsia="仿宋_GB2312" w:cs="仿宋_GB2312"/>
          <w:kern w:val="0"/>
          <w:sz w:val="32"/>
          <w:szCs w:val="32"/>
        </w:rPr>
        <w:t>%。</w:t>
      </w:r>
    </w:p>
    <w:p>
      <w:pPr>
        <w:numPr>
          <w:ilvl w:val="0"/>
          <w:numId w:val="2"/>
        </w:numPr>
        <w:autoSpaceDE w:val="0"/>
        <w:autoSpaceDN w:val="0"/>
        <w:adjustRightInd w:val="0"/>
        <w:spacing w:line="560" w:lineRule="exact"/>
        <w:ind w:firstLine="627" w:firstLineChars="196"/>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科学技术支出（类）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20.00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20.00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实验室条件改善项目支出</w:t>
      </w:r>
      <w:r>
        <w:rPr>
          <w:rFonts w:hint="eastAsia" w:ascii="仿宋_GB2312" w:hAnsi="黑体" w:eastAsia="仿宋_GB2312" w:cs="仿宋_GB2312"/>
          <w:kern w:val="0"/>
          <w:sz w:val="32"/>
          <w:szCs w:val="32"/>
          <w:lang w:val="en-US" w:eastAsia="zh-CN"/>
        </w:rPr>
        <w:t>20.00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黑体" w:eastAsia="仿宋_GB2312" w:cs="仿宋_GB2312"/>
          <w:kern w:val="0"/>
          <w:sz w:val="32"/>
          <w:szCs w:val="32"/>
          <w:highlight w:val="none"/>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社会保障和就业支出（类）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9.89</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10.67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107.89</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差异原因为2022年新增在职在编人员。</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highlight w:val="none"/>
          <w:lang w:val="en-US" w:eastAsia="zh-CN"/>
        </w:rPr>
        <w:t>工资福利支出10.67万元。</w:t>
      </w:r>
    </w:p>
    <w:p>
      <w:pPr>
        <w:autoSpaceDE w:val="0"/>
        <w:autoSpaceDN w:val="0"/>
        <w:adjustRightInd w:val="0"/>
        <w:spacing w:line="560" w:lineRule="exact"/>
        <w:ind w:right="-34" w:rightChars="-16" w:firstLine="627" w:firstLineChars="196"/>
        <w:jc w:val="both"/>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卫生健康支出（类）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4.12</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4.48</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108.74</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差异原因为2022年新增在职在编人员。</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highlight w:val="none"/>
          <w:lang w:val="en-US" w:eastAsia="zh-CN"/>
        </w:rPr>
        <w:t>职工医疗保险缴费</w:t>
      </w:r>
      <w:r>
        <w:rPr>
          <w:rFonts w:hint="eastAsia" w:ascii="仿宋_GB2312" w:hAnsi="黑体" w:eastAsia="仿宋_GB2312" w:cs="仿宋_GB2312"/>
          <w:kern w:val="0"/>
          <w:sz w:val="32"/>
          <w:szCs w:val="32"/>
          <w:lang w:val="en-US" w:eastAsia="zh-CN"/>
        </w:rPr>
        <w:t>为4.48万元</w:t>
      </w:r>
      <w:r>
        <w:rPr>
          <w:rFonts w:hint="eastAsia" w:ascii="仿宋_GB2312" w:eastAsia="仿宋_GB2312" w:cs="仿宋_GB2312"/>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黑体" w:eastAsia="仿宋_GB2312" w:cs="仿宋_GB2312"/>
          <w:kern w:val="0"/>
          <w:sz w:val="32"/>
          <w:szCs w:val="32"/>
          <w:highlight w:val="none"/>
        </w:rPr>
      </w:pPr>
      <w:r>
        <w:rPr>
          <w:rFonts w:hint="eastAsia" w:ascii="仿宋_GB2312" w:eastAsia="仿宋_GB2312"/>
          <w:bCs/>
          <w:kern w:val="0"/>
          <w:sz w:val="32"/>
          <w:szCs w:val="32"/>
        </w:rPr>
        <w:t>（</w:t>
      </w:r>
      <w:r>
        <w:rPr>
          <w:rFonts w:hint="eastAsia" w:ascii="仿宋_GB2312" w:eastAsia="仿宋_GB2312"/>
          <w:bCs/>
          <w:kern w:val="0"/>
          <w:sz w:val="32"/>
          <w:szCs w:val="32"/>
          <w:lang w:val="en-US" w:eastAsia="zh-CN"/>
        </w:rPr>
        <w:t>四</w:t>
      </w:r>
      <w:r>
        <w:rPr>
          <w:rFonts w:hint="eastAsia" w:ascii="仿宋_GB2312" w:eastAsia="仿宋_GB2312"/>
          <w:bCs/>
          <w:kern w:val="0"/>
          <w:sz w:val="32"/>
          <w:szCs w:val="32"/>
        </w:rPr>
        <w:t>）</w:t>
      </w:r>
      <w:r>
        <w:rPr>
          <w:rFonts w:hint="eastAsia" w:ascii="仿宋_GB2312" w:eastAsia="仿宋_GB2312" w:cs="仿宋_GB2312"/>
          <w:kern w:val="0"/>
          <w:sz w:val="32"/>
          <w:szCs w:val="32"/>
          <w:lang w:val="en-US" w:eastAsia="zh-CN"/>
        </w:rPr>
        <w:t>住房保障支出</w:t>
      </w:r>
      <w:r>
        <w:rPr>
          <w:rFonts w:hint="eastAsia" w:ascii="仿宋_GB2312" w:eastAsia="仿宋_GB2312" w:cs="仿宋_GB2312"/>
          <w:kern w:val="0"/>
          <w:sz w:val="32"/>
          <w:szCs w:val="32"/>
        </w:rPr>
        <w:t>（类）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highlight w:val="none"/>
          <w:lang w:val="en-US" w:eastAsia="zh-CN"/>
        </w:rPr>
        <w:t>6.67</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7.26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108.85</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差异原因为2022年新增在职在编人员。</w:t>
      </w:r>
      <w:r>
        <w:rPr>
          <w:rFonts w:hint="eastAsia" w:ascii="仿宋_GB2312" w:eastAsia="仿宋_GB2312" w:cs="仿宋_GB2312"/>
          <w:kern w:val="0"/>
          <w:sz w:val="32"/>
          <w:szCs w:val="32"/>
          <w:highlight w:val="none"/>
        </w:rPr>
        <w:t>主要用</w:t>
      </w:r>
      <w:r>
        <w:rPr>
          <w:rFonts w:hint="eastAsia" w:ascii="仿宋_GB2312" w:eastAsia="仿宋_GB2312" w:cs="仿宋_GB2312"/>
          <w:kern w:val="0"/>
          <w:sz w:val="32"/>
          <w:szCs w:val="32"/>
          <w:highlight w:val="none"/>
          <w:lang w:val="en-US" w:eastAsia="zh-CN"/>
        </w:rPr>
        <w:t>于职工住房公积金缴费</w:t>
      </w:r>
      <w:r>
        <w:rPr>
          <w:rFonts w:hint="eastAsia" w:ascii="仿宋_GB2312" w:hAnsi="黑体" w:eastAsia="仿宋_GB2312" w:cs="仿宋_GB2312"/>
          <w:kern w:val="0"/>
          <w:sz w:val="32"/>
          <w:szCs w:val="32"/>
          <w:lang w:val="en-US" w:eastAsia="zh-CN"/>
        </w:rPr>
        <w:t>7.26</w:t>
      </w:r>
      <w:r>
        <w:rPr>
          <w:rFonts w:hint="eastAsia" w:ascii="仿宋_GB2312" w:eastAsia="仿宋_GB2312" w:cs="仿宋_GB2312"/>
          <w:kern w:val="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黑体" w:eastAsia="仿宋_GB2312" w:cs="仿宋_GB2312"/>
          <w:kern w:val="0"/>
          <w:sz w:val="32"/>
          <w:szCs w:val="32"/>
          <w:highlight w:val="none"/>
        </w:rPr>
      </w:pPr>
      <w:r>
        <w:rPr>
          <w:rFonts w:hint="eastAsia" w:ascii="仿宋_GB2312" w:eastAsia="仿宋_GB2312"/>
          <w:bCs/>
          <w:kern w:val="0"/>
          <w:sz w:val="32"/>
          <w:szCs w:val="32"/>
        </w:rPr>
        <w:t>（</w:t>
      </w:r>
      <w:r>
        <w:rPr>
          <w:rFonts w:hint="eastAsia" w:ascii="仿宋_GB2312" w:eastAsia="仿宋_GB2312"/>
          <w:bCs/>
          <w:kern w:val="0"/>
          <w:sz w:val="32"/>
          <w:szCs w:val="32"/>
          <w:lang w:val="en-US" w:eastAsia="zh-CN"/>
        </w:rPr>
        <w:t>五</w:t>
      </w:r>
      <w:r>
        <w:rPr>
          <w:rFonts w:hint="eastAsia" w:ascii="仿宋_GB2312" w:eastAsia="仿宋_GB2312"/>
          <w:bCs/>
          <w:kern w:val="0"/>
          <w:sz w:val="32"/>
          <w:szCs w:val="32"/>
        </w:rPr>
        <w:t>）</w:t>
      </w:r>
      <w:r>
        <w:rPr>
          <w:rFonts w:hint="eastAsia" w:ascii="仿宋_GB2312" w:eastAsia="仿宋_GB2312" w:cs="仿宋_GB2312"/>
          <w:kern w:val="0"/>
          <w:sz w:val="32"/>
          <w:szCs w:val="32"/>
          <w:lang w:val="en-US" w:eastAsia="zh-CN"/>
        </w:rPr>
        <w:t>灾害防治及应急管理支出</w:t>
      </w:r>
      <w:r>
        <w:rPr>
          <w:rFonts w:hint="eastAsia" w:ascii="仿宋_GB2312" w:eastAsia="仿宋_GB2312" w:cs="仿宋_GB2312"/>
          <w:kern w:val="0"/>
          <w:sz w:val="32"/>
          <w:szCs w:val="32"/>
        </w:rPr>
        <w:t>（类）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highlight w:val="none"/>
          <w:lang w:val="en-US" w:eastAsia="zh-CN"/>
        </w:rPr>
        <w:t>137.93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142.16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103.07</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差异原因为2022年新增在职在编人员。</w:t>
      </w:r>
      <w:r>
        <w:rPr>
          <w:rFonts w:hint="eastAsia" w:ascii="仿宋_GB2312" w:eastAsia="仿宋_GB2312" w:cs="仿宋_GB2312"/>
          <w:kern w:val="0"/>
          <w:sz w:val="32"/>
          <w:szCs w:val="32"/>
          <w:highlight w:val="none"/>
        </w:rPr>
        <w:t>主要用</w:t>
      </w:r>
      <w:r>
        <w:rPr>
          <w:rFonts w:hint="eastAsia" w:ascii="仿宋_GB2312" w:eastAsia="仿宋_GB2312" w:cs="仿宋_GB2312"/>
          <w:kern w:val="0"/>
          <w:sz w:val="32"/>
          <w:szCs w:val="32"/>
          <w:highlight w:val="none"/>
          <w:lang w:val="en-US" w:eastAsia="zh-CN"/>
        </w:rPr>
        <w:t>于工资福利支出108.65万元，商品和服务支出20.82万元，对个人和家庭的补助12.69万元。</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100.14</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both"/>
        <w:rPr>
          <w:rFonts w:hint="eastAsia" w:ascii="仿宋_GB2312" w:eastAsia="仿宋_GB2312"/>
          <w:bCs/>
          <w:kern w:val="0"/>
          <w:sz w:val="32"/>
          <w:szCs w:val="32"/>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76.09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p>
    <w:p>
      <w:pPr>
        <w:autoSpaceDE w:val="0"/>
        <w:autoSpaceDN w:val="0"/>
        <w:adjustRightInd w:val="0"/>
        <w:spacing w:line="560" w:lineRule="exact"/>
        <w:ind w:firstLine="640" w:firstLineChars="200"/>
        <w:jc w:val="both"/>
        <w:rPr>
          <w:rFonts w:hint="eastAsia" w:ascii="仿宋_GB2312" w:eastAsia="仿宋_GB2312"/>
          <w:bCs/>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14.88</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77.10</w:t>
      </w:r>
      <w:r>
        <w:rPr>
          <w:rFonts w:hint="eastAsia" w:ascii="仿宋_GB2312" w:eastAsia="仿宋_GB2312"/>
          <w:bCs/>
          <w:kern w:val="0"/>
          <w:sz w:val="32"/>
          <w:szCs w:val="32"/>
        </w:rPr>
        <w:t>%。</w:t>
      </w:r>
      <w:r>
        <w:rPr>
          <w:rFonts w:hint="eastAsia" w:ascii="仿宋_GB2312" w:hAnsi="黑体" w:eastAsia="仿宋_GB2312" w:cs="仿宋_GB2312"/>
          <w:kern w:val="0"/>
          <w:sz w:val="32"/>
          <w:szCs w:val="32"/>
          <w:lang w:val="en-US" w:eastAsia="zh-CN"/>
        </w:rPr>
        <w:t>差异原因为日常经费支出减少。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仿宋_GB2312"/>
          <w:kern w:val="0"/>
          <w:sz w:val="32"/>
          <w:szCs w:val="32"/>
        </w:rPr>
      </w:pP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三</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对个人和家庭的补助9.17万元，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val="en-US" w:eastAsia="zh-CN"/>
        </w:rPr>
        <w:t>我中心</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2021年</w:t>
      </w:r>
      <w:r>
        <w:rPr>
          <w:rFonts w:hint="eastAsia" w:ascii="仿宋_GB2312" w:hAnsi="黑体" w:eastAsia="仿宋_GB2312" w:cs="仿宋_GB2312"/>
          <w:kern w:val="0"/>
          <w:sz w:val="32"/>
          <w:szCs w:val="32"/>
        </w:rPr>
        <w:t>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kern w:val="0"/>
          <w:sz w:val="32"/>
          <w:szCs w:val="32"/>
          <w:lang w:val="en-US" w:eastAsia="zh-CN"/>
        </w:rPr>
        <w:t>我中心</w:t>
      </w:r>
      <w:r>
        <w:rPr>
          <w:rFonts w:hint="eastAsia" w:ascii="仿宋_GB2312" w:eastAsia="仿宋_GB2312"/>
          <w:kern w:val="0"/>
          <w:sz w:val="32"/>
          <w:szCs w:val="32"/>
        </w:rPr>
        <w:t>2022</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六、财政拨款安排的“三公”经费支出决算情况说明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2022年度财政拨款安排的“三公”经费支出</w:t>
      </w:r>
      <w:r>
        <w:rPr>
          <w:rFonts w:hint="eastAsia" w:ascii="仿宋_GB2312" w:eastAsia="仿宋_GB2312" w:cs="仿宋_GB2312"/>
          <w:kern w:val="0"/>
          <w:sz w:val="32"/>
          <w:szCs w:val="32"/>
          <w:lang w:val="en-US" w:eastAsia="zh-CN"/>
        </w:rPr>
        <w:t>0.13</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39.39</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2.28</w:t>
      </w:r>
      <w:r>
        <w:rPr>
          <w:rFonts w:hint="eastAsia" w:ascii="仿宋_GB2312" w:eastAsia="仿宋_GB2312" w:cs="仿宋_GB2312"/>
          <w:kern w:val="0"/>
          <w:sz w:val="32"/>
          <w:szCs w:val="32"/>
        </w:rPr>
        <w:t>万元，主要原因是</w:t>
      </w:r>
      <w:r>
        <w:rPr>
          <w:rFonts w:hint="eastAsia" w:ascii="仿宋_GB2312" w:eastAsia="仿宋_GB2312" w:cs="仿宋_GB2312"/>
          <w:kern w:val="0"/>
          <w:sz w:val="32"/>
          <w:szCs w:val="32"/>
          <w:lang w:val="en-US" w:eastAsia="zh-CN"/>
        </w:rPr>
        <w:t>公务用车运行维护费减少</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0.13</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val="en-US" w:eastAsia="zh-CN"/>
        </w:rPr>
        <w:t>加0</w:t>
      </w:r>
      <w:r>
        <w:rPr>
          <w:rFonts w:hint="eastAsia" w:ascii="仿宋_GB2312" w:eastAsia="仿宋_GB2312" w:cs="仿宋_GB2312"/>
          <w:kern w:val="0"/>
          <w:sz w:val="32"/>
          <w:szCs w:val="32"/>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val="en-US" w:eastAsia="zh-CN"/>
        </w:rPr>
        <w:t>加0</w:t>
      </w:r>
      <w:r>
        <w:rPr>
          <w:rFonts w:hint="eastAsia" w:asci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2.32</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公务用车次数减少</w:t>
      </w:r>
      <w:r>
        <w:rPr>
          <w:rFonts w:hint="eastAsia" w:asci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0.13</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76.47</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val="en-US" w:eastAsia="zh-CN"/>
        </w:rPr>
        <w:t>加0.04</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开展《安全风险分级管控和隐患排查治理双重预防体系建设规程》、《化工企业安全风险分级管控和隐患排查治理双重预防体系建设规程》规程起草工作</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（一）机关运行经费支出情况说明。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b/>
          <w:kern w:val="0"/>
          <w:sz w:val="32"/>
          <w:szCs w:val="32"/>
        </w:rPr>
      </w:pPr>
      <w:r>
        <w:rPr>
          <w:rFonts w:hint="eastAsia" w:ascii="仿宋_GB2312" w:eastAsia="仿宋_GB2312" w:cs="仿宋_GB2312"/>
          <w:kern w:val="0"/>
          <w:sz w:val="32"/>
          <w:szCs w:val="32"/>
          <w:lang w:val="en-US" w:eastAsia="zh-CN"/>
        </w:rPr>
        <w:t>我中心</w:t>
      </w:r>
      <w:r>
        <w:rPr>
          <w:rFonts w:hint="eastAsia" w:ascii="仿宋_GB2312" w:eastAsia="仿宋_GB2312" w:cs="仿宋_GB2312"/>
          <w:kern w:val="0"/>
          <w:sz w:val="32"/>
          <w:szCs w:val="32"/>
        </w:rPr>
        <w:t>无机关运行经费支出</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rPr>
        <w:t>本部门2022年度政府采购支出总额</w:t>
      </w:r>
      <w:r>
        <w:rPr>
          <w:rFonts w:hint="eastAsia" w:ascii="仿宋_GB2312" w:eastAsia="仿宋_GB2312" w:cs="仿宋_GB2312"/>
          <w:kern w:val="0"/>
          <w:sz w:val="32"/>
          <w:szCs w:val="32"/>
          <w:lang w:val="en-US" w:eastAsia="zh-CN"/>
        </w:rPr>
        <w:t>1.20</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1.20</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万元。授予中小企业合同金额</w:t>
      </w:r>
      <w:r>
        <w:rPr>
          <w:rFonts w:hint="eastAsia" w:ascii="仿宋_GB2312" w:eastAsia="仿宋_GB2312" w:cs="仿宋_GB2312"/>
          <w:kern w:val="0"/>
          <w:sz w:val="32"/>
          <w:szCs w:val="32"/>
          <w:lang w:val="en-US" w:eastAsia="zh-CN"/>
        </w:rPr>
        <w:t>1.2</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其中：授予小微企业合同金额</w:t>
      </w:r>
      <w:r>
        <w:rPr>
          <w:rFonts w:hint="eastAsia" w:ascii="仿宋_GB2312" w:eastAsia="仿宋_GB2312" w:cs="仿宋_GB2312"/>
          <w:kern w:val="0"/>
          <w:sz w:val="32"/>
          <w:szCs w:val="32"/>
          <w:highlight w:val="none"/>
          <w:lang w:val="en-US" w:eastAsia="zh-CN"/>
        </w:rPr>
        <w:t>1.20</w:t>
      </w:r>
      <w:r>
        <w:rPr>
          <w:rFonts w:hint="eastAsia" w:ascii="仿宋_GB2312" w:eastAsia="仿宋_GB2312" w:cs="仿宋_GB2312"/>
          <w:kern w:val="0"/>
          <w:sz w:val="32"/>
          <w:szCs w:val="32"/>
          <w:highlight w:val="none"/>
        </w:rPr>
        <w:t>万元，占授予中小企业合同金额的</w:t>
      </w:r>
      <w:r>
        <w:rPr>
          <w:rFonts w:hint="eastAsia" w:ascii="仿宋_GB2312" w:eastAsia="仿宋_GB2312" w:cs="仿宋_GB2312"/>
          <w:kern w:val="0"/>
          <w:sz w:val="32"/>
          <w:szCs w:val="32"/>
          <w:highlight w:val="none"/>
          <w:lang w:val="en-US" w:eastAsia="zh-CN"/>
        </w:rPr>
        <w:t>100</w:t>
      </w:r>
      <w:r>
        <w:rPr>
          <w:rFonts w:hint="eastAsia" w:ascii="仿宋_GB2312" w:eastAsia="仿宋_GB2312" w:cs="仿宋_GB2312"/>
          <w:kern w:val="0"/>
          <w:sz w:val="32"/>
          <w:szCs w:val="32"/>
          <w:highlight w:val="none"/>
        </w:rPr>
        <w:t>%。</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截至2022年12月31日，本部门共有车辆</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辆，其中：其他用车1辆，其他用车主要是一般业务用车；单位价值50万元以上通用设备0台（套）；单位价值100万元以上专用设备0台（套）。</w:t>
      </w:r>
    </w:p>
    <w:p>
      <w:pPr>
        <w:numPr>
          <w:ilvl w:val="0"/>
          <w:numId w:val="4"/>
        </w:numPr>
        <w:autoSpaceDE w:val="0"/>
        <w:autoSpaceDN w:val="0"/>
        <w:adjustRightInd w:val="0"/>
        <w:spacing w:line="560" w:lineRule="exact"/>
        <w:ind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rPr>
        <w:t>预算绩效管理工作开展情况。</w:t>
      </w:r>
    </w:p>
    <w:p>
      <w:pPr>
        <w:numPr>
          <w:ilvl w:val="0"/>
          <w:numId w:val="0"/>
        </w:num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绩效管理工作开展情况。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根据财政预算</w:t>
      </w:r>
      <w:r>
        <w:rPr>
          <w:rFonts w:hint="eastAsia" w:ascii="仿宋_GB2312" w:eastAsia="仿宋_GB2312" w:cs="仿宋_GB2312"/>
          <w:kern w:val="0"/>
          <w:sz w:val="32"/>
          <w:szCs w:val="32"/>
          <w:lang w:eastAsia="zh-CN"/>
        </w:rPr>
        <w:t>绩效</w:t>
      </w:r>
      <w:r>
        <w:rPr>
          <w:rFonts w:hint="eastAsia" w:ascii="仿宋_GB2312" w:eastAsia="仿宋_GB2312" w:cs="仿宋_GB2312"/>
          <w:kern w:val="0"/>
          <w:sz w:val="32"/>
          <w:szCs w:val="32"/>
        </w:rPr>
        <w:t>管理要求，我</w:t>
      </w:r>
      <w:r>
        <w:rPr>
          <w:rFonts w:hint="eastAsia" w:ascii="仿宋_GB2312" w:eastAsia="仿宋_GB2312" w:cs="仿宋_GB2312"/>
          <w:kern w:val="0"/>
          <w:sz w:val="32"/>
          <w:szCs w:val="32"/>
          <w:lang w:val="en-US" w:eastAsia="zh-CN"/>
        </w:rPr>
        <w:t>中心</w:t>
      </w:r>
      <w:r>
        <w:rPr>
          <w:rFonts w:hint="eastAsia" w:ascii="仿宋_GB2312" w:eastAsia="仿宋_GB2312" w:cs="仿宋_GB2312"/>
          <w:kern w:val="0"/>
          <w:sz w:val="32"/>
          <w:szCs w:val="32"/>
        </w:rPr>
        <w:t>组织对2022年度</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个一般公共预算项目支出开展绩效自评，共涉及资金</w:t>
      </w:r>
      <w:r>
        <w:rPr>
          <w:rFonts w:hint="eastAsia" w:ascii="仿宋_GB2312" w:eastAsia="仿宋_GB2312" w:cs="仿宋_GB2312"/>
          <w:kern w:val="0"/>
          <w:sz w:val="32"/>
          <w:szCs w:val="32"/>
          <w:lang w:val="en-US" w:eastAsia="zh-CN"/>
        </w:rPr>
        <w:t>408.73</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我中心没有</w:t>
      </w:r>
      <w:r>
        <w:rPr>
          <w:rFonts w:hint="eastAsia" w:ascii="仿宋_GB2312" w:eastAsia="仿宋_GB2312" w:cs="仿宋_GB2312"/>
          <w:kern w:val="0"/>
          <w:sz w:val="32"/>
          <w:szCs w:val="32"/>
        </w:rPr>
        <w:t>政府性基金预算项目</w:t>
      </w:r>
      <w:r>
        <w:rPr>
          <w:rFonts w:hint="eastAsia" w:ascii="仿宋_GB2312" w:eastAsia="仿宋_GB2312" w:cs="仿宋_GB2312"/>
          <w:kern w:val="0"/>
          <w:sz w:val="32"/>
          <w:szCs w:val="32"/>
          <w:lang w:val="en-US" w:eastAsia="zh-CN"/>
        </w:rPr>
        <w:t>及</w:t>
      </w:r>
      <w:r>
        <w:rPr>
          <w:rFonts w:hint="eastAsia" w:ascii="仿宋_GB2312" w:eastAsia="仿宋_GB2312" w:cs="仿宋_GB2312"/>
          <w:kern w:val="0"/>
          <w:sz w:val="32"/>
          <w:szCs w:val="32"/>
        </w:rPr>
        <w:t>国有资本经营预算项目</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组织对“广西科研院所条件改善专项-广西壮族自治区安全生产检验检测中心改善实验室基础条件”等</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个项目进行了部门评价，涉及一般公共预算支出</w:t>
      </w:r>
      <w:r>
        <w:rPr>
          <w:rFonts w:hint="eastAsia" w:ascii="仿宋_GB2312" w:eastAsia="仿宋_GB2312" w:cs="仿宋_GB2312"/>
          <w:kern w:val="0"/>
          <w:sz w:val="32"/>
          <w:szCs w:val="32"/>
          <w:lang w:val="en-US" w:eastAsia="zh-CN"/>
        </w:rPr>
        <w:t>408.73</w:t>
      </w:r>
      <w:r>
        <w:rPr>
          <w:rFonts w:hint="eastAsia" w:ascii="仿宋_GB2312" w:eastAsia="仿宋_GB2312" w:cs="仿宋_GB2312"/>
          <w:kern w:val="0"/>
          <w:sz w:val="32"/>
          <w:szCs w:val="32"/>
        </w:rPr>
        <w:t>万元，政府性基金预算支出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万元，国有资本经营预算支出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万元。从评价情况来看，项目预算执行情况良好，较好达到年度绩效目标，基本完成绩效产出指标，取得了良好的社会效益，服务对象满意度调查反映良好。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部门决算中项目绩效自评结果。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both"/>
        <w:textAlignment w:val="auto"/>
        <w:rPr>
          <w:rFonts w:hint="eastAsia" w:ascii="仿宋_GB2312" w:eastAsia="仿宋_GB2312" w:cs="仿宋_GB2312"/>
          <w:kern w:val="0"/>
          <w:sz w:val="32"/>
          <w:szCs w:val="32"/>
        </w:rPr>
      </w:pPr>
      <w:r>
        <w:rPr>
          <w:rFonts w:hint="eastAsia" w:ascii="仿宋_GB2312" w:hAnsi="Times New Roman" w:eastAsia="仿宋_GB2312" w:cs="仿宋_GB2312"/>
          <w:color w:val="auto"/>
          <w:kern w:val="0"/>
          <w:sz w:val="32"/>
          <w:szCs w:val="32"/>
          <w:lang w:val="en-US" w:eastAsia="zh-CN" w:bidi="ar-SA"/>
        </w:rPr>
        <w:t>根据《广西壮族自治区本级项目支出绩效评价管理办法》，项目支出绩效评价等级一般划分为四档:90（含）—100分为一等等级、80（含）—90分为二等等级、60(含)—80分为三等等级、60分以下为四等等级。从评价结果来看，2022年我中心自评结果为“一等”的项目有7个，占比100%，无不合格项目。部门整体支出自评总得分98.71分，评级为一等。</w:t>
      </w:r>
      <w:r>
        <w:rPr>
          <w:rFonts w:hint="eastAsia" w:ascii="仿宋_GB2312" w:eastAsia="仿宋_GB2312" w:cs="仿宋_GB2312"/>
          <w:kern w:val="0"/>
          <w:sz w:val="32"/>
          <w:szCs w:val="32"/>
          <w:lang w:val="en-US" w:eastAsia="zh-CN"/>
        </w:rPr>
        <w:t>自评</w:t>
      </w:r>
      <w:r>
        <w:rPr>
          <w:rFonts w:hint="eastAsia" w:ascii="仿宋_GB2312" w:eastAsia="仿宋_GB2312" w:cs="仿宋_GB2312"/>
          <w:kern w:val="0"/>
          <w:sz w:val="32"/>
          <w:szCs w:val="32"/>
          <w:lang w:eastAsia="zh-CN"/>
        </w:rPr>
        <w:t>发现的主要问题</w:t>
      </w:r>
      <w:r>
        <w:rPr>
          <w:rFonts w:hint="eastAsia" w:ascii="仿宋_GB2312" w:eastAsia="仿宋_GB2312" w:cs="仿宋_GB2312"/>
          <w:kern w:val="0"/>
          <w:sz w:val="32"/>
          <w:szCs w:val="32"/>
          <w:lang w:val="en-US" w:eastAsia="zh-CN"/>
        </w:rPr>
        <w:t>是存在预算调整率偏高，收入、支出的预决算差异率偏大的情况</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原因是中心检测检验及技术服务业务量增大，</w:t>
      </w:r>
      <w:r>
        <w:rPr>
          <w:rFonts w:hint="eastAsia" w:ascii="仿宋_GB2312" w:eastAsia="仿宋_GB2312" w:cs="仿宋_GB2312"/>
          <w:kern w:val="0"/>
          <w:sz w:val="32"/>
          <w:szCs w:val="32"/>
          <w:lang w:val="en-US" w:eastAsia="zh-CN"/>
        </w:rPr>
        <w:t>收入增加，因此经费支出增加</w:t>
      </w:r>
      <w:r>
        <w:rPr>
          <w:rFonts w:hint="eastAsia" w:ascii="仿宋_GB2312" w:eastAsia="仿宋_GB2312" w:cs="仿宋_GB2312"/>
          <w:kern w:val="0"/>
          <w:sz w:val="32"/>
          <w:szCs w:val="32"/>
        </w:rPr>
        <w:t>。下一步改进措施：</w:t>
      </w:r>
      <w:r>
        <w:rPr>
          <w:rFonts w:hint="eastAsia" w:ascii="仿宋_GB2312" w:eastAsia="仿宋_GB2312" w:cs="仿宋_GB2312"/>
          <w:kern w:val="0"/>
          <w:sz w:val="32"/>
          <w:szCs w:val="32"/>
          <w:lang w:val="en-US" w:eastAsia="zh-CN"/>
        </w:rPr>
        <w:t>完善</w:t>
      </w:r>
      <w:r>
        <w:rPr>
          <w:rFonts w:hint="eastAsia" w:ascii="仿宋_GB2312" w:eastAsia="仿宋_GB2312" w:cs="仿宋_GB2312"/>
          <w:kern w:val="0"/>
          <w:sz w:val="32"/>
          <w:szCs w:val="32"/>
        </w:rPr>
        <w:t>绩效评价机制</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项目绩效编制时与</w:t>
      </w:r>
      <w:r>
        <w:rPr>
          <w:rFonts w:hint="eastAsia" w:ascii="仿宋_GB2312" w:eastAsia="仿宋_GB2312" w:cs="仿宋_GB2312"/>
          <w:kern w:val="0"/>
          <w:sz w:val="32"/>
          <w:szCs w:val="32"/>
        </w:rPr>
        <w:t>业务结合</w:t>
      </w:r>
      <w:r>
        <w:rPr>
          <w:rFonts w:hint="eastAsia" w:ascii="仿宋_GB2312" w:eastAsia="仿宋_GB2312" w:cs="仿宋_GB2312"/>
          <w:kern w:val="0"/>
          <w:sz w:val="32"/>
          <w:szCs w:val="32"/>
          <w:lang w:val="en-US" w:eastAsia="zh-CN"/>
        </w:rPr>
        <w:t>更</w:t>
      </w:r>
      <w:r>
        <w:rPr>
          <w:rFonts w:hint="eastAsia" w:ascii="仿宋_GB2312" w:eastAsia="仿宋_GB2312" w:cs="仿宋_GB2312"/>
          <w:kern w:val="0"/>
          <w:sz w:val="32"/>
          <w:szCs w:val="32"/>
        </w:rPr>
        <w:t>紧密，</w:t>
      </w:r>
      <w:r>
        <w:rPr>
          <w:rFonts w:hint="eastAsia" w:ascii="仿宋_GB2312" w:eastAsia="仿宋_GB2312" w:cs="仿宋_GB2312"/>
          <w:kern w:val="0"/>
          <w:sz w:val="32"/>
          <w:szCs w:val="32"/>
          <w:lang w:val="en-US" w:eastAsia="zh-CN"/>
        </w:rPr>
        <w:t>避免出现预决算差异率偏大的情况</w:t>
      </w:r>
      <w:r>
        <w:rPr>
          <w:rFonts w:hint="eastAsia" w:ascii="仿宋_GB2312" w:eastAsia="仿宋_GB2312" w:cs="仿宋_GB2312"/>
          <w:kern w:val="0"/>
          <w:sz w:val="32"/>
          <w:szCs w:val="32"/>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both"/>
        <w:textAlignment w:val="auto"/>
        <w:rPr>
          <w:rFonts w:hint="eastAsia" w:ascii="仿宋_GB2312" w:eastAsia="仿宋_GB2312" w:cs="仿宋_GB2312"/>
          <w:b/>
          <w:kern w:val="0"/>
          <w:sz w:val="32"/>
          <w:szCs w:val="32"/>
        </w:rPr>
      </w:pPr>
      <w:r>
        <w:rPr>
          <w:rFonts w:hint="eastAsia" w:ascii="仿宋_GB2312" w:hAnsi="Times New Roman" w:eastAsia="仿宋_GB2312" w:cs="仿宋_GB2312"/>
          <w:color w:val="auto"/>
          <w:kern w:val="0"/>
          <w:sz w:val="32"/>
          <w:szCs w:val="32"/>
          <w:lang w:val="en-US" w:eastAsia="zh-CN" w:bidi="ar-SA"/>
        </w:rPr>
        <w:t>1.事业单位在职人员绩效工资项目绩效自评综述：根据年初设定的绩效目标，项目自评得分为94.71分，项目全年预算数为48.74万元，执行数为46.16万元，完成预算的94.71%。项目绩效目标完成情况：事业单位在职人员绩效工资项目实施以来，贯彻按劳分配，效率优先，兼顾公平的原则，以责任和业绩为依据，在绩效考核的基础上，确定职工奖励性绩效工资的分配，充分调动广大教职工的工作积极性。发现的主要问题及原因：由于年中在职职工人数变化，绩效管理目标和调整有待完善。下一步改进措施：完善专项资金管理办法，提高职工工作效率与质量，提升绩效工资专项资金使用效益，充分发挥资金的扶持和引导作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both"/>
        <w:textAlignment w:val="auto"/>
        <w:rPr>
          <w:rFonts w:hint="eastAsia" w:ascii="仿宋_GB2312" w:hAnsi="Times New Roman" w:eastAsia="仿宋_GB2312" w:cs="仿宋_GB2312"/>
          <w:color w:val="auto"/>
          <w:kern w:val="0"/>
          <w:sz w:val="32"/>
          <w:szCs w:val="32"/>
          <w:lang w:val="en-US" w:eastAsia="zh-CN" w:bidi="ar-SA"/>
        </w:rPr>
      </w:pPr>
      <w:r>
        <w:rPr>
          <w:rFonts w:hint="eastAsia" w:ascii="仿宋_GB2312" w:hAnsi="Times New Roman" w:eastAsia="仿宋_GB2312" w:cs="仿宋_GB2312"/>
          <w:color w:val="auto"/>
          <w:kern w:val="0"/>
          <w:sz w:val="32"/>
          <w:szCs w:val="32"/>
          <w:lang w:val="en-US" w:eastAsia="zh-CN" w:bidi="ar-SA"/>
        </w:rPr>
        <w:t>2.广西科研院所条件改善专项-广西壮族自治区安全生产检验检测中心改善实验室基础条件项目绩效自评综述：根据年初设定的绩效目标，项目自评得分为100分，项目全年预算数为20.00万元，执行数为20.00万元，完成预算的100%。项目绩效目标完成情况：我中心实验室条件得到了改善，检验检测业务以质量为核心认真展行职责，超额完成了年度目标务，全年煤质检验共完成样品检测2547次，同比增加634执次，同比增加3.19%。发现的主要问题及原因：由于科技不断发展，需进一步提升实验室检测检验能力。下一步改进措施：开展实验操作培训，提高实验能力，充分发挥中心职能。</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br w:type="page"/>
      </w:r>
    </w:p>
    <w:p>
      <w:pPr>
        <w:autoSpaceDE w:val="0"/>
        <w:autoSpaceDN w:val="0"/>
        <w:adjustRightInd w:val="0"/>
        <w:spacing w:line="560" w:lineRule="exact"/>
        <w:jc w:val="both"/>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spacing w:line="560" w:lineRule="exact"/>
        <w:ind w:firstLine="640"/>
        <w:jc w:val="both"/>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spacing w:line="560" w:lineRule="exact"/>
        <w:ind w:firstLine="640"/>
        <w:jc w:val="both"/>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五、使用非财政拨款结余：指事业单位在当年的“财政拨款收入”“事业收入”“经营收入”“其他收入”不足以安排当年支出的情况下，使用非财政拨款结余、专用结余弥补本年度收支缺口的资金。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spacing w:line="560" w:lineRule="exact"/>
        <w:ind w:firstLine="640"/>
        <w:jc w:val="both"/>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both"/>
      </w:pPr>
    </w:p>
    <w:sectPr>
      <w:footerReference r:id="rId5" w:type="default"/>
      <w:pgSz w:w="11906" w:h="16838"/>
      <w:pgMar w:top="1440" w:right="1474"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DFC9"/>
    <w:multiLevelType w:val="singleLevel"/>
    <w:tmpl w:val="98B9DFC9"/>
    <w:lvl w:ilvl="0" w:tentative="0">
      <w:start w:val="1"/>
      <w:numFmt w:val="chineseCounting"/>
      <w:suff w:val="nothing"/>
      <w:lvlText w:val="%1、"/>
      <w:lvlJc w:val="left"/>
      <w:rPr>
        <w:rFonts w:hint="eastAsia"/>
      </w:rPr>
    </w:lvl>
  </w:abstractNum>
  <w:abstractNum w:abstractNumId="1">
    <w:nsid w:val="9C0CD8F1"/>
    <w:multiLevelType w:val="singleLevel"/>
    <w:tmpl w:val="9C0CD8F1"/>
    <w:lvl w:ilvl="0" w:tentative="0">
      <w:start w:val="8"/>
      <w:numFmt w:val="chineseCounting"/>
      <w:suff w:val="nothing"/>
      <w:lvlText w:val="%1、"/>
      <w:lvlJc w:val="left"/>
      <w:rPr>
        <w:rFonts w:hint="eastAsia"/>
      </w:rPr>
    </w:lvl>
  </w:abstractNum>
  <w:abstractNum w:abstractNumId="2">
    <w:nsid w:val="BFCC5370"/>
    <w:multiLevelType w:val="singleLevel"/>
    <w:tmpl w:val="BFCC5370"/>
    <w:lvl w:ilvl="0" w:tentative="0">
      <w:start w:val="1"/>
      <w:numFmt w:val="chineseCounting"/>
      <w:suff w:val="nothing"/>
      <w:lvlText w:val="（%1）"/>
      <w:lvlJc w:val="left"/>
      <w:rPr>
        <w:rFonts w:hint="eastAsia"/>
      </w:rPr>
    </w:lvl>
  </w:abstractNum>
  <w:abstractNum w:abstractNumId="3">
    <w:nsid w:val="1E03E4DC"/>
    <w:multiLevelType w:val="singleLevel"/>
    <w:tmpl w:val="1E03E4DC"/>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ODE4NTc3YThjODE1MDQzNTQyMGM0Y2RjMzQyMGQifQ=="/>
  </w:docVars>
  <w:rsids>
    <w:rsidRoot w:val="053F4F26"/>
    <w:rsid w:val="01ED797C"/>
    <w:rsid w:val="036D2C68"/>
    <w:rsid w:val="053F4F26"/>
    <w:rsid w:val="08D9075E"/>
    <w:rsid w:val="098552F6"/>
    <w:rsid w:val="0F591C76"/>
    <w:rsid w:val="0F707EAE"/>
    <w:rsid w:val="10022AD1"/>
    <w:rsid w:val="1147762C"/>
    <w:rsid w:val="117B2B3A"/>
    <w:rsid w:val="136501B5"/>
    <w:rsid w:val="16A022ED"/>
    <w:rsid w:val="17F7713F"/>
    <w:rsid w:val="195914BD"/>
    <w:rsid w:val="1AEA55A3"/>
    <w:rsid w:val="1D520F75"/>
    <w:rsid w:val="1E3D7D5E"/>
    <w:rsid w:val="1F12163B"/>
    <w:rsid w:val="24B73269"/>
    <w:rsid w:val="252667F3"/>
    <w:rsid w:val="26560EF1"/>
    <w:rsid w:val="26FF5BBA"/>
    <w:rsid w:val="27E02351"/>
    <w:rsid w:val="283C3C9A"/>
    <w:rsid w:val="2ACD3FAF"/>
    <w:rsid w:val="2B6F6FE6"/>
    <w:rsid w:val="2BB76781"/>
    <w:rsid w:val="2CE838FC"/>
    <w:rsid w:val="2F0D0E1E"/>
    <w:rsid w:val="31D132CA"/>
    <w:rsid w:val="32A86CF1"/>
    <w:rsid w:val="34BD008D"/>
    <w:rsid w:val="34DC75D1"/>
    <w:rsid w:val="365D3C6A"/>
    <w:rsid w:val="396A68A4"/>
    <w:rsid w:val="3FE67773"/>
    <w:rsid w:val="3FF01282"/>
    <w:rsid w:val="401F3A11"/>
    <w:rsid w:val="40646D0C"/>
    <w:rsid w:val="436438EC"/>
    <w:rsid w:val="44031BD8"/>
    <w:rsid w:val="454B2F7C"/>
    <w:rsid w:val="4795557D"/>
    <w:rsid w:val="4A2037F2"/>
    <w:rsid w:val="4A98244F"/>
    <w:rsid w:val="4B3C6E82"/>
    <w:rsid w:val="4B8D4436"/>
    <w:rsid w:val="4CDF5BD4"/>
    <w:rsid w:val="4E9B0E76"/>
    <w:rsid w:val="500E336D"/>
    <w:rsid w:val="50312F57"/>
    <w:rsid w:val="50B11178"/>
    <w:rsid w:val="582C6526"/>
    <w:rsid w:val="5A7D4F2D"/>
    <w:rsid w:val="5B052115"/>
    <w:rsid w:val="5B070568"/>
    <w:rsid w:val="5C974299"/>
    <w:rsid w:val="5D5201C0"/>
    <w:rsid w:val="5D600B2F"/>
    <w:rsid w:val="628B3240"/>
    <w:rsid w:val="64AC14B3"/>
    <w:rsid w:val="65A906AE"/>
    <w:rsid w:val="65B85280"/>
    <w:rsid w:val="6AB11F32"/>
    <w:rsid w:val="6AE23394"/>
    <w:rsid w:val="6B7C6531"/>
    <w:rsid w:val="6BB24B76"/>
    <w:rsid w:val="6DE06535"/>
    <w:rsid w:val="6F372E3A"/>
    <w:rsid w:val="72F35B4A"/>
    <w:rsid w:val="733D3868"/>
    <w:rsid w:val="7476433D"/>
    <w:rsid w:val="7A603AC5"/>
    <w:rsid w:val="7A7F63AB"/>
    <w:rsid w:val="7AA816BE"/>
    <w:rsid w:val="7AA9075E"/>
    <w:rsid w:val="7B280D3E"/>
    <w:rsid w:val="7BDA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5951</Words>
  <Characters>6590</Characters>
  <Lines>0</Lines>
  <Paragraphs>0</Paragraphs>
  <TotalTime>8</TotalTime>
  <ScaleCrop>false</ScaleCrop>
  <LinksUpToDate>false</LinksUpToDate>
  <CharactersWithSpaces>6609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2023-08-14T01:28:00Z</dcterms:created>
  <dc:creator>ailsa</dc:creator>
  <cp:lastModifiedBy>ailsa</cp:lastModifiedBy>
  <cp:lastPrinted>2023-08-16T10:14:00Z</cp:lastPrinted>
  <dcterms:modified xsi:type="dcterms:W3CDTF">2023-08-24T01:07:06Z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B4CBE3B29D3F4265BEEF48767A4A235A_13</vt:lpwstr>
  </property>
</Properties>
</file>