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694737">
      <w:pPr>
        <w:rPr>
          <w:rFonts w:hint="eastAsia" w:ascii="仿宋_GB2312" w:eastAsia="仿宋_GB2312" w:cs="ArialUnicodeMS"/>
          <w:kern w:val="0"/>
          <w:sz w:val="32"/>
          <w:szCs w:val="32"/>
          <w:u w:val="single"/>
        </w:rPr>
      </w:pPr>
    </w:p>
    <w:p w14:paraId="50114671">
      <w:pPr>
        <w:rPr>
          <w:rFonts w:hint="eastAsia" w:ascii="黑体" w:eastAsia="黑体" w:cs="ArialUnicodeMS"/>
          <w:kern w:val="0"/>
          <w:sz w:val="72"/>
          <w:szCs w:val="72"/>
        </w:rPr>
      </w:pPr>
    </w:p>
    <w:p w14:paraId="7E3D4748">
      <w:pPr>
        <w:rPr>
          <w:rFonts w:hint="eastAsia" w:ascii="黑体" w:eastAsia="黑体" w:cs="ArialUnicodeMS"/>
          <w:kern w:val="0"/>
          <w:sz w:val="72"/>
          <w:szCs w:val="72"/>
        </w:rPr>
      </w:pPr>
    </w:p>
    <w:p w14:paraId="05206448">
      <w:pPr>
        <w:jc w:val="center"/>
        <w:rPr>
          <w:rFonts w:hint="eastAsia" w:ascii="方正小标宋简体" w:hAnsi="黑体" w:eastAsia="方正小标宋简体"/>
          <w:bCs/>
          <w:color w:val="000000"/>
          <w:sz w:val="52"/>
          <w:szCs w:val="52"/>
          <w:u w:val="none"/>
          <w:lang w:val="en-US" w:eastAsia="zh-CN"/>
        </w:rPr>
      </w:pPr>
      <w:r>
        <w:rPr>
          <w:rFonts w:hint="eastAsia" w:ascii="方正小标宋简体" w:eastAsia="方正小标宋简体" w:cs="ArialUnicodeMS"/>
          <w:kern w:val="0"/>
          <w:sz w:val="52"/>
          <w:szCs w:val="52"/>
          <w:u w:val="none"/>
        </w:rPr>
        <w:t>广西壮族自治区</w:t>
      </w:r>
      <w:r>
        <w:rPr>
          <w:rFonts w:hint="eastAsia" w:ascii="方正小标宋简体" w:hAnsi="黑体" w:eastAsia="方正小标宋简体"/>
          <w:bCs/>
          <w:color w:val="000000"/>
          <w:sz w:val="52"/>
          <w:szCs w:val="52"/>
          <w:u w:val="none"/>
          <w:lang w:val="en-US" w:eastAsia="zh-CN"/>
        </w:rPr>
        <w:t>应急管理厅</w:t>
      </w:r>
    </w:p>
    <w:p w14:paraId="1C8FE462">
      <w:pPr>
        <w:jc w:val="center"/>
        <w:rPr>
          <w:rFonts w:hint="eastAsia" w:ascii="方正小标宋简体" w:eastAsia="方正小标宋简体" w:cs="ArialUnicodeMS"/>
          <w:kern w:val="0"/>
          <w:sz w:val="52"/>
          <w:szCs w:val="52"/>
          <w:u w:val="none"/>
        </w:rPr>
      </w:pPr>
      <w:r>
        <w:rPr>
          <w:rFonts w:hint="eastAsia" w:ascii="方正小标宋简体" w:hAnsi="黑体" w:eastAsia="方正小标宋简体"/>
          <w:bCs/>
          <w:color w:val="000000"/>
          <w:sz w:val="52"/>
          <w:szCs w:val="52"/>
          <w:u w:val="none"/>
          <w:lang w:val="en-US" w:eastAsia="zh-CN"/>
        </w:rPr>
        <w:t>机关服务中心</w:t>
      </w:r>
      <w:r>
        <w:rPr>
          <w:rFonts w:hint="eastAsia" w:ascii="方正小标宋简体" w:eastAsia="方正小标宋简体"/>
          <w:kern w:val="0"/>
          <w:sz w:val="52"/>
          <w:szCs w:val="52"/>
          <w:u w:val="none"/>
          <w:lang w:eastAsia="zh-CN"/>
        </w:rPr>
        <w:t>2023</w:t>
      </w:r>
      <w:r>
        <w:rPr>
          <w:rFonts w:hint="eastAsia" w:ascii="方正小标宋简体" w:eastAsia="方正小标宋简体" w:cs="ArialUnicodeMS"/>
          <w:kern w:val="0"/>
          <w:sz w:val="52"/>
          <w:szCs w:val="52"/>
          <w:u w:val="none"/>
        </w:rPr>
        <w:t>年度部门决算</w:t>
      </w:r>
    </w:p>
    <w:p w14:paraId="03C277D7">
      <w:pPr>
        <w:rPr>
          <w:rFonts w:hint="eastAsia" w:ascii="方正小标宋简体" w:eastAsia="方正小标宋简体" w:cs="ArialUnicodeMS"/>
          <w:kern w:val="0"/>
          <w:sz w:val="84"/>
          <w:szCs w:val="84"/>
        </w:rPr>
      </w:pPr>
    </w:p>
    <w:p w14:paraId="3CE95B6B">
      <w:pPr>
        <w:rPr>
          <w:rFonts w:hint="eastAsia" w:ascii="ArialUnicodeMS" w:eastAsia="ArialUnicodeMS" w:cs="ArialUnicodeMS"/>
          <w:kern w:val="0"/>
          <w:sz w:val="84"/>
          <w:szCs w:val="84"/>
        </w:rPr>
      </w:pPr>
    </w:p>
    <w:p w14:paraId="49AE8588">
      <w:pPr>
        <w:rPr>
          <w:rFonts w:hint="eastAsia" w:ascii="ArialUnicodeMS" w:eastAsia="ArialUnicodeMS" w:cs="ArialUnicodeMS"/>
          <w:kern w:val="0"/>
          <w:sz w:val="84"/>
          <w:szCs w:val="84"/>
        </w:rPr>
      </w:pPr>
    </w:p>
    <w:p w14:paraId="7C191C20">
      <w:pPr>
        <w:rPr>
          <w:rFonts w:hint="eastAsia" w:ascii="ArialUnicodeMS" w:eastAsia="ArialUnicodeMS" w:cs="ArialUnicodeMS"/>
          <w:kern w:val="0"/>
          <w:sz w:val="84"/>
          <w:szCs w:val="84"/>
        </w:rPr>
      </w:pPr>
    </w:p>
    <w:p w14:paraId="36941BCA">
      <w:pPr>
        <w:rPr>
          <w:rFonts w:hint="eastAsia" w:ascii="ArialUnicodeMS" w:eastAsia="ArialUnicodeMS" w:cs="ArialUnicodeMS"/>
          <w:kern w:val="0"/>
          <w:sz w:val="84"/>
          <w:szCs w:val="84"/>
        </w:rPr>
      </w:pPr>
    </w:p>
    <w:p w14:paraId="307DDD00">
      <w:pPr>
        <w:jc w:val="center"/>
        <w:rPr>
          <w:rFonts w:hint="eastAsia" w:ascii="黑体" w:eastAsia="黑体" w:cs="黑体"/>
          <w:kern w:val="0"/>
          <w:sz w:val="44"/>
          <w:szCs w:val="44"/>
        </w:rPr>
      </w:pPr>
    </w:p>
    <w:p w14:paraId="1CCE5746">
      <w:pPr>
        <w:jc w:val="center"/>
        <w:rPr>
          <w:rFonts w:hint="eastAsia" w:ascii="黑体" w:eastAsia="黑体" w:cs="黑体"/>
          <w:kern w:val="0"/>
          <w:sz w:val="44"/>
          <w:szCs w:val="44"/>
        </w:rPr>
      </w:pPr>
    </w:p>
    <w:p w14:paraId="2384149D">
      <w:pPr>
        <w:jc w:val="center"/>
        <w:rPr>
          <w:rFonts w:hint="eastAsia" w:ascii="黑体" w:eastAsia="黑体" w:cs="黑体"/>
          <w:kern w:val="0"/>
          <w:sz w:val="44"/>
          <w:szCs w:val="44"/>
        </w:rPr>
      </w:pPr>
    </w:p>
    <w:p w14:paraId="0463F2C4">
      <w:pPr>
        <w:jc w:val="center"/>
        <w:rPr>
          <w:rFonts w:hint="eastAsia" w:ascii="黑体" w:eastAsia="黑体" w:cs="黑体"/>
          <w:kern w:val="0"/>
          <w:sz w:val="44"/>
          <w:szCs w:val="44"/>
        </w:rPr>
      </w:pPr>
    </w:p>
    <w:p w14:paraId="269B5FBA">
      <w:pPr>
        <w:ind w:firstLine="0"/>
        <w:jc w:val="center"/>
        <w:rPr>
          <w:rFonts w:hint="eastAsia" w:ascii="方正小标宋简体" w:eastAsia="方正小标宋简体"/>
          <w:b/>
          <w:sz w:val="44"/>
          <w:szCs w:val="44"/>
        </w:rPr>
      </w:pPr>
      <w:r>
        <w:rPr>
          <w:rFonts w:hint="eastAsia" w:ascii="方正小标宋简体" w:eastAsia="方正小标宋简体"/>
          <w:b/>
          <w:sz w:val="44"/>
          <w:szCs w:val="44"/>
        </w:rPr>
        <w:t>目    录</w:t>
      </w:r>
    </w:p>
    <w:p w14:paraId="573A5217">
      <w:pPr>
        <w:ind w:firstLine="645"/>
        <w:rPr>
          <w:rFonts w:hint="eastAsia" w:ascii="仿宋_GB2312" w:eastAsia="仿宋_GB2312"/>
          <w:b/>
          <w:sz w:val="32"/>
          <w:szCs w:val="32"/>
        </w:rPr>
      </w:pPr>
    </w:p>
    <w:p w14:paraId="2514E565">
      <w:pPr>
        <w:ind w:right="23" w:rightChars="11" w:firstLine="645"/>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自治区应急管理厅机关服务中心</w:t>
      </w:r>
      <w:r>
        <w:rPr>
          <w:rFonts w:hint="eastAsia" w:ascii="黑体" w:hAnsi="黑体" w:eastAsia="黑体"/>
          <w:sz w:val="32"/>
          <w:szCs w:val="32"/>
        </w:rPr>
        <w:t>概况</w:t>
      </w:r>
    </w:p>
    <w:p w14:paraId="493D8713">
      <w:pPr>
        <w:ind w:firstLine="645"/>
        <w:rPr>
          <w:rFonts w:hint="eastAsia" w:ascii="仿宋_GB2312" w:eastAsia="仿宋_GB2312"/>
          <w:sz w:val="32"/>
          <w:szCs w:val="32"/>
        </w:rPr>
      </w:pPr>
      <w:r>
        <w:rPr>
          <w:rFonts w:hint="eastAsia" w:ascii="仿宋_GB2312" w:eastAsia="仿宋_GB2312"/>
          <w:sz w:val="32"/>
          <w:szCs w:val="32"/>
        </w:rPr>
        <w:t>一、主要职能</w:t>
      </w:r>
    </w:p>
    <w:p w14:paraId="26F6017B">
      <w:pPr>
        <w:ind w:firstLine="645"/>
        <w:rPr>
          <w:rFonts w:hint="eastAsia" w:ascii="仿宋_GB2312" w:eastAsia="仿宋_GB2312"/>
          <w:sz w:val="32"/>
          <w:szCs w:val="32"/>
        </w:rPr>
      </w:pPr>
      <w:r>
        <w:rPr>
          <w:rFonts w:hint="eastAsia" w:ascii="仿宋_GB2312" w:eastAsia="仿宋_GB2312"/>
          <w:sz w:val="32"/>
          <w:szCs w:val="32"/>
        </w:rPr>
        <w:t>二、部门决算单位构成</w:t>
      </w:r>
    </w:p>
    <w:p w14:paraId="673690AF">
      <w:pPr>
        <w:ind w:firstLine="645"/>
        <w:rPr>
          <w:rFonts w:hint="eastAsia" w:ascii="黑体" w:hAnsi="黑体" w:eastAsia="黑体"/>
          <w:sz w:val="32"/>
          <w:szCs w:val="32"/>
        </w:rPr>
      </w:pPr>
      <w:r>
        <w:rPr>
          <w:rFonts w:hint="eastAsia" w:ascii="黑体" w:hAnsi="黑体" w:eastAsia="黑体"/>
          <w:sz w:val="32"/>
          <w:szCs w:val="32"/>
        </w:rPr>
        <w:t>第二部分：</w:t>
      </w:r>
      <w:r>
        <w:rPr>
          <w:rFonts w:hint="eastAsia" w:ascii="黑体" w:hAnsi="黑体" w:eastAsia="黑体"/>
          <w:bCs/>
          <w:color w:val="000000"/>
          <w:sz w:val="32"/>
          <w:szCs w:val="32"/>
          <w:u w:val="none"/>
        </w:rPr>
        <w:t>自治区应急管理厅机关服务中心</w:t>
      </w:r>
      <w:r>
        <w:rPr>
          <w:rFonts w:hint="eastAsia" w:ascii="黑体" w:hAnsi="黑体" w:eastAsia="黑体"/>
          <w:sz w:val="32"/>
          <w:szCs w:val="32"/>
          <w:lang w:eastAsia="zh-CN"/>
        </w:rPr>
        <w:t>2023</w:t>
      </w:r>
      <w:r>
        <w:rPr>
          <w:rFonts w:hint="eastAsia" w:ascii="黑体" w:hAnsi="黑体" w:eastAsia="黑体"/>
          <w:sz w:val="32"/>
          <w:szCs w:val="32"/>
        </w:rPr>
        <w:t>年度部门决算报表</w:t>
      </w:r>
    </w:p>
    <w:p w14:paraId="0904DB61">
      <w:pPr>
        <w:ind w:left="645"/>
        <w:rPr>
          <w:rFonts w:hint="eastAsia" w:ascii="仿宋_GB2312" w:eastAsia="仿宋_GB2312"/>
          <w:sz w:val="32"/>
          <w:szCs w:val="32"/>
        </w:rPr>
      </w:pPr>
      <w:r>
        <w:rPr>
          <w:rFonts w:hint="eastAsia" w:ascii="仿宋_GB2312" w:eastAsia="仿宋_GB2312"/>
          <w:sz w:val="32"/>
          <w:szCs w:val="32"/>
        </w:rPr>
        <w:t>表一：收入支出决算总表</w:t>
      </w:r>
    </w:p>
    <w:p w14:paraId="57B26469">
      <w:pPr>
        <w:ind w:left="645"/>
        <w:rPr>
          <w:rFonts w:hint="eastAsia" w:ascii="仿宋_GB2312" w:eastAsia="仿宋_GB2312"/>
          <w:sz w:val="32"/>
          <w:szCs w:val="32"/>
        </w:rPr>
      </w:pPr>
      <w:r>
        <w:rPr>
          <w:rFonts w:hint="eastAsia" w:ascii="仿宋_GB2312" w:eastAsia="仿宋_GB2312"/>
          <w:sz w:val="32"/>
          <w:szCs w:val="32"/>
        </w:rPr>
        <w:t>表二：收入决算表</w:t>
      </w:r>
    </w:p>
    <w:p w14:paraId="4554BA42">
      <w:pPr>
        <w:ind w:left="645"/>
        <w:rPr>
          <w:rFonts w:hint="eastAsia" w:ascii="仿宋_GB2312" w:eastAsia="仿宋_GB2312"/>
          <w:sz w:val="32"/>
          <w:szCs w:val="32"/>
        </w:rPr>
      </w:pPr>
      <w:r>
        <w:rPr>
          <w:rFonts w:hint="eastAsia" w:ascii="仿宋_GB2312" w:eastAsia="仿宋_GB2312"/>
          <w:sz w:val="32"/>
          <w:szCs w:val="32"/>
        </w:rPr>
        <w:t>表三：支出决算表</w:t>
      </w:r>
    </w:p>
    <w:p w14:paraId="4753CD3E">
      <w:pPr>
        <w:ind w:left="645"/>
        <w:rPr>
          <w:rFonts w:hint="eastAsia" w:ascii="仿宋_GB2312" w:eastAsia="仿宋_GB2312"/>
          <w:color w:val="auto"/>
          <w:sz w:val="32"/>
          <w:szCs w:val="32"/>
        </w:rPr>
      </w:pPr>
      <w:r>
        <w:rPr>
          <w:rFonts w:hint="eastAsia" w:ascii="仿宋_GB2312" w:eastAsia="仿宋_GB2312"/>
          <w:color w:val="auto"/>
          <w:sz w:val="32"/>
          <w:szCs w:val="32"/>
        </w:rPr>
        <w:t>表四：财政拨款收入支出决算总表</w:t>
      </w:r>
    </w:p>
    <w:p w14:paraId="3FE31FEC">
      <w:pPr>
        <w:ind w:left="645"/>
        <w:rPr>
          <w:rFonts w:hint="eastAsia" w:ascii="仿宋_GB2312" w:eastAsia="仿宋_GB2312"/>
          <w:color w:val="auto"/>
          <w:sz w:val="32"/>
          <w:szCs w:val="32"/>
        </w:rPr>
      </w:pPr>
      <w:r>
        <w:rPr>
          <w:rFonts w:hint="eastAsia" w:ascii="仿宋_GB2312" w:eastAsia="仿宋_GB2312"/>
          <w:color w:val="auto"/>
          <w:sz w:val="32"/>
          <w:szCs w:val="32"/>
        </w:rPr>
        <w:t>表五：一般公共预算财政拨款支出决算表</w:t>
      </w:r>
    </w:p>
    <w:p w14:paraId="41541F2A">
      <w:pPr>
        <w:ind w:left="645"/>
        <w:rPr>
          <w:rFonts w:hint="eastAsia" w:ascii="仿宋_GB2312" w:eastAsia="仿宋_GB2312"/>
          <w:color w:val="auto"/>
          <w:sz w:val="32"/>
          <w:szCs w:val="32"/>
        </w:rPr>
      </w:pPr>
      <w:r>
        <w:rPr>
          <w:rFonts w:hint="eastAsia" w:ascii="仿宋_GB2312" w:eastAsia="仿宋_GB2312"/>
          <w:color w:val="auto"/>
          <w:sz w:val="32"/>
          <w:szCs w:val="32"/>
        </w:rPr>
        <w:t>表六：一般公共预算财政拨款基本支出决算明细表</w:t>
      </w:r>
    </w:p>
    <w:p w14:paraId="275A59C5">
      <w:pPr>
        <w:ind w:left="0" w:firstLine="640" w:firstLineChars="200"/>
        <w:rPr>
          <w:rFonts w:hint="eastAsia" w:ascii="仿宋_GB2312" w:eastAsia="仿宋_GB2312"/>
          <w:color w:val="auto"/>
          <w:sz w:val="32"/>
          <w:szCs w:val="32"/>
        </w:rPr>
      </w:pPr>
      <w:r>
        <w:rPr>
          <w:rFonts w:hint="eastAsia" w:ascii="仿宋_GB2312" w:eastAsia="仿宋_GB2312"/>
          <w:color w:val="auto"/>
          <w:sz w:val="32"/>
          <w:szCs w:val="32"/>
        </w:rPr>
        <w:t>表七：一般公共预算财政拨款安排的“三公”经费支出决算表</w:t>
      </w:r>
    </w:p>
    <w:p w14:paraId="7B578274">
      <w:pPr>
        <w:ind w:left="645"/>
        <w:rPr>
          <w:rFonts w:hint="eastAsia" w:ascii="仿宋_GB2312" w:eastAsia="仿宋_GB2312"/>
          <w:color w:val="auto"/>
          <w:sz w:val="32"/>
          <w:szCs w:val="32"/>
        </w:rPr>
      </w:pPr>
      <w:r>
        <w:rPr>
          <w:rFonts w:hint="eastAsia" w:ascii="仿宋_GB2312" w:eastAsia="仿宋_GB2312"/>
          <w:color w:val="auto"/>
          <w:sz w:val="32"/>
          <w:szCs w:val="32"/>
        </w:rPr>
        <w:t>表八：政府性基金</w:t>
      </w:r>
      <w:r>
        <w:rPr>
          <w:rFonts w:hint="eastAsia" w:ascii="仿宋_GB2312" w:hAnsi="黑体" w:eastAsia="仿宋_GB2312"/>
          <w:color w:val="auto"/>
          <w:sz w:val="32"/>
          <w:szCs w:val="32"/>
        </w:rPr>
        <w:t>预算财政拨款</w:t>
      </w:r>
      <w:r>
        <w:rPr>
          <w:rFonts w:hint="eastAsia" w:ascii="仿宋_GB2312" w:eastAsia="仿宋_GB2312"/>
          <w:color w:val="auto"/>
          <w:sz w:val="32"/>
          <w:szCs w:val="32"/>
        </w:rPr>
        <w:t>收入支出决算表</w:t>
      </w:r>
    </w:p>
    <w:p w14:paraId="4D6C957F">
      <w:pPr>
        <w:ind w:left="645"/>
        <w:rPr>
          <w:rFonts w:hint="eastAsia" w:ascii="仿宋_GB2312" w:eastAsia="仿宋_GB2312"/>
          <w:sz w:val="32"/>
          <w:szCs w:val="32"/>
        </w:rPr>
      </w:pPr>
      <w:r>
        <w:rPr>
          <w:rFonts w:hint="eastAsia" w:ascii="仿宋_GB2312" w:eastAsia="仿宋_GB2312"/>
          <w:color w:val="auto"/>
          <w:sz w:val="32"/>
          <w:szCs w:val="32"/>
        </w:rPr>
        <w:t>表九：国有资</w:t>
      </w:r>
      <w:r>
        <w:rPr>
          <w:rFonts w:hint="eastAsia" w:ascii="仿宋_GB2312" w:eastAsia="仿宋_GB2312"/>
          <w:sz w:val="32"/>
          <w:szCs w:val="32"/>
        </w:rPr>
        <w:t>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14:paraId="20A53A96">
      <w:pPr>
        <w:ind w:firstLine="645"/>
        <w:rPr>
          <w:rFonts w:hint="eastAsia" w:ascii="黑体" w:hAnsi="黑体" w:eastAsia="黑体"/>
          <w:sz w:val="32"/>
          <w:szCs w:val="32"/>
        </w:rPr>
      </w:pPr>
      <w:r>
        <w:rPr>
          <w:rFonts w:hint="eastAsia" w:ascii="黑体" w:hAnsi="黑体" w:eastAsia="黑体"/>
          <w:sz w:val="32"/>
          <w:szCs w:val="32"/>
        </w:rPr>
        <w:t>第三部分：</w:t>
      </w:r>
      <w:r>
        <w:rPr>
          <w:rFonts w:hint="eastAsia" w:ascii="黑体" w:hAnsi="黑体" w:eastAsia="黑体"/>
          <w:bCs/>
          <w:color w:val="000000"/>
          <w:sz w:val="32"/>
          <w:szCs w:val="32"/>
          <w:u w:val="none"/>
        </w:rPr>
        <w:t>自治区应急管理厅机关服务中心</w:t>
      </w:r>
      <w:r>
        <w:rPr>
          <w:rFonts w:hint="eastAsia" w:ascii="黑体" w:hAnsi="黑体" w:eastAsia="黑体"/>
          <w:sz w:val="32"/>
          <w:szCs w:val="32"/>
          <w:lang w:eastAsia="zh-CN"/>
        </w:rPr>
        <w:t>2023</w:t>
      </w:r>
      <w:r>
        <w:rPr>
          <w:rFonts w:hint="eastAsia" w:ascii="黑体" w:hAnsi="黑体" w:eastAsia="黑体"/>
          <w:sz w:val="32"/>
          <w:szCs w:val="32"/>
        </w:rPr>
        <w:t>年度部门决算情况说明</w:t>
      </w:r>
    </w:p>
    <w:p w14:paraId="14C44ACB">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lang w:eastAsia="zh-CN"/>
        </w:rPr>
        <w:t>2023</w:t>
      </w:r>
      <w:r>
        <w:rPr>
          <w:rFonts w:hint="eastAsia" w:ascii="仿宋_GB2312" w:eastAsia="仿宋_GB2312" w:cs="仿宋_GB2312"/>
          <w:kern w:val="0"/>
          <w:sz w:val="32"/>
          <w:szCs w:val="32"/>
        </w:rPr>
        <w:t>年度收入支出决算总体情况。</w:t>
      </w:r>
    </w:p>
    <w:p w14:paraId="052EF5DB">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lang w:eastAsia="zh-CN"/>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14:paraId="5A56428A">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年度一般公共预算财政拨款基本支出决算情况说明。</w:t>
      </w:r>
    </w:p>
    <w:p w14:paraId="51C74F7D">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lang w:eastAsia="zh-CN"/>
        </w:rPr>
        <w:t>2023</w:t>
      </w:r>
      <w:r>
        <w:rPr>
          <w:rFonts w:hint="eastAsia" w:ascii="仿宋_GB2312" w:eastAsia="仿宋_GB2312" w:cs="仿宋_GB2312"/>
          <w:kern w:val="0"/>
          <w:sz w:val="32"/>
          <w:szCs w:val="32"/>
        </w:rPr>
        <w:t>年度政府性基金支出决算情况。</w:t>
      </w:r>
    </w:p>
    <w:p w14:paraId="1B9E57CF">
      <w:pPr>
        <w:autoSpaceDE w:val="0"/>
        <w:autoSpaceDN w:val="0"/>
        <w:adjustRightInd w:val="0"/>
        <w:ind w:firstLine="640" w:firstLineChars="200"/>
        <w:jc w:val="left"/>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五、</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年度国有资本经营预算支出决算情况</w:t>
      </w:r>
      <w:r>
        <w:rPr>
          <w:rFonts w:hint="eastAsia" w:ascii="仿宋_GB2312" w:eastAsia="仿宋_GB2312" w:cs="仿宋_GB2312"/>
          <w:kern w:val="0"/>
          <w:sz w:val="32"/>
          <w:szCs w:val="32"/>
          <w:lang w:eastAsia="zh-CN"/>
        </w:rPr>
        <w:t>。</w:t>
      </w:r>
    </w:p>
    <w:p w14:paraId="4A0BBE8A">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公共预算财政拨款安排的“三公”经费支出决算情况说明。</w:t>
      </w:r>
    </w:p>
    <w:p w14:paraId="2D8D3632">
      <w:pPr>
        <w:autoSpaceDE w:val="0"/>
        <w:autoSpaceDN w:val="0"/>
        <w:adjustRightInd w:val="0"/>
        <w:ind w:firstLine="640" w:firstLineChars="200"/>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14:paraId="5EF68CFC">
      <w:pPr>
        <w:autoSpaceDE w:val="0"/>
        <w:autoSpaceDN w:val="0"/>
        <w:adjustRightInd w:val="0"/>
        <w:ind w:firstLine="640" w:firstLineChars="200"/>
        <w:jc w:val="left"/>
        <w:rPr>
          <w:rFonts w:hint="eastAsia" w:ascii="黑体" w:hAnsi="黑体" w:eastAsia="黑体" w:cs="仿宋_GB2312"/>
          <w:kern w:val="0"/>
          <w:sz w:val="32"/>
          <w:szCs w:val="32"/>
        </w:rPr>
      </w:pPr>
      <w:r>
        <w:rPr>
          <w:rFonts w:hint="eastAsia" w:ascii="黑体" w:hAnsi="黑体" w:eastAsia="黑体" w:cs="仿宋_GB2312"/>
          <w:kern w:val="0"/>
          <w:sz w:val="32"/>
          <w:szCs w:val="32"/>
        </w:rPr>
        <w:t>第四部分：名词解释</w:t>
      </w:r>
    </w:p>
    <w:p w14:paraId="7BF4AAD2">
      <w:pPr>
        <w:jc w:val="center"/>
        <w:rPr>
          <w:rFonts w:hint="eastAsia" w:ascii="仿宋_GB2312" w:eastAsia="仿宋_GB2312"/>
        </w:rPr>
      </w:pPr>
    </w:p>
    <w:p w14:paraId="4F70176E">
      <w:pPr>
        <w:rPr>
          <w:rFonts w:hint="eastAsia" w:ascii="仿宋_GB2312" w:eastAsia="仿宋_GB2312"/>
          <w:b/>
          <w:sz w:val="32"/>
          <w:szCs w:val="32"/>
        </w:rPr>
      </w:pPr>
    </w:p>
    <w:p w14:paraId="5959A783">
      <w:pPr>
        <w:rPr>
          <w:rFonts w:hint="eastAsia" w:ascii="仿宋_GB2312" w:eastAsia="仿宋_GB2312"/>
          <w:b/>
          <w:sz w:val="32"/>
          <w:szCs w:val="32"/>
        </w:rPr>
      </w:pPr>
    </w:p>
    <w:p w14:paraId="7867EE2A">
      <w:pPr>
        <w:rPr>
          <w:rFonts w:hint="eastAsia" w:ascii="仿宋_GB2312" w:eastAsia="仿宋_GB2312"/>
          <w:b/>
          <w:sz w:val="32"/>
          <w:szCs w:val="32"/>
        </w:rPr>
      </w:pPr>
    </w:p>
    <w:p w14:paraId="13725C04">
      <w:pPr>
        <w:rPr>
          <w:rFonts w:hint="eastAsia" w:ascii="仿宋_GB2312" w:eastAsia="仿宋_GB2312"/>
          <w:b/>
          <w:sz w:val="32"/>
          <w:szCs w:val="32"/>
        </w:rPr>
      </w:pPr>
    </w:p>
    <w:p w14:paraId="08D00323">
      <w:pPr>
        <w:rPr>
          <w:rFonts w:hint="eastAsia" w:ascii="仿宋_GB2312" w:eastAsia="仿宋_GB2312"/>
          <w:b/>
          <w:sz w:val="32"/>
          <w:szCs w:val="32"/>
        </w:rPr>
      </w:pPr>
    </w:p>
    <w:p w14:paraId="60CB1780">
      <w:pPr>
        <w:rPr>
          <w:rFonts w:hint="eastAsia" w:ascii="仿宋_GB2312" w:eastAsia="仿宋_GB2312"/>
          <w:b/>
          <w:sz w:val="32"/>
          <w:szCs w:val="32"/>
        </w:rPr>
      </w:pPr>
    </w:p>
    <w:p w14:paraId="394DFA21">
      <w:pPr>
        <w:rPr>
          <w:rFonts w:hint="eastAsia" w:ascii="仿宋_GB2312" w:eastAsia="仿宋_GB2312"/>
          <w:b/>
          <w:sz w:val="32"/>
          <w:szCs w:val="32"/>
        </w:rPr>
      </w:pPr>
    </w:p>
    <w:p w14:paraId="682A131B">
      <w:pPr>
        <w:rPr>
          <w:rFonts w:hint="eastAsia" w:ascii="仿宋_GB2312" w:eastAsia="仿宋_GB2312"/>
          <w:b/>
          <w:sz w:val="32"/>
          <w:szCs w:val="32"/>
        </w:rPr>
      </w:pPr>
    </w:p>
    <w:p w14:paraId="7AF14E7D">
      <w:pPr>
        <w:rPr>
          <w:rFonts w:hint="eastAsia" w:ascii="仿宋_GB2312" w:eastAsia="仿宋_GB2312"/>
          <w:b/>
          <w:sz w:val="32"/>
          <w:szCs w:val="32"/>
        </w:rPr>
      </w:pPr>
    </w:p>
    <w:p w14:paraId="04D63AD2">
      <w:pPr>
        <w:rPr>
          <w:rFonts w:hint="eastAsia" w:ascii="仿宋_GB2312" w:eastAsia="仿宋_GB2312"/>
          <w:b/>
          <w:sz w:val="32"/>
          <w:szCs w:val="32"/>
        </w:rPr>
      </w:pPr>
    </w:p>
    <w:p w14:paraId="15A6DE13">
      <w:pPr>
        <w:rPr>
          <w:rFonts w:hint="eastAsia" w:ascii="仿宋_GB2312" w:eastAsia="仿宋_GB2312"/>
          <w:b/>
          <w:sz w:val="32"/>
          <w:szCs w:val="32"/>
        </w:rPr>
      </w:pPr>
    </w:p>
    <w:p w14:paraId="384C3612">
      <w:pPr>
        <w:rPr>
          <w:rFonts w:hint="eastAsia" w:ascii="仿宋_GB2312" w:eastAsia="仿宋_GB2312"/>
          <w:b/>
          <w:sz w:val="32"/>
          <w:szCs w:val="32"/>
        </w:rPr>
      </w:pPr>
    </w:p>
    <w:p w14:paraId="0EB8B8BF">
      <w:pPr>
        <w:rPr>
          <w:rFonts w:hint="eastAsia" w:ascii="仿宋_GB2312" w:eastAsia="仿宋_GB2312"/>
          <w:b/>
          <w:sz w:val="32"/>
          <w:szCs w:val="32"/>
        </w:rPr>
      </w:pPr>
    </w:p>
    <w:p w14:paraId="760FD3F1">
      <w:pPr>
        <w:rPr>
          <w:rFonts w:hint="eastAsia" w:ascii="仿宋_GB2312" w:eastAsia="仿宋_GB2312"/>
          <w:b/>
          <w:sz w:val="32"/>
          <w:szCs w:val="32"/>
        </w:rPr>
      </w:pPr>
    </w:p>
    <w:p w14:paraId="62205682">
      <w:pPr>
        <w:keepNext w:val="0"/>
        <w:keepLines w:val="0"/>
        <w:pageBreakBefore w:val="0"/>
        <w:widowControl w:val="0"/>
        <w:kinsoku/>
        <w:wordWrap/>
        <w:overflowPunct/>
        <w:topLinePunct w:val="0"/>
        <w:bidi w:val="0"/>
        <w:adjustRightInd w:val="0"/>
        <w:snapToGrid w:val="0"/>
        <w:spacing w:line="360" w:lineRule="auto"/>
        <w:ind w:firstLine="646"/>
        <w:jc w:val="center"/>
        <w:textAlignment w:val="auto"/>
        <w:rPr>
          <w:rFonts w:hint="eastAsia" w:ascii="黑体" w:hAnsi="黑体" w:eastAsia="黑体"/>
          <w:sz w:val="32"/>
          <w:szCs w:val="32"/>
        </w:rPr>
      </w:pPr>
      <w:r>
        <w:rPr>
          <w:rFonts w:hint="eastAsia" w:ascii="黑体" w:hAnsi="黑体" w:eastAsia="黑体"/>
          <w:sz w:val="32"/>
          <w:szCs w:val="32"/>
        </w:rPr>
        <w:t>第一部分：</w:t>
      </w:r>
      <w:r>
        <w:rPr>
          <w:rFonts w:hint="eastAsia" w:ascii="黑体" w:hAnsi="黑体" w:eastAsia="黑体"/>
          <w:bCs/>
          <w:color w:val="000000"/>
          <w:sz w:val="32"/>
          <w:szCs w:val="32"/>
          <w:u w:val="none"/>
        </w:rPr>
        <w:t>自治区应急管理厅机关服务中心</w:t>
      </w:r>
      <w:r>
        <w:rPr>
          <w:rFonts w:hint="eastAsia" w:ascii="黑体" w:hAnsi="黑体" w:eastAsia="黑体"/>
          <w:sz w:val="32"/>
          <w:szCs w:val="32"/>
        </w:rPr>
        <w:t>概况</w:t>
      </w:r>
    </w:p>
    <w:p w14:paraId="104F15F4">
      <w:pPr>
        <w:keepNext w:val="0"/>
        <w:keepLines w:val="0"/>
        <w:pageBreakBefore w:val="0"/>
        <w:widowControl w:val="0"/>
        <w:kinsoku/>
        <w:wordWrap/>
        <w:overflowPunct/>
        <w:topLinePunct w:val="0"/>
        <w:bidi w:val="0"/>
        <w:adjustRightInd w:val="0"/>
        <w:snapToGrid w:val="0"/>
        <w:spacing w:line="360" w:lineRule="auto"/>
        <w:ind w:firstLine="646"/>
        <w:textAlignment w:val="auto"/>
        <w:rPr>
          <w:rFonts w:hint="eastAsia" w:ascii="黑体" w:hAnsi="黑体" w:eastAsia="黑体"/>
          <w:sz w:val="32"/>
          <w:szCs w:val="32"/>
        </w:rPr>
      </w:pPr>
      <w:r>
        <w:rPr>
          <w:rFonts w:hint="eastAsia" w:ascii="黑体" w:hAnsi="黑体" w:eastAsia="黑体"/>
          <w:sz w:val="32"/>
          <w:szCs w:val="32"/>
        </w:rPr>
        <w:t>一、主要职能</w:t>
      </w:r>
    </w:p>
    <w:p w14:paraId="294519EF">
      <w:pPr>
        <w:keepNext w:val="0"/>
        <w:keepLines w:val="0"/>
        <w:pageBreakBefore w:val="0"/>
        <w:widowControl w:val="0"/>
        <w:kinsoku/>
        <w:wordWrap/>
        <w:overflowPunct/>
        <w:topLinePunct w:val="0"/>
        <w:bidi w:val="0"/>
        <w:adjustRightInd w:val="0"/>
        <w:snapToGrid w:val="0"/>
        <w:spacing w:line="360" w:lineRule="auto"/>
        <w:ind w:firstLine="645"/>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自治区应急管理厅机关服务中心</w:t>
      </w:r>
      <w:r>
        <w:rPr>
          <w:rFonts w:hint="eastAsia" w:ascii="仿宋_GB2312" w:hAnsi="Times New Roman" w:eastAsia="仿宋_GB2312" w:cs="Times New Roman"/>
          <w:sz w:val="32"/>
          <w:szCs w:val="32"/>
        </w:rPr>
        <w:t>是为应急管理厅机关提供后勤保障服务工作的全额拨款事业单位</w:t>
      </w:r>
      <w:r>
        <w:rPr>
          <w:rFonts w:hint="eastAsia" w:ascii="仿宋_GB2312" w:hAnsi="Times New Roman" w:eastAsia="仿宋_GB2312" w:cs="Times New Roman"/>
          <w:sz w:val="32"/>
          <w:szCs w:val="32"/>
          <w:lang w:eastAsia="zh-CN"/>
        </w:rPr>
        <w:t>。</w:t>
      </w:r>
    </w:p>
    <w:p w14:paraId="585011A4">
      <w:pPr>
        <w:keepNext w:val="0"/>
        <w:keepLines w:val="0"/>
        <w:pageBreakBefore w:val="0"/>
        <w:widowControl w:val="0"/>
        <w:kinsoku/>
        <w:wordWrap/>
        <w:overflowPunct/>
        <w:topLinePunct w:val="0"/>
        <w:bidi w:val="0"/>
        <w:adjustRightInd w:val="0"/>
        <w:snapToGrid w:val="0"/>
        <w:spacing w:line="360" w:lineRule="auto"/>
        <w:ind w:firstLine="646"/>
        <w:textAlignment w:val="auto"/>
        <w:rPr>
          <w:rFonts w:hint="eastAsia" w:ascii="黑体" w:hAnsi="黑体" w:eastAsia="黑体"/>
          <w:sz w:val="32"/>
          <w:szCs w:val="32"/>
        </w:rPr>
      </w:pPr>
      <w:r>
        <w:rPr>
          <w:rFonts w:hint="eastAsia" w:ascii="黑体" w:hAnsi="黑体" w:eastAsia="黑体"/>
          <w:sz w:val="32"/>
          <w:szCs w:val="32"/>
        </w:rPr>
        <w:t>二、部门决算单位构成</w:t>
      </w:r>
    </w:p>
    <w:p w14:paraId="4E0F7FC2">
      <w:pPr>
        <w:keepNext w:val="0"/>
        <w:keepLines w:val="0"/>
        <w:pageBreakBefore w:val="0"/>
        <w:widowControl w:val="0"/>
        <w:kinsoku/>
        <w:wordWrap/>
        <w:overflowPunct/>
        <w:topLinePunct w:val="0"/>
        <w:bidi w:val="0"/>
        <w:adjustRightInd w:val="0"/>
        <w:snapToGrid w:val="0"/>
        <w:spacing w:line="360" w:lineRule="auto"/>
        <w:ind w:firstLine="645"/>
        <w:textAlignment w:val="auto"/>
        <w:rPr>
          <w:rFonts w:hint="eastAsia" w:ascii="仿宋_GB2312" w:eastAsia="仿宋_GB2312"/>
          <w:sz w:val="32"/>
          <w:szCs w:val="32"/>
        </w:rPr>
      </w:pPr>
      <w:r>
        <w:rPr>
          <w:rFonts w:hint="eastAsia" w:ascii="仿宋_GB2312" w:eastAsia="仿宋_GB2312"/>
          <w:sz w:val="32"/>
          <w:szCs w:val="32"/>
        </w:rPr>
        <w:t>自治区</w:t>
      </w:r>
      <w:r>
        <w:rPr>
          <w:rFonts w:hint="eastAsia" w:ascii="仿宋_GB2312" w:eastAsia="仿宋_GB2312"/>
          <w:sz w:val="32"/>
          <w:szCs w:val="32"/>
          <w:lang w:val="en-US" w:eastAsia="zh-CN"/>
        </w:rPr>
        <w:t>应急管理厅</w:t>
      </w:r>
      <w:r>
        <w:rPr>
          <w:rFonts w:hint="eastAsia" w:ascii="仿宋_GB2312" w:eastAsia="仿宋_GB2312"/>
          <w:sz w:val="32"/>
          <w:szCs w:val="32"/>
        </w:rPr>
        <w:t>机关服务中心为公益一类事业单位，属非参照公务员管理的全额事业单位。</w:t>
      </w:r>
    </w:p>
    <w:p w14:paraId="2DC71E56">
      <w:pPr>
        <w:keepNext w:val="0"/>
        <w:keepLines w:val="0"/>
        <w:pageBreakBefore w:val="0"/>
        <w:widowControl w:val="0"/>
        <w:kinsoku/>
        <w:wordWrap/>
        <w:overflowPunct/>
        <w:topLinePunct w:val="0"/>
        <w:bidi w:val="0"/>
        <w:adjustRightInd w:val="0"/>
        <w:snapToGrid w:val="0"/>
        <w:spacing w:line="360" w:lineRule="auto"/>
        <w:ind w:firstLine="645"/>
        <w:textAlignment w:val="auto"/>
        <w:rPr>
          <w:rFonts w:hint="eastAsia" w:ascii="仿宋_GB2312" w:eastAsia="仿宋_GB2312"/>
          <w:sz w:val="32"/>
          <w:szCs w:val="32"/>
        </w:rPr>
      </w:pPr>
    </w:p>
    <w:p w14:paraId="03D87A9C">
      <w:pPr>
        <w:keepNext w:val="0"/>
        <w:keepLines w:val="0"/>
        <w:pageBreakBefore w:val="0"/>
        <w:widowControl w:val="0"/>
        <w:kinsoku/>
        <w:wordWrap/>
        <w:overflowPunct/>
        <w:topLinePunct w:val="0"/>
        <w:bidi w:val="0"/>
        <w:adjustRightInd w:val="0"/>
        <w:snapToGrid w:val="0"/>
        <w:spacing w:line="360" w:lineRule="auto"/>
        <w:ind w:firstLine="0"/>
        <w:jc w:val="center"/>
        <w:textAlignment w:val="auto"/>
        <w:rPr>
          <w:rFonts w:hint="eastAsia" w:ascii="黑体" w:hAnsi="黑体" w:eastAsia="黑体"/>
          <w:bCs/>
          <w:color w:val="000000"/>
          <w:sz w:val="32"/>
          <w:szCs w:val="32"/>
          <w:u w:val="none"/>
        </w:rPr>
      </w:pPr>
      <w:r>
        <w:rPr>
          <w:rFonts w:hint="eastAsia" w:ascii="黑体" w:hAnsi="黑体" w:eastAsia="黑体"/>
          <w:sz w:val="32"/>
          <w:szCs w:val="32"/>
        </w:rPr>
        <w:t>第二部分：</w:t>
      </w:r>
      <w:r>
        <w:rPr>
          <w:rFonts w:hint="eastAsia" w:ascii="黑体" w:hAnsi="黑体" w:eastAsia="黑体"/>
          <w:bCs/>
          <w:color w:val="000000"/>
          <w:sz w:val="32"/>
          <w:szCs w:val="32"/>
          <w:u w:val="none"/>
        </w:rPr>
        <w:t>自治区应急管理厅机关服务中心</w:t>
      </w:r>
    </w:p>
    <w:p w14:paraId="6F98B4F1">
      <w:pPr>
        <w:keepNext w:val="0"/>
        <w:keepLines w:val="0"/>
        <w:pageBreakBefore w:val="0"/>
        <w:widowControl w:val="0"/>
        <w:kinsoku/>
        <w:wordWrap/>
        <w:overflowPunct/>
        <w:topLinePunct w:val="0"/>
        <w:bidi w:val="0"/>
        <w:adjustRightInd w:val="0"/>
        <w:snapToGrid w:val="0"/>
        <w:spacing w:line="360" w:lineRule="auto"/>
        <w:ind w:firstLine="0"/>
        <w:jc w:val="center"/>
        <w:textAlignment w:val="auto"/>
        <w:rPr>
          <w:rFonts w:ascii="黑体" w:hAnsi="黑体" w:eastAsia="黑体"/>
          <w:sz w:val="32"/>
          <w:szCs w:val="32"/>
        </w:rPr>
      </w:pPr>
      <w:r>
        <w:rPr>
          <w:rFonts w:hint="eastAsia" w:ascii="黑体" w:hAnsi="黑体" w:eastAsia="黑体"/>
          <w:sz w:val="32"/>
          <w:szCs w:val="32"/>
          <w:lang w:eastAsia="zh-CN"/>
        </w:rPr>
        <w:t>2023</w:t>
      </w:r>
      <w:r>
        <w:rPr>
          <w:rFonts w:hint="eastAsia" w:ascii="黑体" w:hAnsi="黑体" w:eastAsia="黑体"/>
          <w:sz w:val="32"/>
          <w:szCs w:val="32"/>
        </w:rPr>
        <w:t>年度部门决算报表</w:t>
      </w:r>
    </w:p>
    <w:p w14:paraId="56CD1795">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表一：收入支出决算总表</w:t>
      </w:r>
    </w:p>
    <w:p w14:paraId="4A647012">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表二：收入决算表</w:t>
      </w:r>
    </w:p>
    <w:p w14:paraId="4C98D868">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表三：支出决算表</w:t>
      </w:r>
    </w:p>
    <w:p w14:paraId="3AF0401F">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sz w:val="32"/>
          <w:szCs w:val="32"/>
        </w:rPr>
      </w:pPr>
      <w:r>
        <w:rPr>
          <w:rFonts w:hint="eastAsia" w:ascii="仿宋_GB2312" w:hAnsi="黑体" w:eastAsia="仿宋_GB2312"/>
          <w:sz w:val="32"/>
          <w:szCs w:val="32"/>
        </w:rPr>
        <w:t>表四：财政拨款收入支出决算总表</w:t>
      </w:r>
    </w:p>
    <w:p w14:paraId="29C3F2B8">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表五：一般公共预算财政拨款支出决算表</w:t>
      </w:r>
    </w:p>
    <w:p w14:paraId="677FC780">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表六：一般公共预算财政拨款基本支出决算表</w:t>
      </w:r>
    </w:p>
    <w:p w14:paraId="3840AA4A">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表七：一般公共预算财政拨款安排的“三公”经费支出决算表</w:t>
      </w:r>
    </w:p>
    <w:p w14:paraId="54E0E9AC">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olor w:val="auto"/>
          <w:sz w:val="32"/>
          <w:szCs w:val="32"/>
        </w:rPr>
      </w:pPr>
      <w:r>
        <w:rPr>
          <w:rFonts w:hint="eastAsia" w:ascii="仿宋_GB2312" w:hAnsi="黑体" w:eastAsia="仿宋_GB2312"/>
          <w:color w:val="auto"/>
          <w:sz w:val="32"/>
          <w:szCs w:val="32"/>
        </w:rPr>
        <w:t>表八：政府性基金预算财政拨款收入支出决算表</w:t>
      </w:r>
    </w:p>
    <w:p w14:paraId="50B90162">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sz w:val="32"/>
          <w:szCs w:val="32"/>
        </w:rPr>
      </w:pPr>
      <w:r>
        <w:rPr>
          <w:rFonts w:hint="eastAsia" w:ascii="仿宋_GB2312" w:hAnsi="黑体" w:eastAsia="仿宋_GB2312"/>
          <w:color w:val="auto"/>
          <w:sz w:val="32"/>
          <w:szCs w:val="32"/>
        </w:rPr>
        <w:t>表九：国有</w:t>
      </w:r>
      <w:r>
        <w:rPr>
          <w:rFonts w:hint="eastAsia" w:ascii="仿宋_GB2312" w:hAnsi="黑体" w:eastAsia="仿宋_GB2312"/>
          <w:sz w:val="32"/>
          <w:szCs w:val="32"/>
        </w:rPr>
        <w:t>资本经营预算财政拨款收入支出决算表</w:t>
      </w:r>
    </w:p>
    <w:p w14:paraId="39873B58">
      <w:pPr>
        <w:keepNext w:val="0"/>
        <w:keepLines w:val="0"/>
        <w:pageBreakBefore w:val="0"/>
        <w:widowControl w:val="0"/>
        <w:kinsoku/>
        <w:wordWrap/>
        <w:overflowPunct/>
        <w:topLinePunct w:val="0"/>
        <w:bidi w:val="0"/>
        <w:adjustRightInd w:val="0"/>
        <w:snapToGrid w:val="0"/>
        <w:spacing w:line="360" w:lineRule="auto"/>
        <w:ind w:firstLine="640"/>
        <w:textAlignment w:val="auto"/>
        <w:rPr>
          <w:rFonts w:hint="eastAsia"/>
        </w:rPr>
      </w:pPr>
      <w:r>
        <w:rPr>
          <w:rFonts w:hint="eastAsia" w:ascii="仿宋_GB2312" w:hAnsi="黑体" w:eastAsia="仿宋_GB2312"/>
          <w:sz w:val="32"/>
          <w:szCs w:val="32"/>
        </w:rPr>
        <w:t>上述报表详见附件(自治区</w:t>
      </w:r>
      <w:r>
        <w:rPr>
          <w:rFonts w:hint="eastAsia" w:ascii="仿宋_GB2312" w:hAnsi="黑体" w:eastAsia="仿宋_GB2312"/>
          <w:sz w:val="32"/>
          <w:szCs w:val="32"/>
          <w:lang w:val="en-US" w:eastAsia="zh-CN"/>
        </w:rPr>
        <w:t>应急管理厅</w:t>
      </w:r>
      <w:r>
        <w:rPr>
          <w:rFonts w:hint="eastAsia" w:ascii="仿宋_GB2312" w:hAnsi="黑体" w:eastAsia="仿宋_GB2312"/>
          <w:sz w:val="32"/>
          <w:szCs w:val="32"/>
        </w:rPr>
        <w:t>机关服务中心</w:t>
      </w:r>
      <w:r>
        <w:rPr>
          <w:rFonts w:hint="eastAsia" w:ascii="仿宋_GB2312" w:hAnsi="黑体" w:eastAsia="仿宋_GB2312"/>
          <w:sz w:val="32"/>
          <w:szCs w:val="32"/>
          <w:lang w:eastAsia="zh-CN"/>
        </w:rPr>
        <w:t>2023</w:t>
      </w:r>
      <w:r>
        <w:rPr>
          <w:rFonts w:hint="eastAsia" w:ascii="仿宋_GB2312" w:hAnsi="黑体" w:eastAsia="仿宋_GB2312"/>
          <w:sz w:val="32"/>
          <w:szCs w:val="32"/>
        </w:rPr>
        <w:t>年度单位决算公开报表)。</w:t>
      </w:r>
    </w:p>
    <w:p w14:paraId="6AD6F045">
      <w:pPr>
        <w:keepNext w:val="0"/>
        <w:keepLines w:val="0"/>
        <w:pageBreakBefore w:val="0"/>
        <w:widowControl w:val="0"/>
        <w:kinsoku/>
        <w:wordWrap/>
        <w:overflowPunct/>
        <w:topLinePunct w:val="0"/>
        <w:bidi w:val="0"/>
        <w:adjustRightInd w:val="0"/>
        <w:snapToGrid w:val="0"/>
        <w:spacing w:line="360" w:lineRule="auto"/>
        <w:textAlignment w:val="auto"/>
        <w:rPr>
          <w:rFonts w:hint="eastAsia" w:ascii="仿宋_GB2312" w:eastAsia="仿宋_GB2312"/>
          <w:b/>
          <w:sz w:val="32"/>
          <w:szCs w:val="32"/>
        </w:rPr>
        <w:sectPr>
          <w:footerReference r:id="rId3" w:type="default"/>
          <w:footerReference r:id="rId4" w:type="even"/>
          <w:pgSz w:w="11906" w:h="16838"/>
          <w:pgMar w:top="1701" w:right="1474" w:bottom="1247" w:left="1587" w:header="851" w:footer="992" w:gutter="0"/>
          <w:cols w:space="720" w:num="1"/>
          <w:docGrid w:type="lines" w:linePitch="312" w:charSpace="0"/>
        </w:sectPr>
      </w:pPr>
    </w:p>
    <w:p w14:paraId="21FC26F9">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bCs/>
          <w:color w:val="000000"/>
          <w:sz w:val="32"/>
          <w:szCs w:val="32"/>
          <w:u w:val="none"/>
          <w:lang w:val="en-US" w:eastAsia="zh-CN"/>
        </w:rPr>
      </w:pPr>
      <w:r>
        <w:rPr>
          <w:rFonts w:hint="eastAsia" w:ascii="黑体" w:hAnsi="黑体" w:eastAsia="黑体"/>
          <w:sz w:val="32"/>
          <w:szCs w:val="32"/>
        </w:rPr>
        <w:t>第三部分：</w:t>
      </w:r>
      <w:r>
        <w:rPr>
          <w:rFonts w:hint="eastAsia" w:ascii="黑体" w:hAnsi="黑体" w:eastAsia="黑体"/>
          <w:bCs/>
          <w:color w:val="000000"/>
          <w:sz w:val="32"/>
          <w:szCs w:val="32"/>
          <w:u w:val="none"/>
          <w:lang w:val="en-US" w:eastAsia="zh-CN"/>
        </w:rPr>
        <w:t>自治区应急管理厅机关服务中心</w:t>
      </w:r>
    </w:p>
    <w:p w14:paraId="1522B85D">
      <w:pPr>
        <w:keepNext w:val="0"/>
        <w:keepLines w:val="0"/>
        <w:pageBreakBefore w:val="0"/>
        <w:widowControl w:val="0"/>
        <w:kinsoku/>
        <w:wordWrap/>
        <w:overflowPunct/>
        <w:topLinePunct w:val="0"/>
        <w:bidi w:val="0"/>
        <w:adjustRightInd w:val="0"/>
        <w:snapToGrid w:val="0"/>
        <w:spacing w:line="360" w:lineRule="auto"/>
        <w:jc w:val="center"/>
        <w:textAlignment w:val="auto"/>
        <w:rPr>
          <w:rFonts w:hint="eastAsia" w:ascii="黑体" w:hAnsi="黑体" w:eastAsia="黑体"/>
          <w:sz w:val="32"/>
          <w:szCs w:val="32"/>
        </w:rPr>
      </w:pPr>
      <w:r>
        <w:rPr>
          <w:rFonts w:hint="eastAsia" w:ascii="黑体" w:hAnsi="黑体" w:eastAsia="黑体"/>
          <w:sz w:val="32"/>
          <w:szCs w:val="32"/>
          <w:lang w:eastAsia="zh-CN"/>
        </w:rPr>
        <w:t>2023</w:t>
      </w:r>
      <w:r>
        <w:rPr>
          <w:rFonts w:hint="eastAsia" w:ascii="黑体" w:hAnsi="黑体" w:eastAsia="黑体"/>
          <w:sz w:val="32"/>
          <w:szCs w:val="32"/>
        </w:rPr>
        <w:t>年度部门决算情况说明</w:t>
      </w:r>
    </w:p>
    <w:p w14:paraId="5ED56DA2">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一、</w:t>
      </w:r>
      <w:r>
        <w:rPr>
          <w:rFonts w:hint="eastAsia" w:ascii="黑体" w:hAnsi="黑体" w:eastAsia="黑体"/>
          <w:kern w:val="0"/>
          <w:sz w:val="32"/>
          <w:szCs w:val="32"/>
          <w:lang w:eastAsia="zh-CN"/>
        </w:rPr>
        <w:t>2023</w:t>
      </w:r>
      <w:r>
        <w:rPr>
          <w:rFonts w:hint="eastAsia" w:ascii="黑体" w:hAnsi="黑体" w:eastAsia="黑体" w:cs="仿宋_GB2312"/>
          <w:kern w:val="0"/>
          <w:sz w:val="32"/>
          <w:szCs w:val="32"/>
        </w:rPr>
        <w:t>年度收入支出决算总体情况</w:t>
      </w:r>
    </w:p>
    <w:p w14:paraId="7AA3FE5D">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（一）本部门</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年度总收入</w:t>
      </w:r>
      <w:r>
        <w:rPr>
          <w:rFonts w:hint="eastAsia" w:ascii="仿宋_GB2312" w:eastAsia="仿宋_GB2312"/>
          <w:kern w:val="0"/>
          <w:sz w:val="32"/>
          <w:szCs w:val="32"/>
          <w:lang w:val="en-US" w:eastAsia="zh-CN"/>
        </w:rPr>
        <w:t>100.64</w:t>
      </w:r>
      <w:r>
        <w:rPr>
          <w:rFonts w:hint="eastAsia" w:ascii="仿宋_GB2312" w:eastAsia="仿宋_GB2312" w:cs="仿宋_GB2312"/>
          <w:kern w:val="0"/>
          <w:sz w:val="32"/>
          <w:szCs w:val="32"/>
        </w:rPr>
        <w:t>万元，本年收入</w:t>
      </w:r>
      <w:r>
        <w:rPr>
          <w:rFonts w:hint="eastAsia" w:ascii="仿宋_GB2312" w:eastAsia="仿宋_GB2312"/>
          <w:kern w:val="0"/>
          <w:sz w:val="32"/>
          <w:szCs w:val="32"/>
          <w:lang w:val="en-US" w:eastAsia="zh-CN"/>
        </w:rPr>
        <w:t>100.64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eastAsia="仿宋_GB2312" w:cs="仿宋_GB2312"/>
          <w:kern w:val="0"/>
          <w:sz w:val="32"/>
          <w:szCs w:val="32"/>
          <w:lang w:val="en-US" w:eastAsia="zh-CN"/>
        </w:rPr>
        <w:t>上年结转和结余0.00万元，总收入比</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增加1.89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增长1.91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收入具体情况如下</w:t>
      </w:r>
      <w:r>
        <w:rPr>
          <w:rFonts w:hint="eastAsia" w:ascii="仿宋_GB2312" w:eastAsia="仿宋_GB2312" w:cs="仿宋_GB2312"/>
          <w:kern w:val="0"/>
          <w:sz w:val="32"/>
          <w:szCs w:val="32"/>
          <w:lang w:eastAsia="zh-CN"/>
        </w:rPr>
        <w:t>：</w:t>
      </w:r>
    </w:p>
    <w:p w14:paraId="34860533">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黑体" w:eastAsia="仿宋_GB2312" w:cs="仿宋_GB2312"/>
          <w:kern w:val="0"/>
          <w:sz w:val="32"/>
          <w:szCs w:val="32"/>
        </w:rPr>
      </w:pPr>
      <w:r>
        <w:rPr>
          <w:rFonts w:hint="eastAsia" w:ascii="仿宋_GB2312" w:eastAsia="仿宋_GB2312" w:cs="仿宋_GB2312"/>
          <w:kern w:val="0"/>
          <w:sz w:val="32"/>
          <w:szCs w:val="32"/>
        </w:rPr>
        <w:t>一般公共预算财政拨款收入</w:t>
      </w:r>
      <w:r>
        <w:rPr>
          <w:rFonts w:hint="eastAsia" w:ascii="仿宋_GB2312" w:eastAsia="仿宋_GB2312"/>
          <w:kern w:val="0"/>
          <w:sz w:val="32"/>
          <w:szCs w:val="32"/>
          <w:lang w:val="en-US" w:eastAsia="zh-CN"/>
        </w:rPr>
        <w:t>100.64</w:t>
      </w:r>
      <w:r>
        <w:rPr>
          <w:rFonts w:hint="eastAsia" w:ascii="仿宋_GB2312" w:eastAsia="仿宋_GB2312" w:cs="仿宋_GB2312"/>
          <w:kern w:val="0"/>
          <w:sz w:val="32"/>
          <w:szCs w:val="32"/>
        </w:rPr>
        <w:t>万元，为自治区本级财政当年拨付的资金。</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增加1.89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增长1.91</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highlight w:val="none"/>
        </w:rPr>
        <w:t>主要原因</w:t>
      </w:r>
      <w:r>
        <w:rPr>
          <w:rFonts w:hint="eastAsia" w:ascii="仿宋_GB2312" w:hAnsi="黑体" w:eastAsia="仿宋_GB2312" w:cs="仿宋_GB2312"/>
          <w:kern w:val="0"/>
          <w:sz w:val="32"/>
          <w:szCs w:val="32"/>
          <w:highlight w:val="none"/>
          <w:lang w:val="en-US" w:eastAsia="zh-CN"/>
        </w:rPr>
        <w:t>一是新增2名在编人员；二是五险一金等基数调整</w:t>
      </w:r>
      <w:r>
        <w:rPr>
          <w:rFonts w:hint="eastAsia" w:ascii="仿宋_GB2312" w:hAnsi="黑体" w:eastAsia="仿宋_GB2312" w:cs="仿宋_GB2312"/>
          <w:kern w:val="0"/>
          <w:sz w:val="32"/>
          <w:szCs w:val="32"/>
        </w:rPr>
        <w:t>。</w:t>
      </w:r>
    </w:p>
    <w:p w14:paraId="43C07F6C">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rPr>
        <w:t>本单位没有政府性基金预算财政拨款收入、国有资本经营预算财政拨款收入、事业收入、经营收入、</w:t>
      </w:r>
      <w:r>
        <w:rPr>
          <w:rFonts w:hint="eastAsia" w:ascii="仿宋_GB2312" w:hAnsi="黑体" w:eastAsia="仿宋_GB2312" w:cs="仿宋_GB2312"/>
          <w:kern w:val="0"/>
          <w:sz w:val="32"/>
          <w:szCs w:val="32"/>
          <w:lang w:val="en-US" w:eastAsia="zh-CN"/>
        </w:rPr>
        <w:t>附属单位上缴收入、</w:t>
      </w:r>
      <w:r>
        <w:rPr>
          <w:rFonts w:hint="eastAsia" w:ascii="仿宋_GB2312" w:hAnsi="黑体" w:eastAsia="仿宋_GB2312" w:cs="仿宋_GB2312"/>
          <w:kern w:val="0"/>
          <w:sz w:val="32"/>
          <w:szCs w:val="32"/>
        </w:rPr>
        <w:t>其他收入</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rPr>
        <w:t>使用非财政拨款结余</w:t>
      </w:r>
      <w:r>
        <w:rPr>
          <w:rFonts w:hint="eastAsia" w:ascii="仿宋_GB2312" w:hAnsi="黑体" w:eastAsia="仿宋_GB2312" w:cs="仿宋_GB2312"/>
          <w:kern w:val="0"/>
          <w:sz w:val="32"/>
          <w:szCs w:val="32"/>
          <w:lang w:val="en-US" w:eastAsia="zh-CN"/>
        </w:rPr>
        <w:t>以及年初结转和结余</w:t>
      </w:r>
      <w:r>
        <w:rPr>
          <w:rFonts w:hint="eastAsia" w:ascii="仿宋_GB2312" w:hAnsi="黑体" w:eastAsia="仿宋_GB2312" w:cs="仿宋_GB2312"/>
          <w:kern w:val="0"/>
          <w:sz w:val="32"/>
          <w:szCs w:val="32"/>
        </w:rPr>
        <w:t>的情况。</w:t>
      </w:r>
    </w:p>
    <w:p w14:paraId="7730DDF2">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（二）本部门</w:t>
      </w: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年度总支出</w:t>
      </w:r>
      <w:r>
        <w:rPr>
          <w:rFonts w:hint="eastAsia" w:ascii="仿宋_GB2312" w:eastAsia="仿宋_GB2312"/>
          <w:kern w:val="0"/>
          <w:sz w:val="32"/>
          <w:szCs w:val="32"/>
          <w:lang w:val="en-US" w:eastAsia="zh-CN"/>
        </w:rPr>
        <w:t>100.64</w:t>
      </w:r>
      <w:r>
        <w:rPr>
          <w:rFonts w:hint="eastAsia" w:ascii="仿宋_GB2312" w:eastAsia="仿宋_GB2312" w:cs="仿宋_GB2312"/>
          <w:kern w:val="0"/>
          <w:sz w:val="32"/>
          <w:szCs w:val="32"/>
        </w:rPr>
        <w:t>万元，本年支出</w:t>
      </w:r>
      <w:r>
        <w:rPr>
          <w:rFonts w:hint="eastAsia" w:ascii="仿宋_GB2312" w:eastAsia="仿宋_GB2312"/>
          <w:kern w:val="0"/>
          <w:sz w:val="32"/>
          <w:szCs w:val="32"/>
          <w:lang w:val="en-US" w:eastAsia="zh-CN"/>
        </w:rPr>
        <w:t>100.64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增加1.89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增长1.91</w:t>
      </w:r>
      <w:r>
        <w:rPr>
          <w:rFonts w:hint="eastAsia" w:ascii="仿宋_GB2312" w:hAnsi="黑体" w:eastAsia="仿宋_GB2312" w:cs="仿宋_GB2312"/>
          <w:kern w:val="0"/>
          <w:sz w:val="32"/>
          <w:szCs w:val="32"/>
        </w:rPr>
        <w:t>%。</w:t>
      </w:r>
      <w:r>
        <w:rPr>
          <w:rFonts w:hint="eastAsia" w:ascii="仿宋_GB2312" w:eastAsia="仿宋_GB2312" w:cs="仿宋_GB2312"/>
          <w:kern w:val="0"/>
          <w:sz w:val="32"/>
          <w:szCs w:val="32"/>
        </w:rPr>
        <w:t>支出具体情况如下：</w:t>
      </w:r>
    </w:p>
    <w:p w14:paraId="0920D4EF">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kern w:val="0"/>
          <w:sz w:val="32"/>
          <w:szCs w:val="32"/>
          <w:lang w:val="en-US" w:eastAsia="zh-CN"/>
        </w:rPr>
        <w:t>1.社会保障和</w:t>
      </w:r>
      <w:r>
        <w:rPr>
          <w:rFonts w:hint="eastAsia" w:ascii="仿宋_GB2312" w:eastAsia="仿宋_GB2312" w:cs="仿宋_GB2312"/>
          <w:color w:val="auto"/>
          <w:kern w:val="0"/>
          <w:sz w:val="32"/>
          <w:szCs w:val="32"/>
          <w:lang w:val="en-US" w:eastAsia="zh-CN"/>
        </w:rPr>
        <w:t>就业支出（类）21.76万元，主要用于按国家规定发放的退休人员工资津补贴，单位基本养老保险、职业年金缴费支出，死亡抚恤等。</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减少6.01</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下降21.64</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主要原因是单位基本养老保险、职业年金缴费基数调整</w:t>
      </w:r>
      <w:r>
        <w:rPr>
          <w:rFonts w:hint="eastAsia" w:ascii="仿宋_GB2312" w:eastAsia="仿宋_GB2312" w:cs="仿宋_GB2312"/>
          <w:color w:val="auto"/>
          <w:kern w:val="0"/>
          <w:sz w:val="32"/>
          <w:szCs w:val="32"/>
          <w:lang w:val="en-US" w:eastAsia="zh-CN"/>
        </w:rPr>
        <w:t>。</w:t>
      </w:r>
    </w:p>
    <w:p w14:paraId="233B0BC8">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color w:val="auto"/>
          <w:kern w:val="0"/>
          <w:sz w:val="32"/>
          <w:szCs w:val="32"/>
          <w:lang w:val="en-US" w:eastAsia="zh-CN"/>
        </w:rPr>
        <w:t>2.卫生健康支出（类）4.24万元，主要用于按规定比例计缴的医疗保险。</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减少0.74万元</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下降14.86</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主要原因为医疗保险基数调整</w:t>
      </w:r>
      <w:r>
        <w:rPr>
          <w:rFonts w:hint="eastAsia" w:ascii="仿宋_GB2312" w:eastAsia="仿宋_GB2312" w:cs="仿宋_GB2312"/>
          <w:color w:val="auto"/>
          <w:kern w:val="0"/>
          <w:sz w:val="32"/>
          <w:szCs w:val="32"/>
          <w:lang w:val="en-US" w:eastAsia="zh-CN"/>
        </w:rPr>
        <w:t>。</w:t>
      </w:r>
    </w:p>
    <w:p w14:paraId="5CEE501D">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3.住房保障支出（类）6.72万元，主要用于按照国家政策规定向职工发放的住房公积金等住房改革方面的支出。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增加6.72</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主要原因是2022年下达指标科目有误，将公积金保障科目计入社会保障和就业支出科目，2023年已调整正确</w:t>
      </w:r>
      <w:r>
        <w:rPr>
          <w:rFonts w:hint="eastAsia" w:ascii="仿宋_GB2312" w:eastAsia="仿宋_GB2312" w:cs="仿宋_GB2312"/>
          <w:color w:val="auto"/>
          <w:kern w:val="0"/>
          <w:sz w:val="32"/>
          <w:szCs w:val="32"/>
          <w:lang w:val="en-US" w:eastAsia="zh-CN"/>
        </w:rPr>
        <w:t>。</w:t>
      </w:r>
    </w:p>
    <w:p w14:paraId="7219C352">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4.灾害防治及应急管理支出67.92万元，主要用于根据国家规定的基本工资和津补贴标准等安排的人员经费支出、按自治区统一规定的开支标准安排的日常公用经费支出以及厅机关办公与职工生活后勤服务支出。</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增加1.93</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增长2.92%</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主要原因是2023年新增2名在编人员</w:t>
      </w:r>
      <w:r>
        <w:rPr>
          <w:rFonts w:hint="eastAsia" w:ascii="仿宋_GB2312" w:eastAsia="仿宋_GB2312" w:cs="仿宋_GB2312"/>
          <w:color w:val="auto"/>
          <w:kern w:val="0"/>
          <w:sz w:val="32"/>
          <w:szCs w:val="32"/>
          <w:lang w:val="en-US" w:eastAsia="zh-CN"/>
        </w:rPr>
        <w:t>。</w:t>
      </w:r>
    </w:p>
    <w:p w14:paraId="48828C7C">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lang w:val="en-US" w:eastAsia="zh-CN"/>
        </w:rPr>
        <w:t>5.年末结转和结余0.00万元，为本年度或以前年度预算安排、因客观条件发生变化无法按原计划实施，需要延迟到以后年度按有关规定继续使用的资金。与2022年持平。</w:t>
      </w:r>
    </w:p>
    <w:p w14:paraId="2DC3F08D">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color w:val="auto"/>
          <w:kern w:val="0"/>
          <w:sz w:val="32"/>
          <w:szCs w:val="32"/>
        </w:rPr>
      </w:pPr>
      <w:r>
        <w:rPr>
          <w:rFonts w:hint="eastAsia" w:ascii="仿宋_GB2312" w:eastAsia="仿宋_GB2312"/>
          <w:bCs/>
          <w:color w:val="auto"/>
          <w:kern w:val="0"/>
          <w:sz w:val="32"/>
          <w:szCs w:val="32"/>
          <w:lang w:val="en-US" w:eastAsia="zh-CN"/>
        </w:rPr>
        <w:t>6</w:t>
      </w:r>
      <w:r>
        <w:rPr>
          <w:rFonts w:hint="eastAsia" w:ascii="仿宋_GB2312" w:eastAsia="仿宋_GB2312" w:cs="仿宋_GB2312"/>
          <w:color w:val="auto"/>
          <w:kern w:val="0"/>
          <w:sz w:val="32"/>
          <w:szCs w:val="32"/>
        </w:rPr>
        <w:t>.结余分配</w:t>
      </w:r>
      <w:r>
        <w:rPr>
          <w:rFonts w:hint="eastAsia" w:ascii="仿宋_GB2312" w:eastAsia="仿宋_GB2312"/>
          <w:color w:val="auto"/>
          <w:kern w:val="0"/>
          <w:sz w:val="32"/>
          <w:szCs w:val="32"/>
          <w:lang w:val="en-US" w:eastAsia="zh-CN"/>
        </w:rPr>
        <w:t>0.00</w:t>
      </w:r>
      <w:r>
        <w:rPr>
          <w:rFonts w:hint="eastAsia" w:ascii="仿宋_GB2312" w:eastAsia="仿宋_GB2312" w:cs="仿宋_GB2312"/>
          <w:color w:val="auto"/>
          <w:kern w:val="0"/>
          <w:sz w:val="32"/>
          <w:szCs w:val="32"/>
        </w:rPr>
        <w:t>万元，为事业单位按规定提取的专用结余、缴纳所得税和转入非财政拨款结余等。</w:t>
      </w:r>
      <w:r>
        <w:rPr>
          <w:rFonts w:hint="eastAsia" w:ascii="仿宋_GB2312" w:hAnsi="黑体" w:eastAsia="仿宋_GB2312" w:cs="仿宋_GB2312"/>
          <w:color w:val="auto"/>
          <w:kern w:val="0"/>
          <w:sz w:val="32"/>
          <w:szCs w:val="32"/>
          <w:lang w:val="en-US" w:eastAsia="zh-CN"/>
        </w:rPr>
        <w:t>与2022年持平</w:t>
      </w:r>
      <w:r>
        <w:rPr>
          <w:rFonts w:hint="eastAsia" w:ascii="仿宋_GB2312" w:hAnsi="黑体" w:eastAsia="仿宋_GB2312" w:cs="仿宋_GB2312"/>
          <w:color w:val="auto"/>
          <w:kern w:val="0"/>
          <w:sz w:val="32"/>
          <w:szCs w:val="32"/>
        </w:rPr>
        <w:t>。</w:t>
      </w:r>
    </w:p>
    <w:p w14:paraId="6A1A8F50">
      <w:pPr>
        <w:keepNext w:val="0"/>
        <w:keepLines w:val="0"/>
        <w:pageBreakBefore w:val="0"/>
        <w:widowControl w:val="0"/>
        <w:kinsoku/>
        <w:wordWrap/>
        <w:overflowPunct/>
        <w:topLinePunct w:val="0"/>
        <w:autoSpaceDE w:val="0"/>
        <w:autoSpaceDN w:val="0"/>
        <w:bidi w:val="0"/>
        <w:adjustRightInd w:val="0"/>
        <w:snapToGrid w:val="0"/>
        <w:spacing w:line="360" w:lineRule="auto"/>
        <w:ind w:right="-506" w:rightChars="-241" w:firstLine="640" w:firstLineChars="200"/>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二、</w:t>
      </w:r>
      <w:r>
        <w:rPr>
          <w:rFonts w:hint="eastAsia" w:ascii="黑体" w:hAnsi="黑体" w:eastAsia="黑体"/>
          <w:color w:val="auto"/>
          <w:kern w:val="0"/>
          <w:sz w:val="32"/>
          <w:szCs w:val="32"/>
          <w:lang w:eastAsia="zh-CN"/>
        </w:rPr>
        <w:t>2023</w:t>
      </w:r>
      <w:r>
        <w:rPr>
          <w:rFonts w:hint="eastAsia" w:ascii="黑体" w:hAnsi="黑体" w:eastAsia="黑体" w:cs="仿宋_GB2312"/>
          <w:color w:val="auto"/>
          <w:kern w:val="0"/>
          <w:sz w:val="32"/>
          <w:szCs w:val="32"/>
        </w:rPr>
        <w:t>年度</w:t>
      </w:r>
      <w:r>
        <w:rPr>
          <w:rFonts w:hint="eastAsia" w:ascii="黑体" w:hAnsi="黑体" w:eastAsia="黑体"/>
          <w:color w:val="auto"/>
          <w:sz w:val="32"/>
          <w:szCs w:val="32"/>
        </w:rPr>
        <w:t>一般</w:t>
      </w:r>
      <w:r>
        <w:rPr>
          <w:rFonts w:hint="eastAsia" w:ascii="黑体" w:hAnsi="黑体" w:eastAsia="黑体" w:cs="仿宋_GB2312"/>
          <w:color w:val="auto"/>
          <w:kern w:val="0"/>
          <w:sz w:val="32"/>
          <w:szCs w:val="32"/>
        </w:rPr>
        <w:t>公共预算财政拨款支出决算情况</w:t>
      </w:r>
    </w:p>
    <w:p w14:paraId="4ED97D12">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eastAsia" w:ascii="仿宋_GB2312" w:eastAsia="仿宋_GB2312" w:cs="仿宋_GB2312"/>
          <w:color w:val="auto"/>
          <w:kern w:val="0"/>
          <w:sz w:val="32"/>
          <w:szCs w:val="32"/>
        </w:rPr>
      </w:pPr>
      <w:r>
        <w:rPr>
          <w:rFonts w:hint="eastAsia" w:ascii="仿宋_GB2312" w:hAnsi="黑体" w:eastAsia="仿宋_GB2312"/>
          <w:bCs/>
          <w:color w:val="auto"/>
          <w:sz w:val="32"/>
          <w:szCs w:val="32"/>
          <w:u w:val="none"/>
          <w:lang w:val="en-US" w:eastAsia="zh-CN"/>
        </w:rPr>
        <w:t>自治区应急厅机关服务中心</w:t>
      </w:r>
      <w:r>
        <w:rPr>
          <w:rFonts w:hint="eastAsia" w:ascii="仿宋_GB2312" w:eastAsia="仿宋_GB2312"/>
          <w:color w:val="auto"/>
          <w:kern w:val="0"/>
          <w:sz w:val="32"/>
          <w:szCs w:val="32"/>
          <w:lang w:eastAsia="zh-CN"/>
        </w:rPr>
        <w:t>2023</w:t>
      </w:r>
      <w:r>
        <w:rPr>
          <w:rFonts w:hint="eastAsia" w:ascii="仿宋_GB2312" w:eastAsia="仿宋_GB2312" w:cs="仿宋_GB2312"/>
          <w:color w:val="auto"/>
          <w:kern w:val="0"/>
          <w:sz w:val="32"/>
          <w:szCs w:val="32"/>
        </w:rPr>
        <w:t>年度</w:t>
      </w:r>
      <w:r>
        <w:rPr>
          <w:rFonts w:hint="eastAsia" w:ascii="仿宋_GB2312" w:eastAsia="仿宋_GB2312"/>
          <w:color w:val="auto"/>
          <w:sz w:val="32"/>
          <w:szCs w:val="32"/>
        </w:rPr>
        <w:t>一般</w:t>
      </w:r>
      <w:r>
        <w:rPr>
          <w:rFonts w:hint="eastAsia" w:ascii="仿宋_GB2312" w:eastAsia="仿宋_GB2312" w:cs="仿宋_GB2312"/>
          <w:color w:val="auto"/>
          <w:kern w:val="0"/>
          <w:sz w:val="32"/>
          <w:szCs w:val="32"/>
        </w:rPr>
        <w:t>公共预算财政拨款</w:t>
      </w:r>
      <w:r>
        <w:rPr>
          <w:rFonts w:hint="eastAsia" w:ascii="仿宋_GB2312" w:eastAsia="仿宋_GB2312" w:cs="仿宋_GB2312"/>
          <w:kern w:val="0"/>
          <w:sz w:val="32"/>
          <w:szCs w:val="32"/>
        </w:rPr>
        <w:t>支出</w:t>
      </w:r>
      <w:r>
        <w:rPr>
          <w:rFonts w:hint="eastAsia" w:ascii="仿宋_GB2312" w:eastAsia="仿宋_GB2312"/>
          <w:kern w:val="0"/>
          <w:sz w:val="32"/>
          <w:szCs w:val="32"/>
          <w:lang w:val="en-US" w:eastAsia="zh-CN"/>
        </w:rPr>
        <w:t>100.64</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eastAsia="zh-CN"/>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增加1.89</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增长1.91</w:t>
      </w:r>
      <w:r>
        <w:rPr>
          <w:rFonts w:hint="eastAsia" w:ascii="仿宋_GB2312" w:hAnsi="黑体" w:eastAsia="仿宋_GB2312" w:cs="仿宋_GB2312"/>
          <w:kern w:val="0"/>
          <w:sz w:val="32"/>
          <w:szCs w:val="32"/>
        </w:rPr>
        <w:t>%</w:t>
      </w:r>
      <w:r>
        <w:rPr>
          <w:rFonts w:hint="eastAsia" w:ascii="仿宋_GB2312" w:hAnsi="黑体" w:eastAsia="仿宋_GB2312" w:cs="仿宋_GB2312"/>
          <w:color w:val="auto"/>
          <w:kern w:val="0"/>
          <w:sz w:val="32"/>
          <w:szCs w:val="32"/>
        </w:rPr>
        <w:t>。</w:t>
      </w:r>
      <w:r>
        <w:rPr>
          <w:rFonts w:hint="eastAsia" w:ascii="仿宋_GB2312" w:eastAsia="仿宋_GB2312" w:cs="仿宋_GB2312"/>
          <w:color w:val="auto"/>
          <w:kern w:val="0"/>
          <w:sz w:val="32"/>
          <w:szCs w:val="32"/>
        </w:rPr>
        <w:t>其中：基本支出</w:t>
      </w:r>
      <w:r>
        <w:rPr>
          <w:rFonts w:hint="eastAsia" w:ascii="仿宋_GB2312" w:eastAsia="仿宋_GB2312"/>
          <w:kern w:val="0"/>
          <w:sz w:val="32"/>
          <w:szCs w:val="32"/>
          <w:lang w:val="en-US" w:eastAsia="zh-CN"/>
        </w:rPr>
        <w:t>100.64</w:t>
      </w:r>
      <w:r>
        <w:rPr>
          <w:rFonts w:hint="eastAsia" w:ascii="仿宋_GB2312" w:eastAsia="仿宋_GB2312" w:cs="仿宋_GB2312"/>
          <w:color w:val="auto"/>
          <w:kern w:val="0"/>
          <w:sz w:val="32"/>
          <w:szCs w:val="32"/>
        </w:rPr>
        <w:t>万元，项目支出</w:t>
      </w:r>
      <w:r>
        <w:rPr>
          <w:rFonts w:hint="eastAsia" w:ascii="仿宋_GB2312" w:eastAsia="仿宋_GB2312"/>
          <w:color w:val="auto"/>
          <w:kern w:val="0"/>
          <w:sz w:val="32"/>
          <w:szCs w:val="32"/>
          <w:lang w:val="en-US" w:eastAsia="zh-CN"/>
        </w:rPr>
        <w:t>0</w:t>
      </w:r>
      <w:r>
        <w:rPr>
          <w:rFonts w:hint="eastAsia" w:ascii="仿宋_GB2312" w:eastAsia="仿宋_GB2312" w:cs="仿宋_GB2312"/>
          <w:color w:val="auto"/>
          <w:kern w:val="0"/>
          <w:sz w:val="32"/>
          <w:szCs w:val="32"/>
        </w:rPr>
        <w:t>万元。</w:t>
      </w:r>
    </w:p>
    <w:p w14:paraId="26BEF42D">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eastAsia" w:ascii="仿宋_GB2312" w:hAnsi="黑体" w:eastAsia="仿宋_GB2312" w:cs="仿宋_GB2312"/>
          <w:color w:val="auto"/>
          <w:kern w:val="0"/>
          <w:sz w:val="32"/>
          <w:szCs w:val="32"/>
        </w:rPr>
      </w:pPr>
      <w:r>
        <w:rPr>
          <w:rFonts w:hint="eastAsia" w:ascii="仿宋_GB2312" w:hAnsi="黑体" w:eastAsia="仿宋_GB2312"/>
          <w:bCs/>
          <w:color w:val="auto"/>
          <w:sz w:val="32"/>
          <w:szCs w:val="32"/>
          <w:u w:val="none"/>
          <w:lang w:val="en-US" w:eastAsia="zh-CN"/>
        </w:rPr>
        <w:t>自治区应急厅机关服务中心</w:t>
      </w:r>
      <w:r>
        <w:rPr>
          <w:rFonts w:hint="eastAsia" w:ascii="仿宋_GB2312" w:hAnsi="黑体" w:eastAsia="仿宋_GB2312"/>
          <w:color w:val="auto"/>
          <w:kern w:val="0"/>
          <w:sz w:val="32"/>
          <w:szCs w:val="32"/>
          <w:lang w:eastAsia="zh-CN"/>
        </w:rPr>
        <w:t>2023</w:t>
      </w:r>
      <w:r>
        <w:rPr>
          <w:rFonts w:hint="eastAsia" w:ascii="仿宋_GB2312" w:hAnsi="黑体" w:eastAsia="仿宋_GB2312" w:cs="仿宋_GB2312"/>
          <w:color w:val="auto"/>
          <w:kern w:val="0"/>
          <w:sz w:val="32"/>
          <w:szCs w:val="32"/>
        </w:rPr>
        <w:t>年度</w:t>
      </w:r>
      <w:r>
        <w:rPr>
          <w:rFonts w:hint="eastAsia" w:ascii="仿宋_GB2312" w:hAnsi="黑体" w:eastAsia="仿宋_GB2312"/>
          <w:color w:val="auto"/>
          <w:sz w:val="32"/>
          <w:szCs w:val="32"/>
        </w:rPr>
        <w:t>一般</w:t>
      </w:r>
      <w:r>
        <w:rPr>
          <w:rFonts w:hint="eastAsia" w:ascii="仿宋_GB2312" w:hAnsi="黑体" w:eastAsia="仿宋_GB2312" w:cs="仿宋_GB2312"/>
          <w:color w:val="auto"/>
          <w:kern w:val="0"/>
          <w:sz w:val="32"/>
          <w:szCs w:val="32"/>
        </w:rPr>
        <w:t>公共预算财政拨款支出年初预算为</w:t>
      </w:r>
      <w:r>
        <w:rPr>
          <w:rFonts w:hint="eastAsia" w:ascii="仿宋_GB2312" w:hAnsi="黑体" w:eastAsia="仿宋_GB2312" w:cs="仿宋_GB2312"/>
          <w:color w:val="auto"/>
          <w:kern w:val="0"/>
          <w:sz w:val="32"/>
          <w:szCs w:val="32"/>
          <w:lang w:val="en-US" w:eastAsia="zh-CN"/>
        </w:rPr>
        <w:t>69.87</w:t>
      </w:r>
      <w:r>
        <w:rPr>
          <w:rFonts w:hint="eastAsia" w:ascii="仿宋_GB2312" w:hAnsi="黑体" w:eastAsia="仿宋_GB2312" w:cs="仿宋_GB2312"/>
          <w:color w:val="auto"/>
          <w:kern w:val="0"/>
          <w:sz w:val="32"/>
          <w:szCs w:val="32"/>
        </w:rPr>
        <w:t>万元，支出决算为</w:t>
      </w:r>
      <w:r>
        <w:rPr>
          <w:rFonts w:hint="eastAsia" w:ascii="仿宋_GB2312" w:hAnsi="黑体" w:eastAsia="仿宋_GB2312" w:cs="仿宋_GB2312"/>
          <w:color w:val="auto"/>
          <w:kern w:val="0"/>
          <w:sz w:val="32"/>
          <w:szCs w:val="32"/>
          <w:lang w:val="en-US" w:eastAsia="zh-CN"/>
        </w:rPr>
        <w:t>100.64</w:t>
      </w:r>
      <w:r>
        <w:rPr>
          <w:rFonts w:hint="eastAsia" w:ascii="仿宋_GB2312" w:hAnsi="黑体" w:eastAsia="仿宋_GB2312" w:cs="仿宋_GB2312"/>
          <w:color w:val="auto"/>
          <w:kern w:val="0"/>
          <w:sz w:val="32"/>
          <w:szCs w:val="32"/>
        </w:rPr>
        <w:t>万元，完成年初预算的</w:t>
      </w:r>
      <w:r>
        <w:rPr>
          <w:rFonts w:hint="eastAsia" w:ascii="仿宋_GB2312" w:hAnsi="黑体" w:eastAsia="仿宋_GB2312" w:cs="仿宋_GB2312"/>
          <w:color w:val="auto"/>
          <w:kern w:val="0"/>
          <w:sz w:val="32"/>
          <w:szCs w:val="32"/>
          <w:lang w:val="en-US" w:eastAsia="zh-CN"/>
        </w:rPr>
        <w:t>144.04</w:t>
      </w:r>
      <w:r>
        <w:rPr>
          <w:rFonts w:hint="eastAsia" w:ascii="仿宋_GB2312" w:hAnsi="黑体" w:eastAsia="仿宋_GB2312" w:cs="仿宋_GB2312"/>
          <w:color w:val="auto"/>
          <w:kern w:val="0"/>
          <w:sz w:val="32"/>
          <w:szCs w:val="32"/>
        </w:rPr>
        <w:t>%。</w:t>
      </w:r>
    </w:p>
    <w:p w14:paraId="6B91FC63">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default" w:ascii="仿宋_GB2312" w:hAnsi="黑体" w:eastAsia="仿宋_GB2312" w:cs="仿宋_GB2312"/>
          <w:color w:val="auto"/>
          <w:kern w:val="0"/>
          <w:sz w:val="32"/>
          <w:szCs w:val="32"/>
          <w:lang w:val="en-US" w:eastAsia="zh-CN"/>
        </w:rPr>
      </w:pP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一</w:t>
      </w:r>
      <w:r>
        <w:rPr>
          <w:rFonts w:hint="eastAsia" w:ascii="仿宋_GB2312" w:hAnsi="黑体" w:eastAsia="仿宋_GB2312" w:cs="仿宋_GB2312"/>
          <w:color w:val="auto"/>
          <w:kern w:val="0"/>
          <w:sz w:val="32"/>
          <w:szCs w:val="32"/>
          <w:lang w:eastAsia="zh-CN"/>
        </w:rPr>
        <w:t>）社会保障和就业支出（</w:t>
      </w:r>
      <w:r>
        <w:rPr>
          <w:rFonts w:hint="eastAsia" w:ascii="仿宋_GB2312" w:hAnsi="黑体" w:eastAsia="仿宋_GB2312" w:cs="仿宋_GB2312"/>
          <w:color w:val="auto"/>
          <w:kern w:val="0"/>
          <w:sz w:val="32"/>
          <w:szCs w:val="32"/>
          <w:lang w:val="en-US" w:eastAsia="zh-CN"/>
        </w:rPr>
        <w:t>208</w:t>
      </w:r>
      <w:r>
        <w:rPr>
          <w:rFonts w:hint="eastAsia" w:ascii="仿宋_GB2312" w:hAnsi="黑体" w:eastAsia="仿宋_GB2312" w:cs="仿宋_GB2312"/>
          <w:color w:val="auto"/>
          <w:kern w:val="0"/>
          <w:sz w:val="32"/>
          <w:szCs w:val="32"/>
          <w:lang w:eastAsia="zh-CN"/>
        </w:rPr>
        <w:t>类）</w:t>
      </w:r>
      <w:r>
        <w:rPr>
          <w:rFonts w:hint="eastAsia" w:ascii="仿宋_GB2312" w:hAnsi="黑体" w:eastAsia="仿宋_GB2312" w:cs="仿宋_GB2312"/>
          <w:color w:val="auto"/>
          <w:kern w:val="0"/>
          <w:sz w:val="32"/>
          <w:szCs w:val="32"/>
          <w:lang w:val="en-US" w:eastAsia="zh-CN"/>
        </w:rPr>
        <w:t>年初预算为14.47万元，支出决算为21.76万元，完成年初预算的150.38%。</w:t>
      </w:r>
      <w:r>
        <w:rPr>
          <w:rFonts w:hint="eastAsia" w:ascii="仿宋_GB2312" w:hAnsi="黑体" w:eastAsia="仿宋_GB2312" w:cs="仿宋_GB2312"/>
          <w:kern w:val="0"/>
          <w:sz w:val="32"/>
          <w:szCs w:val="32"/>
        </w:rPr>
        <w:t>主要用于</w:t>
      </w:r>
      <w:r>
        <w:rPr>
          <w:rFonts w:hint="eastAsia" w:ascii="仿宋_GB2312" w:hAnsi="黑体" w:eastAsia="仿宋_GB2312" w:cs="仿宋_GB2312"/>
          <w:kern w:val="0"/>
          <w:sz w:val="32"/>
          <w:szCs w:val="32"/>
          <w:lang w:eastAsia="zh-CN"/>
        </w:rPr>
        <w:t>：</w:t>
      </w:r>
      <w:r>
        <w:rPr>
          <w:rFonts w:hint="eastAsia" w:ascii="仿宋_GB2312" w:hAnsi="黑体" w:eastAsia="仿宋_GB2312" w:cs="仿宋_GB2312"/>
          <w:kern w:val="0"/>
          <w:sz w:val="32"/>
          <w:szCs w:val="32"/>
          <w:lang w:val="en-US" w:eastAsia="zh-CN"/>
        </w:rPr>
        <w:t>职工单位部分养老保险和职业年金缴费支出、退休人员生活补助及物业补贴等支出</w:t>
      </w:r>
      <w:r>
        <w:rPr>
          <w:rFonts w:hint="eastAsia" w:ascii="仿宋_GB2312" w:hAnsi="黑体" w:eastAsia="仿宋_GB2312" w:cs="仿宋_GB2312"/>
          <w:kern w:val="0"/>
          <w:sz w:val="32"/>
          <w:szCs w:val="32"/>
        </w:rPr>
        <w:t>。</w:t>
      </w:r>
      <w:r>
        <w:rPr>
          <w:rFonts w:hint="eastAsia" w:ascii="仿宋_GB2312" w:eastAsia="仿宋_GB2312" w:cs="仿宋_GB2312"/>
          <w:color w:val="auto"/>
          <w:kern w:val="0"/>
          <w:sz w:val="32"/>
          <w:szCs w:val="32"/>
          <w:lang w:val="en-US" w:eastAsia="zh-CN"/>
        </w:rPr>
        <w:t>支出情况具体如下：</w:t>
      </w:r>
    </w:p>
    <w:p w14:paraId="3BDEF09A">
      <w:pPr>
        <w:pStyle w:val="2"/>
        <w:keepNext w:val="0"/>
        <w:keepLines w:val="0"/>
        <w:pageBreakBefore w:val="0"/>
        <w:widowControl w:val="0"/>
        <w:numPr>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1.行政事业单位养老支出（款）</w:t>
      </w:r>
    </w:p>
    <w:p w14:paraId="04BDAF9A">
      <w:pPr>
        <w:pStyle w:val="2"/>
        <w:keepNext w:val="0"/>
        <w:keepLines w:val="0"/>
        <w:pageBreakBefore w:val="0"/>
        <w:widowControl w:val="0"/>
        <w:numPr>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事业单位离退休（项）年初预算为5.53万元，支出决算7.53万元，完成年初预算的13.28%。预决算差异原因是有新增退休人员。</w:t>
      </w:r>
    </w:p>
    <w:p w14:paraId="3CBB6833">
      <w:pPr>
        <w:pStyle w:val="2"/>
        <w:keepNext w:val="0"/>
        <w:keepLines w:val="0"/>
        <w:pageBreakBefore w:val="0"/>
        <w:widowControl w:val="0"/>
        <w:numPr>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机关事业单位基本养老保险缴纳支出（项）年初预算为5.79万元，支出决算9.36万元，完成年初预算的161.66%。预决算差异原因是年中追加新增2名在编人员基本养老保险费用。</w:t>
      </w:r>
    </w:p>
    <w:p w14:paraId="220404F1">
      <w:pPr>
        <w:pStyle w:val="2"/>
        <w:keepNext w:val="0"/>
        <w:keepLines w:val="0"/>
        <w:pageBreakBefore w:val="0"/>
        <w:widowControl w:val="0"/>
        <w:numPr>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机关事业单位职业年金缴纳支出（项）年初预算为2.90万元，支出决算4.48万元，完成年初预算的154.48%。预决算差异原因是年中追加新增2名在编人员职业年金费用。</w:t>
      </w:r>
    </w:p>
    <w:p w14:paraId="4041FAE2">
      <w:pPr>
        <w:pStyle w:val="2"/>
        <w:keepNext w:val="0"/>
        <w:keepLines w:val="0"/>
        <w:pageBreakBefore w:val="0"/>
        <w:widowControl w:val="0"/>
        <w:numPr>
          <w:numId w:val="0"/>
        </w:numPr>
        <w:kinsoku/>
        <w:wordWrap/>
        <w:overflowPunct/>
        <w:topLinePunct w:val="0"/>
        <w:bidi w:val="0"/>
        <w:adjustRightInd w:val="0"/>
        <w:snapToGrid w:val="0"/>
        <w:spacing w:line="360" w:lineRule="auto"/>
        <w:ind w:firstLine="640" w:firstLineChars="200"/>
        <w:textAlignment w:val="auto"/>
        <w:rPr>
          <w:rFonts w:hint="eastAsia" w:ascii="仿宋_GB2312" w:hAnsi="黑体" w:eastAsia="仿宋_GB2312" w:cs="仿宋_GB2312"/>
          <w:kern w:val="0"/>
          <w:sz w:val="32"/>
          <w:szCs w:val="32"/>
        </w:rPr>
      </w:pPr>
      <w:r>
        <w:rPr>
          <w:rFonts w:hint="eastAsia" w:ascii="仿宋_GB2312" w:hAnsi="黑体" w:eastAsia="仿宋_GB2312" w:cs="仿宋_GB2312"/>
          <w:kern w:val="0"/>
          <w:sz w:val="32"/>
          <w:szCs w:val="32"/>
          <w:lang w:val="en-US" w:eastAsia="zh-CN"/>
        </w:rPr>
        <w:t>其他社会保险和就业支出（项）年初预算为0.25万元，支出决算0.39万元，完成年初预算的156%。预决算差异原因是年中追加新增2名在编人员工伤保险等费用。</w:t>
      </w:r>
    </w:p>
    <w:p w14:paraId="78901FF7">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eastAsia" w:ascii="仿宋_GB2312" w:hAnsi="黑体" w:eastAsia="仿宋_GB2312" w:cs="仿宋_GB2312"/>
          <w:color w:val="auto"/>
          <w:kern w:val="0"/>
          <w:sz w:val="32"/>
          <w:szCs w:val="32"/>
          <w:lang w:eastAsia="zh-CN"/>
        </w:rPr>
      </w:pPr>
      <w:r>
        <w:rPr>
          <w:rFonts w:hint="eastAsia" w:ascii="仿宋_GB2312" w:hAnsi="黑体" w:eastAsia="仿宋_GB2312" w:cs="仿宋_GB2312"/>
          <w:color w:val="auto"/>
          <w:kern w:val="0"/>
          <w:sz w:val="32"/>
          <w:szCs w:val="32"/>
          <w:lang w:eastAsia="zh-CN"/>
        </w:rPr>
        <w:t>卫生健康支出（</w:t>
      </w:r>
      <w:r>
        <w:rPr>
          <w:rFonts w:hint="eastAsia" w:ascii="仿宋_GB2312" w:hAnsi="黑体" w:eastAsia="仿宋_GB2312" w:cs="仿宋_GB2312"/>
          <w:color w:val="auto"/>
          <w:kern w:val="0"/>
          <w:sz w:val="32"/>
          <w:szCs w:val="32"/>
          <w:lang w:val="en-US" w:eastAsia="zh-CN"/>
        </w:rPr>
        <w:t>210</w:t>
      </w:r>
      <w:r>
        <w:rPr>
          <w:rFonts w:hint="eastAsia" w:ascii="仿宋_GB2312" w:hAnsi="黑体" w:eastAsia="仿宋_GB2312" w:cs="仿宋_GB2312"/>
          <w:color w:val="auto"/>
          <w:kern w:val="0"/>
          <w:sz w:val="32"/>
          <w:szCs w:val="32"/>
          <w:lang w:eastAsia="zh-CN"/>
        </w:rPr>
        <w:t>类）</w:t>
      </w:r>
      <w:r>
        <w:rPr>
          <w:rFonts w:hint="eastAsia" w:ascii="仿宋_GB2312" w:hAnsi="黑体" w:eastAsia="仿宋_GB2312" w:cs="仿宋_GB2312"/>
          <w:color w:val="auto"/>
          <w:kern w:val="0"/>
          <w:sz w:val="32"/>
          <w:szCs w:val="32"/>
          <w:lang w:val="en-US" w:eastAsia="zh-CN"/>
        </w:rPr>
        <w:t>年初预算2.68万元，</w:t>
      </w:r>
      <w:r>
        <w:rPr>
          <w:rFonts w:hint="eastAsia" w:ascii="仿宋_GB2312" w:hAnsi="黑体" w:eastAsia="仿宋_GB2312" w:cs="仿宋_GB2312"/>
          <w:color w:val="auto"/>
          <w:kern w:val="0"/>
          <w:sz w:val="32"/>
          <w:szCs w:val="32"/>
          <w:lang w:eastAsia="zh-CN"/>
        </w:rPr>
        <w:t>支出决算</w:t>
      </w:r>
      <w:r>
        <w:rPr>
          <w:rFonts w:hint="eastAsia" w:ascii="仿宋_GB2312" w:hAnsi="黑体" w:eastAsia="仿宋_GB2312" w:cs="仿宋_GB2312"/>
          <w:color w:val="auto"/>
          <w:kern w:val="0"/>
          <w:sz w:val="32"/>
          <w:szCs w:val="32"/>
          <w:lang w:val="en-US" w:eastAsia="zh-CN"/>
        </w:rPr>
        <w:t>4.24</w:t>
      </w:r>
      <w:r>
        <w:rPr>
          <w:rFonts w:hint="eastAsia" w:ascii="仿宋_GB2312" w:hAnsi="黑体" w:eastAsia="仿宋_GB2312" w:cs="仿宋_GB2312"/>
          <w:color w:val="auto"/>
          <w:kern w:val="0"/>
          <w:sz w:val="32"/>
          <w:szCs w:val="32"/>
          <w:lang w:eastAsia="zh-CN"/>
        </w:rPr>
        <w:t>万元，完成年初预算的</w:t>
      </w:r>
      <w:r>
        <w:rPr>
          <w:rFonts w:hint="eastAsia" w:ascii="仿宋_GB2312" w:hAnsi="黑体" w:eastAsia="仿宋_GB2312" w:cs="仿宋_GB2312"/>
          <w:color w:val="auto"/>
          <w:kern w:val="0"/>
          <w:sz w:val="32"/>
          <w:szCs w:val="32"/>
          <w:lang w:val="en-US" w:eastAsia="zh-CN"/>
        </w:rPr>
        <w:t>152.21</w:t>
      </w:r>
      <w:r>
        <w:rPr>
          <w:rFonts w:hint="eastAsia" w:ascii="仿宋_GB2312" w:hAnsi="黑体" w:eastAsia="仿宋_GB2312" w:cs="仿宋_GB2312"/>
          <w:color w:val="auto"/>
          <w:kern w:val="0"/>
          <w:sz w:val="32"/>
          <w:szCs w:val="32"/>
          <w:lang w:eastAsia="zh-CN"/>
        </w:rPr>
        <w:t>%。主要用于根据自治区统一规定，按规定的比例计缴的医疗保险。</w:t>
      </w:r>
      <w:r>
        <w:rPr>
          <w:rFonts w:hint="eastAsia" w:ascii="仿宋_GB2312" w:hAnsi="黑体" w:eastAsia="仿宋_GB2312" w:cs="仿宋_GB2312"/>
          <w:color w:val="auto"/>
          <w:kern w:val="0"/>
          <w:sz w:val="32"/>
          <w:szCs w:val="32"/>
          <w:lang w:val="en-US" w:eastAsia="zh-CN"/>
        </w:rPr>
        <w:t>具体支出情况如下：</w:t>
      </w:r>
    </w:p>
    <w:p w14:paraId="03C7D34D">
      <w:pPr>
        <w:keepNext w:val="0"/>
        <w:keepLines w:val="0"/>
        <w:pageBreakBefore w:val="0"/>
        <w:widowControl w:val="0"/>
        <w:numPr>
          <w:numId w:val="0"/>
        </w:numPr>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default" w:ascii="仿宋_GB2312" w:hAnsi="黑体" w:eastAsia="仿宋_GB2312" w:cs="仿宋_GB2312"/>
          <w:color w:val="auto"/>
          <w:kern w:val="0"/>
          <w:sz w:val="32"/>
          <w:szCs w:val="32"/>
          <w:lang w:val="en-US" w:eastAsia="zh-CN"/>
        </w:rPr>
      </w:pPr>
      <w:r>
        <w:rPr>
          <w:rFonts w:hint="eastAsia" w:ascii="仿宋_GB2312" w:hAnsi="黑体" w:eastAsia="仿宋_GB2312" w:cs="仿宋_GB2312"/>
          <w:color w:val="auto"/>
          <w:kern w:val="0"/>
          <w:sz w:val="32"/>
          <w:szCs w:val="32"/>
          <w:lang w:eastAsia="zh-CN"/>
        </w:rPr>
        <w:t>行政事业单位医疗（款）事业单位医疗（项）</w:t>
      </w:r>
      <w:r>
        <w:rPr>
          <w:rFonts w:hint="eastAsia" w:ascii="仿宋_GB2312" w:hAnsi="黑体" w:eastAsia="仿宋_GB2312" w:cs="仿宋_GB2312"/>
          <w:color w:val="auto"/>
          <w:kern w:val="0"/>
          <w:sz w:val="32"/>
          <w:szCs w:val="32"/>
          <w:lang w:val="en-US" w:eastAsia="zh-CN"/>
        </w:rPr>
        <w:t>年初预算2.68万元，</w:t>
      </w:r>
      <w:r>
        <w:rPr>
          <w:rFonts w:hint="eastAsia" w:ascii="仿宋_GB2312" w:hAnsi="黑体" w:eastAsia="仿宋_GB2312" w:cs="仿宋_GB2312"/>
          <w:color w:val="auto"/>
          <w:kern w:val="0"/>
          <w:sz w:val="32"/>
          <w:szCs w:val="32"/>
          <w:lang w:eastAsia="zh-CN"/>
        </w:rPr>
        <w:t>支出决算</w:t>
      </w:r>
      <w:r>
        <w:rPr>
          <w:rFonts w:hint="eastAsia" w:ascii="仿宋_GB2312" w:hAnsi="黑体" w:eastAsia="仿宋_GB2312" w:cs="仿宋_GB2312"/>
          <w:color w:val="auto"/>
          <w:kern w:val="0"/>
          <w:sz w:val="32"/>
          <w:szCs w:val="32"/>
          <w:lang w:val="en-US" w:eastAsia="zh-CN"/>
        </w:rPr>
        <w:t>4.24</w:t>
      </w:r>
      <w:r>
        <w:rPr>
          <w:rFonts w:hint="eastAsia" w:ascii="仿宋_GB2312" w:hAnsi="黑体" w:eastAsia="仿宋_GB2312" w:cs="仿宋_GB2312"/>
          <w:color w:val="auto"/>
          <w:kern w:val="0"/>
          <w:sz w:val="32"/>
          <w:szCs w:val="32"/>
          <w:lang w:eastAsia="zh-CN"/>
        </w:rPr>
        <w:t>万元，完成年初预算的</w:t>
      </w:r>
      <w:r>
        <w:rPr>
          <w:rFonts w:hint="eastAsia" w:ascii="仿宋_GB2312" w:hAnsi="黑体" w:eastAsia="仿宋_GB2312" w:cs="仿宋_GB2312"/>
          <w:color w:val="auto"/>
          <w:kern w:val="0"/>
          <w:sz w:val="32"/>
          <w:szCs w:val="32"/>
          <w:lang w:val="en-US" w:eastAsia="zh-CN"/>
        </w:rPr>
        <w:t>152.21</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预决算差异原因是年中追加新增2名在编人员医疗保险费用。</w:t>
      </w:r>
    </w:p>
    <w:p w14:paraId="2FD37F18">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34" w:rightChars="-16" w:firstLine="640" w:firstLineChars="200"/>
        <w:jc w:val="both"/>
        <w:textAlignment w:val="auto"/>
        <w:rPr>
          <w:rFonts w:hint="eastAsia" w:ascii="仿宋_GB2312" w:hAnsi="黑体" w:eastAsia="仿宋_GB2312" w:cs="仿宋_GB2312"/>
          <w:color w:val="auto"/>
          <w:kern w:val="0"/>
          <w:sz w:val="32"/>
          <w:szCs w:val="32"/>
          <w:highlight w:val="none"/>
          <w:lang w:eastAsia="zh-CN"/>
        </w:rPr>
      </w:pPr>
      <w:r>
        <w:rPr>
          <w:rFonts w:hint="eastAsia" w:ascii="仿宋_GB2312" w:hAnsi="黑体" w:eastAsia="仿宋_GB2312" w:cs="仿宋_GB2312"/>
          <w:color w:val="auto"/>
          <w:kern w:val="0"/>
          <w:sz w:val="32"/>
          <w:szCs w:val="32"/>
          <w:highlight w:val="none"/>
          <w:lang w:eastAsia="zh-CN"/>
        </w:rPr>
        <w:t>住房保障支出（</w:t>
      </w:r>
      <w:r>
        <w:rPr>
          <w:rFonts w:hint="eastAsia" w:ascii="仿宋_GB2312" w:hAnsi="黑体" w:eastAsia="仿宋_GB2312" w:cs="仿宋_GB2312"/>
          <w:color w:val="auto"/>
          <w:kern w:val="0"/>
          <w:sz w:val="32"/>
          <w:szCs w:val="32"/>
          <w:highlight w:val="none"/>
          <w:lang w:val="en-US" w:eastAsia="zh-CN"/>
        </w:rPr>
        <w:t>221</w:t>
      </w:r>
      <w:r>
        <w:rPr>
          <w:rFonts w:hint="eastAsia" w:ascii="仿宋_GB2312" w:hAnsi="黑体" w:eastAsia="仿宋_GB2312" w:cs="仿宋_GB2312"/>
          <w:color w:val="auto"/>
          <w:kern w:val="0"/>
          <w:sz w:val="32"/>
          <w:szCs w:val="32"/>
          <w:highlight w:val="none"/>
          <w:lang w:eastAsia="zh-CN"/>
        </w:rPr>
        <w:t>类）</w:t>
      </w:r>
      <w:r>
        <w:rPr>
          <w:rFonts w:hint="eastAsia" w:ascii="仿宋_GB2312" w:hAnsi="黑体" w:eastAsia="仿宋_GB2312" w:cs="仿宋_GB2312"/>
          <w:color w:val="auto"/>
          <w:kern w:val="0"/>
          <w:sz w:val="32"/>
          <w:szCs w:val="32"/>
          <w:highlight w:val="none"/>
          <w:lang w:val="en-US" w:eastAsia="zh-CN"/>
        </w:rPr>
        <w:t>年初预算为4.34万元，支出决算6.72万元，完成年初预算的154.84%。主要</w:t>
      </w:r>
      <w:r>
        <w:rPr>
          <w:rFonts w:hint="eastAsia" w:ascii="仿宋_GB2312" w:hAnsi="黑体" w:eastAsia="仿宋_GB2312" w:cs="仿宋_GB2312"/>
          <w:color w:val="auto"/>
          <w:kern w:val="0"/>
          <w:sz w:val="32"/>
          <w:szCs w:val="32"/>
          <w:highlight w:val="none"/>
          <w:lang w:eastAsia="zh-CN"/>
        </w:rPr>
        <w:t>用于按照国家政策规定为职工计缴的住房公积金等住房改革方面的支出。</w:t>
      </w:r>
      <w:r>
        <w:rPr>
          <w:rFonts w:hint="eastAsia" w:ascii="仿宋_GB2312" w:hAnsi="黑体" w:eastAsia="仿宋_GB2312" w:cs="仿宋_GB2312"/>
          <w:color w:val="auto"/>
          <w:kern w:val="0"/>
          <w:sz w:val="32"/>
          <w:szCs w:val="32"/>
          <w:highlight w:val="none"/>
          <w:lang w:val="en-US" w:eastAsia="zh-CN"/>
        </w:rPr>
        <w:t>具体支出情况如下：</w:t>
      </w:r>
    </w:p>
    <w:p w14:paraId="1D8ED9A4">
      <w:pPr>
        <w:keepNext w:val="0"/>
        <w:keepLines w:val="0"/>
        <w:pageBreakBefore w:val="0"/>
        <w:widowControl w:val="0"/>
        <w:numPr>
          <w:numId w:val="0"/>
        </w:numPr>
        <w:kinsoku/>
        <w:wordWrap/>
        <w:overflowPunct/>
        <w:topLinePunct w:val="0"/>
        <w:autoSpaceDE w:val="0"/>
        <w:autoSpaceDN w:val="0"/>
        <w:bidi w:val="0"/>
        <w:adjustRightInd w:val="0"/>
        <w:snapToGrid w:val="0"/>
        <w:spacing w:line="360" w:lineRule="auto"/>
        <w:ind w:right="-34" w:rightChars="-16" w:firstLine="640" w:firstLineChars="200"/>
        <w:jc w:val="both"/>
        <w:textAlignment w:val="auto"/>
        <w:rPr>
          <w:rFonts w:hint="default" w:ascii="仿宋_GB2312" w:hAnsi="黑体" w:eastAsia="仿宋_GB2312" w:cs="仿宋_GB2312"/>
          <w:color w:val="auto"/>
          <w:kern w:val="0"/>
          <w:sz w:val="32"/>
          <w:szCs w:val="32"/>
          <w:highlight w:val="none"/>
          <w:lang w:val="en-US" w:eastAsia="zh-CN"/>
        </w:rPr>
      </w:pPr>
      <w:r>
        <w:rPr>
          <w:rFonts w:hint="eastAsia" w:ascii="仿宋_GB2312" w:hAnsi="黑体" w:eastAsia="仿宋_GB2312" w:cs="仿宋_GB2312"/>
          <w:color w:val="auto"/>
          <w:kern w:val="0"/>
          <w:sz w:val="32"/>
          <w:szCs w:val="32"/>
          <w:highlight w:val="none"/>
          <w:lang w:val="en-US" w:eastAsia="zh-CN"/>
        </w:rPr>
        <w:t>住房改革支出（款）住房公积金（项）年初预算为4.34万元，支出决算6.72万元，完成年初预算的154.84%。预决算差异原因是</w:t>
      </w:r>
      <w:r>
        <w:rPr>
          <w:rFonts w:hint="eastAsia" w:ascii="仿宋_GB2312" w:hAnsi="黑体" w:eastAsia="仿宋_GB2312" w:cs="仿宋_GB2312"/>
          <w:color w:val="auto"/>
          <w:kern w:val="0"/>
          <w:sz w:val="32"/>
          <w:szCs w:val="32"/>
          <w:lang w:val="en-US" w:eastAsia="zh-CN"/>
        </w:rPr>
        <w:t>年中追加新增2名在编人员住房公积金。</w:t>
      </w:r>
    </w:p>
    <w:p w14:paraId="4575EF98">
      <w:pPr>
        <w:keepNext w:val="0"/>
        <w:keepLines w:val="0"/>
        <w:pageBreakBefore w:val="0"/>
        <w:widowControl w:val="0"/>
        <w:numPr>
          <w:ilvl w:val="0"/>
          <w:numId w:val="1"/>
        </w:numPr>
        <w:kinsoku/>
        <w:wordWrap/>
        <w:overflowPunct/>
        <w:topLinePunct w:val="0"/>
        <w:autoSpaceDE w:val="0"/>
        <w:autoSpaceDN w:val="0"/>
        <w:bidi w:val="0"/>
        <w:adjustRightInd w:val="0"/>
        <w:snapToGrid w:val="0"/>
        <w:spacing w:line="360" w:lineRule="auto"/>
        <w:ind w:left="0" w:leftChars="0" w:right="-15" w:rightChars="-7" w:firstLine="640" w:firstLineChars="200"/>
        <w:jc w:val="both"/>
        <w:textAlignment w:val="auto"/>
        <w:rPr>
          <w:rFonts w:hint="eastAsia" w:ascii="仿宋_GB2312" w:hAnsi="黑体" w:eastAsia="仿宋_GB2312" w:cs="仿宋_GB2312"/>
          <w:kern w:val="0"/>
          <w:sz w:val="32"/>
          <w:szCs w:val="32"/>
          <w:lang w:eastAsia="zh-CN"/>
        </w:rPr>
      </w:pPr>
      <w:r>
        <w:rPr>
          <w:rFonts w:hint="eastAsia" w:ascii="仿宋_GB2312" w:hAnsi="黑体" w:eastAsia="仿宋_GB2312" w:cs="仿宋_GB2312"/>
          <w:color w:val="auto"/>
          <w:kern w:val="0"/>
          <w:sz w:val="32"/>
          <w:szCs w:val="32"/>
          <w:lang w:eastAsia="zh-CN"/>
        </w:rPr>
        <w:t>灾害防治及应急管理支出（</w:t>
      </w:r>
      <w:r>
        <w:rPr>
          <w:rFonts w:hint="eastAsia" w:ascii="仿宋_GB2312" w:hAnsi="黑体" w:eastAsia="仿宋_GB2312" w:cs="仿宋_GB2312"/>
          <w:color w:val="auto"/>
          <w:kern w:val="0"/>
          <w:sz w:val="32"/>
          <w:szCs w:val="32"/>
          <w:lang w:val="en-US" w:eastAsia="zh-CN"/>
        </w:rPr>
        <w:t>224类</w:t>
      </w:r>
      <w:r>
        <w:rPr>
          <w:rFonts w:hint="eastAsia" w:ascii="仿宋_GB2312" w:hAnsi="黑体" w:eastAsia="仿宋_GB2312" w:cs="仿宋_GB2312"/>
          <w:color w:val="auto"/>
          <w:kern w:val="0"/>
          <w:sz w:val="32"/>
          <w:szCs w:val="32"/>
          <w:lang w:eastAsia="zh-CN"/>
        </w:rPr>
        <w:t>）</w:t>
      </w:r>
      <w:r>
        <w:rPr>
          <w:rFonts w:hint="eastAsia" w:ascii="仿宋_GB2312" w:hAnsi="黑体" w:eastAsia="仿宋_GB2312" w:cs="仿宋_GB2312"/>
          <w:color w:val="auto"/>
          <w:kern w:val="0"/>
          <w:sz w:val="32"/>
          <w:szCs w:val="32"/>
          <w:lang w:val="en-US" w:eastAsia="zh-CN"/>
        </w:rPr>
        <w:t>年初预算为48.38万元，支出决算67.92</w:t>
      </w:r>
      <w:r>
        <w:rPr>
          <w:rFonts w:hint="eastAsia" w:ascii="仿宋_GB2312" w:hAnsi="黑体" w:eastAsia="仿宋_GB2312" w:cs="仿宋_GB2312"/>
          <w:color w:val="auto"/>
          <w:kern w:val="0"/>
          <w:sz w:val="32"/>
          <w:szCs w:val="32"/>
          <w:lang w:eastAsia="zh-CN"/>
        </w:rPr>
        <w:t>万元，</w:t>
      </w:r>
      <w:r>
        <w:rPr>
          <w:rFonts w:hint="eastAsia" w:ascii="仿宋_GB2312" w:hAnsi="黑体" w:eastAsia="仿宋_GB2312" w:cs="仿宋_GB2312"/>
          <w:kern w:val="0"/>
          <w:sz w:val="32"/>
          <w:szCs w:val="32"/>
          <w:lang w:val="en-US" w:eastAsia="zh-CN"/>
        </w:rPr>
        <w:t>完成年初预算的140.39%。</w:t>
      </w:r>
      <w:r>
        <w:rPr>
          <w:rFonts w:hint="eastAsia" w:ascii="仿宋_GB2312" w:hAnsi="黑体" w:eastAsia="仿宋_GB2312" w:cs="仿宋_GB2312"/>
          <w:kern w:val="0"/>
          <w:sz w:val="32"/>
          <w:szCs w:val="32"/>
          <w:lang w:eastAsia="zh-CN"/>
        </w:rPr>
        <w:t>主要</w:t>
      </w:r>
      <w:r>
        <w:rPr>
          <w:rFonts w:hint="eastAsia" w:ascii="仿宋_GB2312" w:hAnsi="黑体" w:eastAsia="仿宋_GB2312" w:cs="仿宋_GB2312"/>
          <w:kern w:val="0"/>
          <w:sz w:val="32"/>
          <w:szCs w:val="32"/>
          <w:lang w:val="en-US" w:eastAsia="zh-CN"/>
        </w:rPr>
        <w:t>用于根</w:t>
      </w:r>
      <w:r>
        <w:rPr>
          <w:rFonts w:hint="eastAsia" w:ascii="仿宋_GB2312" w:hAnsi="黑体" w:eastAsia="仿宋_GB2312" w:cs="仿宋_GB2312"/>
          <w:kern w:val="0"/>
          <w:sz w:val="32"/>
          <w:szCs w:val="32"/>
          <w:lang w:eastAsia="zh-CN"/>
        </w:rPr>
        <w:t>据国家规定的基本工资和津补贴标准等安排的人员经费支出、按自治区统一规定的开支标准安排的日常公用经费支出以及厅机关办公与职工生活后勤服务支出。</w:t>
      </w:r>
    </w:p>
    <w:p w14:paraId="03F13F65">
      <w:pPr>
        <w:keepNext w:val="0"/>
        <w:keepLines w:val="0"/>
        <w:pageBreakBefore w:val="0"/>
        <w:widowControl w:val="0"/>
        <w:numPr>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1.应急管理事务（款）</w:t>
      </w:r>
    </w:p>
    <w:p w14:paraId="39DE731C">
      <w:pPr>
        <w:keepNext w:val="0"/>
        <w:keepLines w:val="0"/>
        <w:pageBreakBefore w:val="0"/>
        <w:widowControl w:val="0"/>
        <w:numPr>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机关服务（项）年初预算为48.38万元，支出决算53.12万元，完成年初预算的109.80%。预决算差异原因是年中追加新增2名在编人员基本工资和津补贴等人员经费以及日常公用经费。</w:t>
      </w:r>
    </w:p>
    <w:p w14:paraId="1E7F1EE6">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黑体" w:eastAsia="仿宋_GB2312" w:cs="仿宋_GB2312"/>
          <w:kern w:val="0"/>
          <w:sz w:val="32"/>
          <w:szCs w:val="32"/>
          <w:lang w:val="en-US" w:eastAsia="zh-CN"/>
        </w:rPr>
      </w:pPr>
      <w:r>
        <w:rPr>
          <w:rFonts w:hint="eastAsia" w:ascii="仿宋_GB2312" w:hAnsi="黑体" w:eastAsia="仿宋_GB2312" w:cs="仿宋_GB2312"/>
          <w:kern w:val="0"/>
          <w:sz w:val="32"/>
          <w:szCs w:val="32"/>
          <w:lang w:val="en-US" w:eastAsia="zh-CN"/>
        </w:rPr>
        <w:t>事业运行（项）年初预算为0.00万元，支出决算14.21万元，预决算差异原因是年中追加新增2名在编人员基本工资和津补贴等人员经费以及日常公用经费。</w:t>
      </w:r>
    </w:p>
    <w:p w14:paraId="62173F8E">
      <w:pPr>
        <w:keepNext w:val="0"/>
        <w:keepLines w:val="0"/>
        <w:pageBreakBefore w:val="0"/>
        <w:widowControl w:val="0"/>
        <w:numPr>
          <w:numId w:val="0"/>
        </w:numPr>
        <w:kinsoku/>
        <w:wordWrap/>
        <w:overflowPunct/>
        <w:topLinePunct w:val="0"/>
        <w:autoSpaceDE w:val="0"/>
        <w:autoSpaceDN w:val="0"/>
        <w:bidi w:val="0"/>
        <w:adjustRightInd w:val="0"/>
        <w:snapToGrid w:val="0"/>
        <w:spacing w:line="360" w:lineRule="auto"/>
        <w:ind w:right="-15" w:rightChars="-7" w:firstLine="420" w:firstLineChars="200"/>
        <w:jc w:val="both"/>
        <w:textAlignment w:val="auto"/>
        <w:rPr>
          <w:rFonts w:hint="default"/>
          <w:lang w:val="en-US" w:eastAsia="zh-CN"/>
        </w:rPr>
      </w:pPr>
    </w:p>
    <w:p w14:paraId="3861BBAA">
      <w:pPr>
        <w:keepNext w:val="0"/>
        <w:keepLines w:val="0"/>
        <w:pageBreakBefore w:val="0"/>
        <w:widowControl w:val="0"/>
        <w:numPr>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三、</w:t>
      </w:r>
      <w:r>
        <w:rPr>
          <w:rFonts w:hint="eastAsia" w:ascii="黑体" w:hAnsi="黑体" w:eastAsia="黑体" w:cs="仿宋_GB2312"/>
          <w:kern w:val="0"/>
          <w:sz w:val="32"/>
          <w:szCs w:val="32"/>
          <w:lang w:eastAsia="zh-CN"/>
        </w:rPr>
        <w:t>2023</w:t>
      </w:r>
      <w:r>
        <w:rPr>
          <w:rFonts w:hint="eastAsia" w:ascii="黑体" w:hAnsi="黑体" w:eastAsia="黑体" w:cs="仿宋_GB2312"/>
          <w:kern w:val="0"/>
          <w:sz w:val="32"/>
          <w:szCs w:val="32"/>
        </w:rPr>
        <w:t>年度一般公共预算财政拨款基本支出决算情况说明</w:t>
      </w:r>
    </w:p>
    <w:p w14:paraId="6D92BA26">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公共预算财政拨款基本支出</w:t>
      </w:r>
      <w:r>
        <w:rPr>
          <w:rFonts w:hint="eastAsia" w:ascii="仿宋_GB2312" w:hAnsi="黑体" w:eastAsia="仿宋_GB2312" w:cs="仿宋_GB2312"/>
          <w:color w:val="auto"/>
          <w:kern w:val="0"/>
          <w:sz w:val="32"/>
          <w:szCs w:val="32"/>
          <w:lang w:val="en-US" w:eastAsia="zh-CN"/>
        </w:rPr>
        <w:t>100.64</w:t>
      </w:r>
      <w:r>
        <w:rPr>
          <w:rFonts w:hint="eastAsia" w:ascii="仿宋_GB2312" w:eastAsia="仿宋_GB2312" w:cs="仿宋_GB2312"/>
          <w:kern w:val="0"/>
          <w:sz w:val="32"/>
          <w:szCs w:val="32"/>
        </w:rPr>
        <w:t>万元，支出具体情况如下：</w:t>
      </w:r>
    </w:p>
    <w:p w14:paraId="52952840">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bCs/>
          <w:kern w:val="0"/>
          <w:sz w:val="32"/>
          <w:szCs w:val="32"/>
          <w:highlight w:val="none"/>
          <w:lang w:val="en-US" w:eastAsia="zh-CN"/>
        </w:rPr>
      </w:pPr>
      <w:r>
        <w:rPr>
          <w:rFonts w:hint="eastAsia" w:ascii="仿宋_GB2312" w:eastAsia="仿宋_GB2312"/>
          <w:bCs/>
          <w:kern w:val="0"/>
          <w:sz w:val="32"/>
          <w:szCs w:val="32"/>
          <w:highlight w:val="none"/>
        </w:rPr>
        <w:t>工资福利支出</w:t>
      </w:r>
      <w:r>
        <w:rPr>
          <w:rFonts w:hint="eastAsia" w:ascii="仿宋_GB2312" w:eastAsia="仿宋_GB2312"/>
          <w:bCs/>
          <w:kern w:val="0"/>
          <w:sz w:val="32"/>
          <w:szCs w:val="32"/>
          <w:highlight w:val="none"/>
          <w:lang w:val="en-US" w:eastAsia="zh-CN"/>
        </w:rPr>
        <w:t>74.63</w:t>
      </w:r>
      <w:r>
        <w:rPr>
          <w:rFonts w:hint="eastAsia" w:ascii="仿宋_GB2312" w:eastAsia="仿宋_GB2312"/>
          <w:bCs/>
          <w:kern w:val="0"/>
          <w:sz w:val="32"/>
          <w:szCs w:val="32"/>
          <w:highlight w:val="none"/>
        </w:rPr>
        <w:t>万元，</w:t>
      </w:r>
      <w:r>
        <w:rPr>
          <w:rFonts w:hint="eastAsia" w:ascii="仿宋_GB2312" w:eastAsia="仿宋_GB2312"/>
          <w:bCs/>
          <w:kern w:val="0"/>
          <w:sz w:val="32"/>
          <w:szCs w:val="32"/>
          <w:highlight w:val="none"/>
          <w:lang w:val="en-US" w:eastAsia="zh-CN"/>
        </w:rPr>
        <w:t>年初部门预算69.87万元，</w:t>
      </w:r>
      <w:r>
        <w:rPr>
          <w:rFonts w:hint="eastAsia" w:ascii="仿宋_GB2312" w:eastAsia="仿宋_GB2312"/>
          <w:bCs/>
          <w:kern w:val="0"/>
          <w:sz w:val="32"/>
          <w:szCs w:val="32"/>
          <w:highlight w:val="none"/>
        </w:rPr>
        <w:t>完成年初预算的</w:t>
      </w:r>
      <w:r>
        <w:rPr>
          <w:rFonts w:hint="eastAsia" w:ascii="仿宋_GB2312" w:eastAsia="仿宋_GB2312"/>
          <w:bCs/>
          <w:kern w:val="0"/>
          <w:sz w:val="32"/>
          <w:szCs w:val="32"/>
          <w:highlight w:val="none"/>
          <w:lang w:val="en-US" w:eastAsia="zh-CN"/>
        </w:rPr>
        <w:t>106.81</w:t>
      </w:r>
      <w:r>
        <w:rPr>
          <w:rFonts w:hint="eastAsia" w:ascii="仿宋_GB2312" w:eastAsia="仿宋_GB2312"/>
          <w:bCs/>
          <w:kern w:val="0"/>
          <w:sz w:val="32"/>
          <w:szCs w:val="32"/>
          <w:highlight w:val="none"/>
        </w:rPr>
        <w:t>%。</w:t>
      </w:r>
      <w:r>
        <w:rPr>
          <w:rFonts w:hint="eastAsia" w:ascii="仿宋_GB2312" w:eastAsia="仿宋_GB2312"/>
          <w:bCs/>
          <w:kern w:val="0"/>
          <w:sz w:val="32"/>
          <w:szCs w:val="32"/>
          <w:highlight w:val="none"/>
          <w:lang w:val="en-US" w:eastAsia="zh-CN"/>
        </w:rPr>
        <w:t>存在差异原因是年中追加2名在编人员经费。工资福利支出主要包括基本工资、津贴补贴、奖金、社会保障缴费、住房公积金和其他工资福利支出。</w:t>
      </w:r>
    </w:p>
    <w:p w14:paraId="22F7E003">
      <w:pPr>
        <w:keepNext w:val="0"/>
        <w:keepLines w:val="0"/>
        <w:pageBreakBefore w:val="0"/>
        <w:widowControl w:val="0"/>
        <w:numPr>
          <w:ilvl w:val="0"/>
          <w:numId w:val="2"/>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default" w:ascii="仿宋_GB2312" w:eastAsia="仿宋_GB2312"/>
          <w:bCs/>
          <w:kern w:val="0"/>
          <w:sz w:val="32"/>
          <w:szCs w:val="32"/>
          <w:highlight w:val="none"/>
          <w:lang w:val="en-US" w:eastAsia="zh-CN"/>
        </w:rPr>
      </w:pPr>
      <w:r>
        <w:rPr>
          <w:rFonts w:hint="default" w:ascii="仿宋_GB2312" w:eastAsia="仿宋_GB2312"/>
          <w:bCs/>
          <w:kern w:val="0"/>
          <w:sz w:val="32"/>
          <w:szCs w:val="32"/>
          <w:highlight w:val="none"/>
          <w:lang w:val="en-US" w:eastAsia="zh-CN"/>
        </w:rPr>
        <w:t>商品和服务支出</w:t>
      </w:r>
      <w:r>
        <w:rPr>
          <w:rFonts w:hint="eastAsia" w:ascii="仿宋_GB2312" w:eastAsia="仿宋_GB2312"/>
          <w:bCs/>
          <w:kern w:val="0"/>
          <w:sz w:val="32"/>
          <w:szCs w:val="32"/>
          <w:highlight w:val="none"/>
          <w:lang w:val="en-US" w:eastAsia="zh-CN"/>
        </w:rPr>
        <w:t>15.97</w:t>
      </w:r>
      <w:r>
        <w:rPr>
          <w:rFonts w:hint="default" w:ascii="仿宋_GB2312" w:eastAsia="仿宋_GB2312"/>
          <w:bCs/>
          <w:kern w:val="0"/>
          <w:sz w:val="32"/>
          <w:szCs w:val="32"/>
          <w:highlight w:val="none"/>
          <w:lang w:val="en-US" w:eastAsia="zh-CN"/>
        </w:rPr>
        <w:t>万元，</w:t>
      </w:r>
      <w:r>
        <w:rPr>
          <w:rFonts w:hint="eastAsia" w:ascii="仿宋_GB2312" w:eastAsia="仿宋_GB2312"/>
          <w:bCs/>
          <w:kern w:val="0"/>
          <w:sz w:val="32"/>
          <w:szCs w:val="32"/>
          <w:highlight w:val="none"/>
          <w:lang w:val="en-US" w:eastAsia="zh-CN"/>
        </w:rPr>
        <w:t>年初部门预算14.15万元，完成年初预算数的112.86</w:t>
      </w:r>
      <w:r>
        <w:rPr>
          <w:rFonts w:hint="default" w:ascii="仿宋_GB2312" w:eastAsia="仿宋_GB2312"/>
          <w:bCs/>
          <w:kern w:val="0"/>
          <w:sz w:val="32"/>
          <w:szCs w:val="32"/>
          <w:highlight w:val="none"/>
          <w:lang w:val="en-US" w:eastAsia="zh-CN"/>
        </w:rPr>
        <w:t>%。</w:t>
      </w:r>
      <w:r>
        <w:rPr>
          <w:rFonts w:hint="eastAsia" w:ascii="仿宋_GB2312" w:eastAsia="仿宋_GB2312"/>
          <w:bCs/>
          <w:kern w:val="0"/>
          <w:sz w:val="32"/>
          <w:szCs w:val="32"/>
          <w:highlight w:val="none"/>
          <w:lang w:val="en-US" w:eastAsia="zh-CN"/>
        </w:rPr>
        <w:t>存在差异原因是年中追加2名在编人员经费。主要包括办公费、印刷费、水费、电费、邮电费、差旅费、会议费、培训费、工会经费、其他交通费、其他商品和服务支出等。</w:t>
      </w:r>
    </w:p>
    <w:p w14:paraId="05FED69E">
      <w:pPr>
        <w:keepNext w:val="0"/>
        <w:keepLines w:val="0"/>
        <w:pageBreakBefore w:val="0"/>
        <w:widowControl w:val="0"/>
        <w:numPr>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仿宋_GB2312" w:eastAsia="仿宋_GB2312"/>
          <w:bCs/>
          <w:kern w:val="0"/>
          <w:sz w:val="32"/>
          <w:szCs w:val="32"/>
          <w:highlight w:val="none"/>
          <w:lang w:val="en-US" w:eastAsia="zh-CN"/>
        </w:rPr>
        <w:t>（三）</w:t>
      </w:r>
      <w:r>
        <w:rPr>
          <w:rFonts w:hint="default" w:ascii="仿宋_GB2312" w:eastAsia="仿宋_GB2312"/>
          <w:bCs/>
          <w:kern w:val="0"/>
          <w:sz w:val="32"/>
          <w:szCs w:val="32"/>
          <w:highlight w:val="none"/>
          <w:lang w:val="en-US" w:eastAsia="zh-CN"/>
        </w:rPr>
        <w:t>对个人和家庭的补助支出</w:t>
      </w:r>
      <w:r>
        <w:rPr>
          <w:rFonts w:hint="eastAsia" w:ascii="仿宋_GB2312" w:eastAsia="仿宋_GB2312"/>
          <w:bCs/>
          <w:kern w:val="0"/>
          <w:sz w:val="32"/>
          <w:szCs w:val="32"/>
          <w:highlight w:val="none"/>
          <w:lang w:val="en-US" w:eastAsia="zh-CN"/>
        </w:rPr>
        <w:t>10.05</w:t>
      </w:r>
      <w:r>
        <w:rPr>
          <w:rFonts w:hint="default" w:ascii="仿宋_GB2312" w:eastAsia="仿宋_GB2312"/>
          <w:bCs/>
          <w:kern w:val="0"/>
          <w:sz w:val="32"/>
          <w:szCs w:val="32"/>
          <w:highlight w:val="none"/>
          <w:lang w:val="en-US" w:eastAsia="zh-CN"/>
        </w:rPr>
        <w:t>万元，</w:t>
      </w:r>
      <w:r>
        <w:rPr>
          <w:rFonts w:hint="eastAsia" w:ascii="仿宋_GB2312" w:eastAsia="仿宋_GB2312"/>
          <w:bCs/>
          <w:kern w:val="0"/>
          <w:sz w:val="32"/>
          <w:szCs w:val="32"/>
          <w:highlight w:val="none"/>
          <w:lang w:val="en-US" w:eastAsia="zh-CN"/>
        </w:rPr>
        <w:t>年初部门预算7.34万元，完成年初预算数136.92%。存在差异原因是年中追加2名在编人员经费。主要用于支付退休人员生活补助、职工回家探亲往返路费、已故职工丧葬费、体检费用等。</w:t>
      </w:r>
    </w:p>
    <w:p w14:paraId="5FD113C8">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四、</w:t>
      </w:r>
      <w:r>
        <w:rPr>
          <w:rFonts w:hint="eastAsia" w:ascii="黑体" w:hAnsi="黑体" w:eastAsia="黑体" w:cs="仿宋_GB2312"/>
          <w:kern w:val="0"/>
          <w:sz w:val="32"/>
          <w:szCs w:val="32"/>
          <w:lang w:eastAsia="zh-CN"/>
        </w:rPr>
        <w:t>2023</w:t>
      </w:r>
      <w:r>
        <w:rPr>
          <w:rFonts w:hint="eastAsia" w:ascii="黑体" w:hAnsi="黑体" w:eastAsia="黑体" w:cs="仿宋_GB2312"/>
          <w:kern w:val="0"/>
          <w:sz w:val="32"/>
          <w:szCs w:val="32"/>
        </w:rPr>
        <w:t>年度政府性基金支出决算情况</w:t>
      </w:r>
    </w:p>
    <w:p w14:paraId="7895CCAF">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仿宋_GB2312"/>
          <w:kern w:val="0"/>
          <w:sz w:val="32"/>
          <w:szCs w:val="32"/>
          <w:lang w:eastAsia="zh-CN"/>
        </w:rPr>
      </w:pPr>
      <w:r>
        <w:rPr>
          <w:rFonts w:hint="eastAsia" w:ascii="仿宋_GB2312" w:hAnsi="Times New Roman" w:eastAsia="仿宋_GB2312" w:cs="仿宋_GB2312"/>
          <w:kern w:val="0"/>
          <w:sz w:val="32"/>
          <w:szCs w:val="32"/>
        </w:rPr>
        <w:t>本部门无</w:t>
      </w:r>
      <w:r>
        <w:rPr>
          <w:rFonts w:hint="eastAsia" w:ascii="仿宋_GB2312" w:hAnsi="Times New Roman" w:eastAsia="仿宋_GB2312" w:cs="仿宋_GB2312"/>
          <w:kern w:val="0"/>
          <w:sz w:val="32"/>
          <w:szCs w:val="32"/>
          <w:lang w:val="en-US" w:eastAsia="zh-CN"/>
        </w:rPr>
        <w:t>政府性基金</w:t>
      </w:r>
      <w:r>
        <w:rPr>
          <w:rFonts w:hint="eastAsia" w:ascii="仿宋_GB2312" w:hAnsi="Times New Roman" w:eastAsia="仿宋_GB2312" w:cs="仿宋_GB2312"/>
          <w:kern w:val="0"/>
          <w:sz w:val="32"/>
          <w:szCs w:val="32"/>
        </w:rPr>
        <w:t>支出</w:t>
      </w:r>
      <w:r>
        <w:rPr>
          <w:rFonts w:hint="eastAsia" w:ascii="仿宋_GB2312" w:hAnsi="Times New Roman" w:eastAsia="仿宋_GB2312" w:cs="仿宋_GB2312"/>
          <w:kern w:val="0"/>
          <w:sz w:val="32"/>
          <w:szCs w:val="32"/>
          <w:lang w:eastAsia="zh-CN"/>
        </w:rPr>
        <w:t>。</w:t>
      </w:r>
    </w:p>
    <w:p w14:paraId="32F3E93E">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五、</w:t>
      </w:r>
      <w:r>
        <w:rPr>
          <w:rFonts w:hint="eastAsia" w:ascii="黑体" w:hAnsi="黑体" w:eastAsia="黑体" w:cs="仿宋_GB2312"/>
          <w:kern w:val="0"/>
          <w:sz w:val="32"/>
          <w:szCs w:val="32"/>
          <w:lang w:eastAsia="zh-CN"/>
        </w:rPr>
        <w:t>2023</w:t>
      </w:r>
      <w:r>
        <w:rPr>
          <w:rFonts w:hint="eastAsia" w:ascii="黑体" w:hAnsi="黑体" w:eastAsia="黑体" w:cs="仿宋_GB2312"/>
          <w:kern w:val="0"/>
          <w:sz w:val="32"/>
          <w:szCs w:val="32"/>
        </w:rPr>
        <w:t>年度国有资本经营预算支出决算情况</w:t>
      </w:r>
    </w:p>
    <w:p w14:paraId="0CF348EE">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rPr>
        <w:t>本部门无</w:t>
      </w:r>
      <w:r>
        <w:rPr>
          <w:rFonts w:hint="eastAsia" w:ascii="仿宋_GB2312" w:hAnsi="Times New Roman" w:eastAsia="仿宋_GB2312" w:cs="Times New Roman"/>
          <w:sz w:val="32"/>
          <w:szCs w:val="32"/>
          <w:lang w:val="en-US" w:eastAsia="zh-CN"/>
        </w:rPr>
        <w:t>国有资本经验预算</w:t>
      </w:r>
      <w:r>
        <w:rPr>
          <w:rFonts w:hint="eastAsia" w:ascii="仿宋_GB2312" w:hAnsi="Times New Roman" w:eastAsia="仿宋_GB2312" w:cs="Times New Roman"/>
          <w:sz w:val="32"/>
          <w:szCs w:val="32"/>
        </w:rPr>
        <w:t>支出</w:t>
      </w:r>
      <w:r>
        <w:rPr>
          <w:rFonts w:hint="eastAsia" w:ascii="仿宋_GB2312" w:hAnsi="Times New Roman" w:eastAsia="仿宋_GB2312" w:cs="Times New Roman"/>
          <w:sz w:val="32"/>
          <w:szCs w:val="32"/>
          <w:lang w:eastAsia="zh-CN"/>
        </w:rPr>
        <w:t>。</w:t>
      </w:r>
    </w:p>
    <w:p w14:paraId="3E28FD9C">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黑体" w:hAnsi="黑体" w:eastAsia="黑体" w:cs="仿宋_GB2312"/>
          <w:kern w:val="0"/>
          <w:sz w:val="32"/>
          <w:szCs w:val="32"/>
        </w:rPr>
      </w:pPr>
      <w:r>
        <w:rPr>
          <w:rFonts w:hint="eastAsia" w:ascii="黑体" w:hAnsi="黑体" w:eastAsia="黑体" w:cs="仿宋_GB2312"/>
          <w:kern w:val="0"/>
          <w:sz w:val="32"/>
          <w:szCs w:val="32"/>
        </w:rPr>
        <w:t>六、</w:t>
      </w:r>
      <w:r>
        <w:rPr>
          <w:rFonts w:hint="eastAsia" w:ascii="黑体" w:hAnsi="黑体" w:eastAsia="黑体"/>
          <w:sz w:val="32"/>
          <w:szCs w:val="32"/>
        </w:rPr>
        <w:t>一般</w:t>
      </w:r>
      <w:r>
        <w:rPr>
          <w:rFonts w:hint="eastAsia" w:ascii="黑体" w:hAnsi="黑体" w:eastAsia="黑体" w:cs="仿宋_GB2312"/>
          <w:kern w:val="0"/>
          <w:sz w:val="32"/>
          <w:szCs w:val="32"/>
        </w:rPr>
        <w:t>公共预算财政拨款安排的“三公”经费支出决算情况说明</w:t>
      </w:r>
    </w:p>
    <w:p w14:paraId="3581EA8D">
      <w:pPr>
        <w:keepNext w:val="0"/>
        <w:keepLines w:val="0"/>
        <w:pageBreakBefore w:val="0"/>
        <w:widowControl w:val="0"/>
        <w:kinsoku/>
        <w:wordWrap/>
        <w:overflowPunct/>
        <w:topLinePunct w:val="0"/>
        <w:autoSpaceDE w:val="0"/>
        <w:autoSpaceDN w:val="0"/>
        <w:bidi w:val="0"/>
        <w:adjustRightInd w:val="0"/>
        <w:snapToGrid w:val="0"/>
        <w:spacing w:line="360" w:lineRule="auto"/>
        <w:ind w:firstLine="627" w:firstLineChars="196"/>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2023</w:t>
      </w:r>
      <w:r>
        <w:rPr>
          <w:rFonts w:hint="eastAsia" w:ascii="仿宋_GB2312" w:eastAsia="仿宋_GB2312" w:cs="仿宋_GB2312"/>
          <w:kern w:val="0"/>
          <w:sz w:val="32"/>
          <w:szCs w:val="32"/>
        </w:rPr>
        <w:t>年度财政拨款安排的“三</w:t>
      </w:r>
      <w:r>
        <w:rPr>
          <w:rFonts w:hint="eastAsia" w:ascii="仿宋_GB2312" w:eastAsia="仿宋_GB2312" w:cs="仿宋_GB2312"/>
          <w:color w:val="auto"/>
          <w:kern w:val="0"/>
          <w:sz w:val="32"/>
          <w:szCs w:val="32"/>
        </w:rPr>
        <w:t>公”经费支出</w:t>
      </w:r>
      <w:r>
        <w:rPr>
          <w:rFonts w:hint="eastAsia" w:ascii="仿宋_GB2312" w:eastAsia="仿宋_GB2312" w:cs="仿宋_GB2312"/>
          <w:color w:val="auto"/>
          <w:kern w:val="0"/>
          <w:sz w:val="32"/>
          <w:szCs w:val="32"/>
          <w:lang w:val="en-US" w:eastAsia="zh-CN"/>
        </w:rPr>
        <w:t>0.84</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年初部门预算为1.57万元，</w:t>
      </w:r>
      <w:r>
        <w:rPr>
          <w:rFonts w:hint="eastAsia" w:ascii="仿宋_GB2312" w:eastAsia="仿宋_GB2312" w:cs="仿宋_GB2312"/>
          <w:color w:val="auto"/>
          <w:kern w:val="0"/>
          <w:sz w:val="32"/>
          <w:szCs w:val="32"/>
        </w:rPr>
        <w:t>完成年初预算的</w:t>
      </w:r>
      <w:r>
        <w:rPr>
          <w:rFonts w:hint="eastAsia" w:ascii="仿宋_GB2312" w:eastAsia="仿宋_GB2312" w:cs="仿宋_GB2312"/>
          <w:color w:val="auto"/>
          <w:kern w:val="0"/>
          <w:sz w:val="32"/>
          <w:szCs w:val="32"/>
          <w:lang w:val="en-US" w:eastAsia="zh-CN"/>
        </w:rPr>
        <w:t>53.50</w:t>
      </w:r>
      <w:r>
        <w:rPr>
          <w:rFonts w:hint="eastAsia" w:ascii="仿宋_GB2312" w:eastAsia="仿宋_GB2312" w:cs="仿宋_GB2312"/>
          <w:color w:val="auto"/>
          <w:kern w:val="0"/>
          <w:sz w:val="32"/>
          <w:szCs w:val="32"/>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增加0.84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增长100</w:t>
      </w:r>
      <w:r>
        <w:rPr>
          <w:rFonts w:hint="eastAsia" w:ascii="仿宋_GB2312" w:hAnsi="黑体" w:eastAsia="仿宋_GB2312" w:cs="仿宋_GB2312"/>
          <w:kern w:val="0"/>
          <w:sz w:val="32"/>
          <w:szCs w:val="32"/>
        </w:rPr>
        <w:t>%</w:t>
      </w:r>
      <w:r>
        <w:rPr>
          <w:rFonts w:hint="eastAsia" w:ascii="仿宋_GB2312" w:eastAsia="仿宋_GB2312" w:cs="仿宋_GB2312"/>
          <w:color w:val="auto"/>
          <w:kern w:val="0"/>
          <w:sz w:val="32"/>
          <w:szCs w:val="32"/>
          <w:lang w:val="en-US" w:eastAsia="zh-CN"/>
        </w:rPr>
        <w:t>。</w:t>
      </w:r>
      <w:r>
        <w:rPr>
          <w:rFonts w:hint="eastAsia" w:ascii="仿宋_GB2312" w:eastAsia="仿宋_GB2312" w:cs="仿宋_GB2312"/>
          <w:color w:val="auto"/>
          <w:kern w:val="0"/>
          <w:sz w:val="32"/>
          <w:szCs w:val="32"/>
        </w:rPr>
        <w:t>其中：因公出国（境</w:t>
      </w:r>
      <w:r>
        <w:rPr>
          <w:rFonts w:hint="eastAsia" w:ascii="仿宋_GB2312" w:eastAsia="仿宋_GB2312" w:cs="仿宋_GB2312"/>
          <w:kern w:val="0"/>
          <w:sz w:val="32"/>
          <w:szCs w:val="32"/>
        </w:rPr>
        <w:t>）费支出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万元，公务用车购置及运行费支出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万元，公务接待费支出</w:t>
      </w:r>
      <w:r>
        <w:rPr>
          <w:rFonts w:hint="eastAsia" w:ascii="仿宋_GB2312" w:eastAsia="仿宋_GB2312" w:cs="仿宋_GB2312"/>
          <w:kern w:val="0"/>
          <w:sz w:val="32"/>
          <w:szCs w:val="32"/>
          <w:lang w:val="en-US" w:eastAsia="zh-CN"/>
        </w:rPr>
        <w:t>0.00</w:t>
      </w:r>
      <w:r>
        <w:rPr>
          <w:rFonts w:hint="eastAsia" w:ascii="仿宋_GB2312" w:eastAsia="仿宋_GB2312" w:cs="仿宋_GB2312"/>
          <w:kern w:val="0"/>
          <w:sz w:val="32"/>
          <w:szCs w:val="32"/>
        </w:rPr>
        <w:t>万元。</w:t>
      </w:r>
    </w:p>
    <w:p w14:paraId="2125AD5F">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具体情况如下：</w:t>
      </w:r>
    </w:p>
    <w:p w14:paraId="644C0174">
      <w:pPr>
        <w:keepNext w:val="0"/>
        <w:keepLines w:val="0"/>
        <w:pageBreakBefore w:val="0"/>
        <w:widowControl w:val="0"/>
        <w:numPr>
          <w:ilvl w:val="0"/>
          <w:numId w:val="3"/>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kern w:val="0"/>
          <w:sz w:val="32"/>
          <w:szCs w:val="32"/>
          <w:lang w:val="en-US" w:eastAsia="zh-CN"/>
        </w:rPr>
      </w:pPr>
      <w:r>
        <w:rPr>
          <w:rFonts w:hint="eastAsia" w:ascii="仿宋_GB2312" w:eastAsia="仿宋_GB2312" w:cs="仿宋_GB2312"/>
          <w:kern w:val="0"/>
          <w:sz w:val="32"/>
          <w:szCs w:val="32"/>
        </w:rPr>
        <w:t>因公出国（境）费支出</w:t>
      </w:r>
      <w:r>
        <w:rPr>
          <w:rFonts w:hint="eastAsia" w:ascii="仿宋_GB2312" w:eastAsia="仿宋_GB2312" w:cs="仿宋_GB2312"/>
          <w:kern w:val="0"/>
          <w:sz w:val="32"/>
          <w:szCs w:val="32"/>
          <w:lang w:val="en-US" w:eastAsia="zh-CN"/>
        </w:rPr>
        <w:t>0</w:t>
      </w:r>
      <w:r>
        <w:rPr>
          <w:rFonts w:hint="eastAsia" w:ascii="仿宋_GB2312" w:eastAsia="仿宋_GB2312" w:cs="仿宋_GB2312"/>
          <w:kern w:val="0"/>
          <w:sz w:val="32"/>
          <w:szCs w:val="32"/>
        </w:rPr>
        <w:t>万元，</w:t>
      </w:r>
      <w:r>
        <w:rPr>
          <w:rFonts w:hint="eastAsia" w:ascii="仿宋_GB2312" w:eastAsia="仿宋_GB2312" w:cs="仿宋_GB2312"/>
          <w:kern w:val="0"/>
          <w:sz w:val="32"/>
          <w:szCs w:val="32"/>
          <w:lang w:val="en-US" w:eastAsia="zh-CN"/>
        </w:rPr>
        <w:t>与部门预算数一致，与上年持平，无增减变化。主要原因是2023年本单位无因公出国计划。</w:t>
      </w:r>
    </w:p>
    <w:p w14:paraId="04148D0B">
      <w:pPr>
        <w:keepNext w:val="0"/>
        <w:keepLines w:val="0"/>
        <w:pageBreakBefore w:val="0"/>
        <w:widowControl w:val="0"/>
        <w:numPr>
          <w:numId w:val="0"/>
        </w:numPr>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kern w:val="0"/>
          <w:sz w:val="32"/>
          <w:szCs w:val="32"/>
        </w:rPr>
      </w:pPr>
      <w:r>
        <w:rPr>
          <w:rFonts w:hint="eastAsia" w:ascii="仿宋_GB2312" w:eastAsia="仿宋_GB2312" w:cs="仿宋_GB2312"/>
          <w:kern w:val="0"/>
          <w:sz w:val="32"/>
          <w:szCs w:val="32"/>
        </w:rPr>
        <w:t>（二）公务用车购置及运行费支出</w:t>
      </w:r>
      <w:r>
        <w:rPr>
          <w:rFonts w:hint="eastAsia" w:ascii="仿宋_GB2312" w:eastAsia="仿宋_GB2312" w:cs="仿宋_GB2312"/>
          <w:kern w:val="0"/>
          <w:sz w:val="32"/>
          <w:szCs w:val="32"/>
          <w:lang w:val="en-US" w:eastAsia="zh-CN"/>
        </w:rPr>
        <w:t>0.84</w:t>
      </w:r>
      <w:r>
        <w:rPr>
          <w:rFonts w:hint="eastAsia" w:ascii="仿宋_GB2312" w:eastAsia="仿宋_GB2312" w:cs="仿宋_GB2312"/>
          <w:kern w:val="0"/>
          <w:sz w:val="32"/>
          <w:szCs w:val="32"/>
        </w:rPr>
        <w:t>万元。其中：</w:t>
      </w:r>
    </w:p>
    <w:p w14:paraId="7037CF4B">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color w:val="auto"/>
          <w:kern w:val="0"/>
          <w:sz w:val="32"/>
          <w:szCs w:val="32"/>
          <w:lang w:val="en-US" w:eastAsia="zh-CN"/>
        </w:rPr>
      </w:pPr>
      <w:r>
        <w:rPr>
          <w:rFonts w:hint="eastAsia" w:ascii="仿宋_GB2312" w:eastAsia="仿宋_GB2312" w:cs="仿宋_GB2312"/>
          <w:kern w:val="0"/>
          <w:sz w:val="32"/>
          <w:szCs w:val="32"/>
        </w:rPr>
        <w:t>公务</w:t>
      </w:r>
      <w:r>
        <w:rPr>
          <w:rFonts w:hint="eastAsia" w:ascii="仿宋_GB2312" w:eastAsia="仿宋_GB2312" w:cs="仿宋_GB2312"/>
          <w:color w:val="auto"/>
          <w:kern w:val="0"/>
          <w:sz w:val="32"/>
          <w:szCs w:val="32"/>
        </w:rPr>
        <w:t>用车购置支出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cs="仿宋_GB2312"/>
          <w:kern w:val="0"/>
          <w:sz w:val="32"/>
          <w:szCs w:val="32"/>
          <w:lang w:val="en-US" w:eastAsia="zh-CN"/>
        </w:rPr>
        <w:t>与部门预算数一致，与上年持平，无增减变化。</w:t>
      </w:r>
      <w:r>
        <w:rPr>
          <w:rFonts w:hint="eastAsia" w:ascii="仿宋_GB2312" w:eastAsia="仿宋_GB2312" w:cs="仿宋_GB2312"/>
          <w:color w:val="auto"/>
          <w:kern w:val="0"/>
          <w:sz w:val="32"/>
          <w:szCs w:val="32"/>
          <w:lang w:val="en-US" w:eastAsia="zh-CN"/>
        </w:rPr>
        <w:t>主要原因2023年本单位无购车计划。</w:t>
      </w:r>
    </w:p>
    <w:p w14:paraId="2ADE4293">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公务用车运行支出</w:t>
      </w:r>
      <w:r>
        <w:rPr>
          <w:rFonts w:hint="eastAsia" w:ascii="仿宋_GB2312" w:eastAsia="仿宋_GB2312" w:cs="仿宋_GB2312"/>
          <w:color w:val="auto"/>
          <w:kern w:val="0"/>
          <w:sz w:val="32"/>
          <w:szCs w:val="32"/>
          <w:lang w:val="en-US" w:eastAsia="zh-CN"/>
        </w:rPr>
        <w:t>0.84</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lang w:val="en-US" w:eastAsia="zh-CN"/>
        </w:rPr>
        <w:t>年初预算1.48万元，</w:t>
      </w:r>
      <w:r>
        <w:rPr>
          <w:rFonts w:hint="eastAsia" w:ascii="仿宋_GB2312" w:eastAsia="仿宋_GB2312" w:cs="仿宋_GB2312"/>
          <w:color w:val="auto"/>
          <w:kern w:val="0"/>
          <w:sz w:val="32"/>
          <w:szCs w:val="32"/>
        </w:rPr>
        <w:t>完成年初预算的</w:t>
      </w:r>
      <w:r>
        <w:rPr>
          <w:rFonts w:hint="eastAsia" w:ascii="仿宋_GB2312" w:eastAsia="仿宋_GB2312" w:cs="仿宋_GB2312"/>
          <w:color w:val="auto"/>
          <w:kern w:val="0"/>
          <w:sz w:val="32"/>
          <w:szCs w:val="32"/>
          <w:lang w:val="en-US" w:eastAsia="zh-CN"/>
        </w:rPr>
        <w:t>56.76</w:t>
      </w:r>
      <w:r>
        <w:rPr>
          <w:rFonts w:hint="eastAsia" w:ascii="仿宋_GB2312" w:eastAsia="仿宋_GB2312" w:cs="仿宋_GB2312"/>
          <w:color w:val="auto"/>
          <w:kern w:val="0"/>
          <w:sz w:val="32"/>
          <w:szCs w:val="32"/>
        </w:rPr>
        <w:t>%，</w:t>
      </w:r>
      <w:r>
        <w:rPr>
          <w:rFonts w:hint="eastAsia" w:ascii="仿宋_GB2312" w:hAnsi="黑体" w:eastAsia="仿宋_GB2312" w:cs="仿宋_GB2312"/>
          <w:kern w:val="0"/>
          <w:sz w:val="32"/>
          <w:szCs w:val="32"/>
        </w:rPr>
        <w:t>较</w:t>
      </w:r>
      <w:r>
        <w:rPr>
          <w:rFonts w:hint="eastAsia" w:ascii="仿宋_GB2312" w:hAnsi="黑体" w:eastAsia="仿宋_GB2312" w:cs="仿宋_GB2312"/>
          <w:kern w:val="0"/>
          <w:sz w:val="32"/>
          <w:szCs w:val="32"/>
          <w:lang w:eastAsia="zh-CN"/>
        </w:rPr>
        <w:t>2022</w:t>
      </w:r>
      <w:r>
        <w:rPr>
          <w:rFonts w:hint="eastAsia" w:ascii="仿宋_GB2312" w:hAnsi="黑体" w:eastAsia="仿宋_GB2312" w:cs="仿宋_GB2312"/>
          <w:kern w:val="0"/>
          <w:sz w:val="32"/>
          <w:szCs w:val="32"/>
        </w:rPr>
        <w:t>年度决算数</w:t>
      </w:r>
      <w:r>
        <w:rPr>
          <w:rFonts w:hint="eastAsia" w:ascii="仿宋_GB2312" w:hAnsi="黑体" w:eastAsia="仿宋_GB2312" w:cs="仿宋_GB2312"/>
          <w:kern w:val="0"/>
          <w:sz w:val="32"/>
          <w:szCs w:val="32"/>
          <w:lang w:val="en-US" w:eastAsia="zh-CN"/>
        </w:rPr>
        <w:t>增加0.84</w:t>
      </w:r>
      <w:r>
        <w:rPr>
          <w:rFonts w:hint="eastAsia" w:ascii="仿宋_GB2312" w:hAnsi="黑体" w:eastAsia="仿宋_GB2312" w:cs="仿宋_GB2312"/>
          <w:kern w:val="0"/>
          <w:sz w:val="32"/>
          <w:szCs w:val="32"/>
        </w:rPr>
        <w:t>万元，</w:t>
      </w:r>
      <w:r>
        <w:rPr>
          <w:rFonts w:hint="eastAsia" w:ascii="仿宋_GB2312" w:hAnsi="黑体" w:eastAsia="仿宋_GB2312" w:cs="仿宋_GB2312"/>
          <w:kern w:val="0"/>
          <w:sz w:val="32"/>
          <w:szCs w:val="32"/>
          <w:lang w:val="en-US" w:eastAsia="zh-CN"/>
        </w:rPr>
        <w:t>增长100</w:t>
      </w:r>
      <w:r>
        <w:rPr>
          <w:rFonts w:hint="eastAsia" w:ascii="仿宋_GB2312" w:hAnsi="黑体" w:eastAsia="仿宋_GB2312" w:cs="仿宋_GB2312"/>
          <w:kern w:val="0"/>
          <w:sz w:val="32"/>
          <w:szCs w:val="32"/>
        </w:rPr>
        <w:t>%。</w:t>
      </w:r>
      <w:r>
        <w:rPr>
          <w:rFonts w:hint="eastAsia" w:ascii="仿宋_GB2312" w:hAnsi="黑体" w:eastAsia="仿宋_GB2312" w:cs="仿宋_GB2312"/>
          <w:kern w:val="0"/>
          <w:sz w:val="32"/>
          <w:szCs w:val="32"/>
          <w:lang w:val="en-US" w:eastAsia="zh-CN"/>
        </w:rPr>
        <w:t>增长原因是2023年该单位公务车辆进行维修。</w:t>
      </w:r>
      <w:r>
        <w:rPr>
          <w:rFonts w:hint="eastAsia" w:ascii="仿宋_GB2312" w:eastAsia="仿宋_GB2312" w:cs="仿宋_GB2312"/>
          <w:color w:val="auto"/>
          <w:kern w:val="0"/>
          <w:sz w:val="32"/>
          <w:szCs w:val="32"/>
        </w:rPr>
        <w:t>主要用于开展</w:t>
      </w:r>
      <w:r>
        <w:rPr>
          <w:rFonts w:hint="eastAsia" w:ascii="仿宋_GB2312" w:eastAsia="仿宋_GB2312" w:cs="仿宋_GB2312"/>
          <w:color w:val="auto"/>
          <w:kern w:val="0"/>
          <w:sz w:val="32"/>
          <w:szCs w:val="32"/>
          <w:lang w:val="en-US" w:eastAsia="zh-CN"/>
        </w:rPr>
        <w:t>离退休</w:t>
      </w:r>
      <w:r>
        <w:rPr>
          <w:rFonts w:hint="eastAsia" w:ascii="仿宋_GB2312" w:eastAsia="仿宋_GB2312" w:cs="仿宋_GB2312"/>
          <w:color w:val="auto"/>
          <w:kern w:val="0"/>
          <w:sz w:val="32"/>
          <w:szCs w:val="32"/>
        </w:rPr>
        <w:t>业务所需车辆燃料费、维修费、过路过桥费、保险费等。</w:t>
      </w:r>
      <w:r>
        <w:rPr>
          <w:rFonts w:hint="eastAsia" w:ascii="仿宋_GB2312" w:eastAsia="仿宋_GB2312" w:cs="仿宋_GB2312"/>
          <w:color w:val="auto"/>
          <w:kern w:val="0"/>
          <w:sz w:val="32"/>
          <w:szCs w:val="32"/>
          <w:lang w:eastAsia="zh-CN"/>
        </w:rPr>
        <w:t>2023</w:t>
      </w:r>
      <w:r>
        <w:rPr>
          <w:rFonts w:hint="eastAsia" w:ascii="仿宋_GB2312" w:eastAsia="仿宋_GB2312" w:cs="仿宋_GB2312"/>
          <w:color w:val="auto"/>
          <w:kern w:val="0"/>
          <w:sz w:val="32"/>
          <w:szCs w:val="32"/>
        </w:rPr>
        <w:t>年，</w:t>
      </w:r>
      <w:r>
        <w:rPr>
          <w:rFonts w:hint="eastAsia" w:ascii="仿宋_GB2312" w:hAnsi="黑体" w:eastAsia="仿宋_GB2312"/>
          <w:bCs/>
          <w:color w:val="auto"/>
          <w:sz w:val="32"/>
          <w:szCs w:val="32"/>
          <w:u w:val="none"/>
          <w:lang w:val="en-US" w:eastAsia="zh-CN"/>
        </w:rPr>
        <w:t>自治区应急厅机关服务中心</w:t>
      </w:r>
      <w:r>
        <w:rPr>
          <w:rFonts w:hint="eastAsia" w:ascii="仿宋_GB2312" w:hAnsi="黑体" w:eastAsia="仿宋_GB2312"/>
          <w:bCs/>
          <w:color w:val="auto"/>
          <w:sz w:val="32"/>
          <w:szCs w:val="32"/>
          <w:u w:val="none"/>
        </w:rPr>
        <w:t>开支财政拨款的公务用车保有量为</w:t>
      </w:r>
      <w:r>
        <w:rPr>
          <w:rFonts w:hint="eastAsia" w:ascii="仿宋_GB2312" w:hAnsi="黑体" w:eastAsia="仿宋_GB2312"/>
          <w:bCs/>
          <w:color w:val="auto"/>
          <w:sz w:val="32"/>
          <w:szCs w:val="32"/>
          <w:u w:val="none"/>
          <w:lang w:val="en-US" w:eastAsia="zh-CN"/>
        </w:rPr>
        <w:t>1</w:t>
      </w:r>
      <w:r>
        <w:rPr>
          <w:rFonts w:hint="eastAsia" w:ascii="仿宋_GB2312" w:hAnsi="黑体" w:eastAsia="仿宋_GB2312"/>
          <w:bCs/>
          <w:color w:val="auto"/>
          <w:sz w:val="32"/>
          <w:szCs w:val="32"/>
          <w:u w:val="none"/>
        </w:rPr>
        <w:t>辆，全年</w:t>
      </w:r>
      <w:r>
        <w:rPr>
          <w:rFonts w:hint="eastAsia" w:ascii="仿宋_GB2312" w:hAnsi="黑体" w:eastAsia="仿宋_GB2312"/>
          <w:bCs/>
          <w:color w:val="auto"/>
          <w:sz w:val="32"/>
          <w:szCs w:val="32"/>
        </w:rPr>
        <w:t>运行费支出</w:t>
      </w:r>
      <w:r>
        <w:rPr>
          <w:rFonts w:hint="eastAsia" w:ascii="仿宋_GB2312" w:hAnsi="黑体" w:eastAsia="仿宋_GB2312"/>
          <w:bCs/>
          <w:color w:val="auto"/>
          <w:sz w:val="32"/>
          <w:szCs w:val="32"/>
          <w:lang w:val="en-US" w:eastAsia="zh-CN"/>
        </w:rPr>
        <w:t>0.84</w:t>
      </w:r>
      <w:r>
        <w:rPr>
          <w:rFonts w:hint="eastAsia" w:ascii="仿宋_GB2312" w:hAnsi="黑体" w:eastAsia="仿宋_GB2312"/>
          <w:bCs/>
          <w:color w:val="auto"/>
          <w:sz w:val="32"/>
          <w:szCs w:val="32"/>
        </w:rPr>
        <w:t>万元，平均每辆</w:t>
      </w:r>
      <w:r>
        <w:rPr>
          <w:rFonts w:hint="eastAsia" w:ascii="仿宋_GB2312" w:hAnsi="黑体" w:eastAsia="仿宋_GB2312"/>
          <w:bCs/>
          <w:color w:val="auto"/>
          <w:sz w:val="32"/>
          <w:szCs w:val="32"/>
          <w:lang w:val="en-US" w:eastAsia="zh-CN"/>
        </w:rPr>
        <w:t>0.84</w:t>
      </w:r>
      <w:r>
        <w:rPr>
          <w:rFonts w:hint="eastAsia" w:ascii="仿宋_GB2312" w:hAnsi="黑体" w:eastAsia="仿宋_GB2312"/>
          <w:bCs/>
          <w:color w:val="auto"/>
          <w:sz w:val="32"/>
          <w:szCs w:val="32"/>
        </w:rPr>
        <w:t>万元。</w:t>
      </w:r>
    </w:p>
    <w:p w14:paraId="03B8AD5F">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default" w:ascii="仿宋_GB2312" w:eastAsia="仿宋_GB2312" w:cs="仿宋_GB2312"/>
          <w:color w:val="auto"/>
          <w:kern w:val="0"/>
          <w:sz w:val="32"/>
          <w:szCs w:val="32"/>
          <w:lang w:val="en-US" w:eastAsia="zh-CN"/>
        </w:rPr>
      </w:pPr>
      <w:r>
        <w:rPr>
          <w:rFonts w:hint="eastAsia" w:ascii="仿宋_GB2312" w:eastAsia="仿宋_GB2312" w:cs="仿宋_GB2312"/>
          <w:color w:val="auto"/>
          <w:kern w:val="0"/>
          <w:sz w:val="32"/>
          <w:szCs w:val="32"/>
        </w:rPr>
        <w:t>（三）公务接待费支出</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万元，</w:t>
      </w:r>
      <w:r>
        <w:rPr>
          <w:rFonts w:hint="eastAsia" w:ascii="仿宋_GB2312" w:eastAsia="仿宋_GB2312" w:cs="仿宋_GB2312"/>
          <w:kern w:val="0"/>
          <w:sz w:val="32"/>
          <w:szCs w:val="32"/>
          <w:lang w:val="en-US" w:eastAsia="zh-CN"/>
        </w:rPr>
        <w:t>与部门预算数一致，与上年持平，无增减变化。</w:t>
      </w:r>
      <w:r>
        <w:rPr>
          <w:rFonts w:hint="eastAsia" w:ascii="仿宋_GB2312" w:eastAsia="仿宋_GB2312" w:cs="仿宋_GB2312"/>
          <w:color w:val="auto"/>
          <w:kern w:val="0"/>
          <w:sz w:val="32"/>
          <w:szCs w:val="32"/>
          <w:lang w:val="en-US" w:eastAsia="zh-CN"/>
        </w:rPr>
        <w:t>主要原因2023年本单位无公务接待。</w:t>
      </w:r>
    </w:p>
    <w:p w14:paraId="276464AB">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27" w:firstLineChars="196"/>
        <w:jc w:val="both"/>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七、其他重要事项情况说明</w:t>
      </w:r>
    </w:p>
    <w:p w14:paraId="4D849662">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（一）</w:t>
      </w:r>
      <w:r>
        <w:rPr>
          <w:rFonts w:hint="eastAsia" w:ascii="楷体_GB2312" w:eastAsia="楷体_GB2312" w:cs="仿宋_GB2312"/>
          <w:color w:val="auto"/>
          <w:kern w:val="0"/>
          <w:sz w:val="32"/>
          <w:szCs w:val="32"/>
          <w:lang w:val="en-US" w:eastAsia="zh-CN"/>
        </w:rPr>
        <w:t>事业单位</w:t>
      </w:r>
      <w:r>
        <w:rPr>
          <w:rFonts w:hint="eastAsia" w:ascii="楷体_GB2312" w:eastAsia="楷体_GB2312" w:cs="仿宋_GB2312"/>
          <w:color w:val="auto"/>
          <w:kern w:val="0"/>
          <w:sz w:val="32"/>
          <w:szCs w:val="32"/>
        </w:rPr>
        <w:t>运行经费支出情况说明。</w:t>
      </w:r>
    </w:p>
    <w:p w14:paraId="113D0FAE">
      <w:pPr>
        <w:keepNext w:val="0"/>
        <w:keepLines w:val="0"/>
        <w:pageBreakBefore w:val="0"/>
        <w:widowControl w:val="0"/>
        <w:kinsoku/>
        <w:wordWrap/>
        <w:overflowPunct/>
        <w:topLinePunct w:val="0"/>
        <w:autoSpaceDE w:val="0"/>
        <w:autoSpaceDN w:val="0"/>
        <w:bidi w:val="0"/>
        <w:adjustRightInd w:val="0"/>
        <w:snapToGrid w:val="0"/>
        <w:spacing w:line="360" w:lineRule="auto"/>
        <w:ind w:firstLine="640" w:firstLineChars="200"/>
        <w:jc w:val="both"/>
        <w:textAlignment w:val="auto"/>
        <w:rPr>
          <w:rFonts w:hint="eastAsia" w:ascii="仿宋_GB2312" w:hAnsi="Times New Roman" w:eastAsia="仿宋_GB2312" w:cs="仿宋_GB2312"/>
          <w:color w:val="auto"/>
          <w:kern w:val="0"/>
          <w:sz w:val="32"/>
          <w:szCs w:val="32"/>
          <w:lang w:eastAsia="zh-CN"/>
        </w:rPr>
      </w:pPr>
      <w:r>
        <w:rPr>
          <w:rFonts w:hint="eastAsia" w:ascii="仿宋_GB2312" w:eastAsia="仿宋_GB2312" w:cs="仿宋_GB2312"/>
          <w:color w:val="auto"/>
          <w:kern w:val="0"/>
          <w:sz w:val="32"/>
          <w:szCs w:val="32"/>
        </w:rPr>
        <w:t>本部门</w:t>
      </w:r>
      <w:r>
        <w:rPr>
          <w:rFonts w:hint="eastAsia" w:ascii="仿宋_GB2312" w:eastAsia="仿宋_GB2312" w:cs="仿宋_GB2312"/>
          <w:color w:val="auto"/>
          <w:kern w:val="0"/>
          <w:sz w:val="32"/>
          <w:szCs w:val="32"/>
          <w:lang w:eastAsia="zh-CN"/>
        </w:rPr>
        <w:t>2023</w:t>
      </w:r>
      <w:r>
        <w:rPr>
          <w:rFonts w:hint="eastAsia" w:ascii="仿宋_GB2312" w:eastAsia="仿宋_GB2312" w:cs="仿宋_GB2312"/>
          <w:color w:val="auto"/>
          <w:kern w:val="0"/>
          <w:sz w:val="32"/>
          <w:szCs w:val="32"/>
        </w:rPr>
        <w:t>年度</w:t>
      </w:r>
      <w:r>
        <w:rPr>
          <w:rFonts w:hint="eastAsia" w:ascii="仿宋_GB2312" w:eastAsia="仿宋_GB2312" w:cs="仿宋_GB2312"/>
          <w:color w:val="auto"/>
          <w:kern w:val="0"/>
          <w:sz w:val="32"/>
          <w:szCs w:val="32"/>
          <w:lang w:val="en-US" w:eastAsia="zh-CN"/>
        </w:rPr>
        <w:t>事业单位</w:t>
      </w:r>
      <w:r>
        <w:rPr>
          <w:rFonts w:hint="eastAsia" w:ascii="仿宋_GB2312" w:eastAsia="仿宋_GB2312" w:cs="仿宋_GB2312"/>
          <w:color w:val="auto"/>
          <w:kern w:val="0"/>
          <w:sz w:val="32"/>
          <w:szCs w:val="32"/>
        </w:rPr>
        <w:t>运行经费支出</w:t>
      </w:r>
      <w:r>
        <w:rPr>
          <w:rFonts w:hint="eastAsia" w:ascii="仿宋_GB2312" w:eastAsia="仿宋_GB2312" w:cs="仿宋_GB2312"/>
          <w:color w:val="auto"/>
          <w:kern w:val="0"/>
          <w:sz w:val="32"/>
          <w:szCs w:val="32"/>
          <w:lang w:val="en-US" w:eastAsia="zh-CN"/>
        </w:rPr>
        <w:t>15.97</w:t>
      </w:r>
      <w:r>
        <w:rPr>
          <w:rFonts w:hint="eastAsia" w:ascii="仿宋_GB2312" w:eastAsia="仿宋_GB2312" w:cs="仿宋_GB2312"/>
          <w:color w:val="auto"/>
          <w:kern w:val="0"/>
          <w:sz w:val="32"/>
          <w:szCs w:val="32"/>
        </w:rPr>
        <w:t>万元</w:t>
      </w:r>
      <w:r>
        <w:rPr>
          <w:rFonts w:hint="eastAsia" w:ascii="仿宋_GB2312" w:eastAsia="仿宋_GB2312" w:cs="仿宋_GB2312"/>
          <w:color w:val="auto"/>
          <w:kern w:val="0"/>
          <w:sz w:val="32"/>
          <w:szCs w:val="32"/>
          <w:highlight w:val="none"/>
        </w:rPr>
        <w:t>，比年初预算数</w:t>
      </w:r>
      <w:r>
        <w:rPr>
          <w:rFonts w:hint="eastAsia" w:ascii="仿宋_GB2312" w:eastAsia="仿宋_GB2312" w:cs="仿宋_GB2312"/>
          <w:color w:val="auto"/>
          <w:kern w:val="0"/>
          <w:sz w:val="32"/>
          <w:szCs w:val="32"/>
          <w:highlight w:val="none"/>
          <w:lang w:val="en-US" w:eastAsia="zh-CN"/>
        </w:rPr>
        <w:t>增加1.82</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val="en-US" w:eastAsia="zh-CN"/>
        </w:rPr>
        <w:t>完成年初预算数112.86</w:t>
      </w:r>
      <w:r>
        <w:rPr>
          <w:rFonts w:hint="eastAsia" w:ascii="仿宋_GB2312" w:eastAsia="仿宋_GB2312" w:cs="仿宋_GB2312"/>
          <w:color w:val="auto"/>
          <w:kern w:val="0"/>
          <w:sz w:val="32"/>
          <w:szCs w:val="32"/>
          <w:highlight w:val="none"/>
        </w:rPr>
        <w:t>%，比上年决算数</w:t>
      </w:r>
      <w:r>
        <w:rPr>
          <w:rFonts w:hint="eastAsia" w:ascii="仿宋_GB2312" w:eastAsia="仿宋_GB2312" w:cs="仿宋_GB2312"/>
          <w:color w:val="auto"/>
          <w:kern w:val="0"/>
          <w:sz w:val="32"/>
          <w:szCs w:val="32"/>
          <w:highlight w:val="none"/>
          <w:lang w:val="en-US" w:eastAsia="zh-CN"/>
        </w:rPr>
        <w:t>增加4.74</w:t>
      </w:r>
      <w:r>
        <w:rPr>
          <w:rFonts w:hint="eastAsia" w:ascii="仿宋_GB2312" w:eastAsia="仿宋_GB2312" w:cs="仿宋_GB2312"/>
          <w:color w:val="auto"/>
          <w:kern w:val="0"/>
          <w:sz w:val="32"/>
          <w:szCs w:val="32"/>
          <w:highlight w:val="none"/>
        </w:rPr>
        <w:t>万元，</w:t>
      </w:r>
      <w:r>
        <w:rPr>
          <w:rFonts w:hint="eastAsia" w:ascii="仿宋_GB2312" w:eastAsia="仿宋_GB2312" w:cs="仿宋_GB2312"/>
          <w:color w:val="auto"/>
          <w:kern w:val="0"/>
          <w:sz w:val="32"/>
          <w:szCs w:val="32"/>
          <w:highlight w:val="none"/>
          <w:lang w:val="en-US" w:eastAsia="zh-CN"/>
        </w:rPr>
        <w:t>增长42.21</w:t>
      </w:r>
      <w:r>
        <w:rPr>
          <w:rFonts w:hint="eastAsia" w:ascii="仿宋_GB2312" w:eastAsia="仿宋_GB2312" w:cs="仿宋_GB2312"/>
          <w:color w:val="auto"/>
          <w:kern w:val="0"/>
          <w:sz w:val="32"/>
          <w:szCs w:val="32"/>
          <w:highlight w:val="none"/>
        </w:rPr>
        <w:t>%。主要原因是</w:t>
      </w:r>
      <w:r>
        <w:rPr>
          <w:rFonts w:hint="eastAsia" w:ascii="仿宋_GB2312" w:eastAsia="仿宋_GB2312" w:cs="仿宋_GB2312"/>
          <w:color w:val="auto"/>
          <w:kern w:val="0"/>
          <w:sz w:val="32"/>
          <w:szCs w:val="32"/>
          <w:highlight w:val="none"/>
          <w:lang w:val="en-US" w:eastAsia="zh-CN"/>
        </w:rPr>
        <w:t>2023年新增2名在编人员，年中追加公用经费</w:t>
      </w:r>
      <w:r>
        <w:rPr>
          <w:rFonts w:hint="eastAsia" w:ascii="仿宋_GB2312" w:eastAsia="仿宋_GB2312" w:cs="仿宋_GB2312"/>
          <w:color w:val="auto"/>
          <w:kern w:val="0"/>
          <w:sz w:val="32"/>
          <w:szCs w:val="32"/>
        </w:rPr>
        <w:t>。</w:t>
      </w:r>
    </w:p>
    <w:p w14:paraId="37A89351">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（二）政府采购支出情况说明。</w:t>
      </w:r>
    </w:p>
    <w:p w14:paraId="58DA430C">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仿宋_GB2312"/>
          <w:color w:val="auto"/>
          <w:kern w:val="0"/>
          <w:sz w:val="32"/>
          <w:szCs w:val="32"/>
          <w:lang w:eastAsia="zh-CN"/>
        </w:rPr>
      </w:pPr>
      <w:r>
        <w:rPr>
          <w:rFonts w:hint="eastAsia" w:ascii="仿宋_GB2312" w:hAnsi="Times New Roman" w:eastAsia="仿宋_GB2312" w:cs="仿宋_GB2312"/>
          <w:color w:val="auto"/>
          <w:kern w:val="0"/>
          <w:sz w:val="32"/>
          <w:szCs w:val="32"/>
        </w:rPr>
        <w:t>本部门无政府采购支出</w:t>
      </w:r>
      <w:r>
        <w:rPr>
          <w:rFonts w:hint="eastAsia" w:ascii="仿宋_GB2312" w:hAnsi="Times New Roman" w:eastAsia="仿宋_GB2312" w:cs="仿宋_GB2312"/>
          <w:color w:val="auto"/>
          <w:kern w:val="0"/>
          <w:sz w:val="32"/>
          <w:szCs w:val="32"/>
          <w:lang w:eastAsia="zh-CN"/>
        </w:rPr>
        <w:t>。</w:t>
      </w:r>
    </w:p>
    <w:p w14:paraId="6C37218B">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（三）国有资产占用情况说明。</w:t>
      </w:r>
    </w:p>
    <w:p w14:paraId="13A7FF5B">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eastAsia="仿宋_GB2312" w:cs="仿宋_GB2312"/>
          <w:color w:val="auto"/>
          <w:kern w:val="0"/>
          <w:sz w:val="32"/>
          <w:szCs w:val="32"/>
        </w:rPr>
      </w:pPr>
      <w:r>
        <w:rPr>
          <w:rFonts w:hint="eastAsia" w:ascii="仿宋_GB2312" w:eastAsia="仿宋_GB2312" w:cs="仿宋_GB2312"/>
          <w:color w:val="auto"/>
          <w:kern w:val="0"/>
          <w:sz w:val="32"/>
          <w:szCs w:val="32"/>
        </w:rPr>
        <w:t>截至</w:t>
      </w:r>
      <w:r>
        <w:rPr>
          <w:rFonts w:hint="eastAsia" w:ascii="仿宋_GB2312" w:eastAsia="仿宋_GB2312" w:cs="仿宋_GB2312"/>
          <w:color w:val="auto"/>
          <w:kern w:val="0"/>
          <w:sz w:val="32"/>
          <w:szCs w:val="32"/>
          <w:lang w:eastAsia="zh-CN"/>
        </w:rPr>
        <w:t>2023</w:t>
      </w:r>
      <w:r>
        <w:rPr>
          <w:rFonts w:hint="eastAsia" w:ascii="仿宋_GB2312" w:eastAsia="仿宋_GB2312" w:cs="仿宋_GB2312"/>
          <w:color w:val="auto"/>
          <w:kern w:val="0"/>
          <w:sz w:val="32"/>
          <w:szCs w:val="32"/>
        </w:rPr>
        <w:t>年12月31日</w:t>
      </w:r>
      <w:bookmarkStart w:id="0" w:name="_GoBack"/>
      <w:bookmarkEnd w:id="0"/>
      <w:r>
        <w:rPr>
          <w:rFonts w:hint="eastAsia" w:ascii="仿宋_GB2312" w:eastAsia="仿宋_GB2312" w:cs="仿宋_GB2312"/>
          <w:color w:val="auto"/>
          <w:kern w:val="0"/>
          <w:sz w:val="32"/>
          <w:szCs w:val="32"/>
        </w:rPr>
        <w:t>，本部门共有车辆</w:t>
      </w:r>
      <w:r>
        <w:rPr>
          <w:rFonts w:hint="eastAsia" w:ascii="仿宋_GB2312" w:eastAsia="仿宋_GB2312" w:cs="仿宋_GB2312"/>
          <w:color w:val="auto"/>
          <w:kern w:val="0"/>
          <w:sz w:val="32"/>
          <w:szCs w:val="32"/>
          <w:lang w:val="en-US" w:eastAsia="zh-CN"/>
        </w:rPr>
        <w:t>1</w:t>
      </w:r>
      <w:r>
        <w:rPr>
          <w:rFonts w:hint="eastAsia" w:ascii="仿宋_GB2312" w:eastAsia="仿宋_GB2312" w:cs="仿宋_GB2312"/>
          <w:color w:val="auto"/>
          <w:kern w:val="0"/>
          <w:sz w:val="32"/>
          <w:szCs w:val="32"/>
        </w:rPr>
        <w:t>辆，其中：省部级领导干部用车0辆、机要通信用车0辆、应急保障用车0辆、执法执勤用车0辆、特种专业技术用车0辆、其他用车0辆</w:t>
      </w:r>
      <w:r>
        <w:rPr>
          <w:rFonts w:hint="eastAsia" w:ascii="仿宋_GB2312" w:eastAsia="仿宋_GB2312" w:cs="仿宋_GB2312"/>
          <w:color w:val="auto"/>
          <w:kern w:val="0"/>
          <w:sz w:val="32"/>
          <w:szCs w:val="32"/>
          <w:lang w:eastAsia="zh-CN"/>
        </w:rPr>
        <w:t>、</w:t>
      </w:r>
      <w:r>
        <w:rPr>
          <w:rFonts w:hint="eastAsia" w:ascii="仿宋_GB2312" w:eastAsia="仿宋_GB2312" w:cs="仿宋_GB2312"/>
          <w:color w:val="auto"/>
          <w:kern w:val="0"/>
          <w:sz w:val="32"/>
          <w:szCs w:val="32"/>
          <w:lang w:val="en-US" w:eastAsia="zh-CN"/>
        </w:rPr>
        <w:t>离退休干部用车1辆</w:t>
      </w:r>
      <w:r>
        <w:rPr>
          <w:rFonts w:hint="eastAsia" w:ascii="仿宋_GB2312" w:eastAsia="仿宋_GB2312" w:cs="仿宋_GB2312"/>
          <w:color w:val="auto"/>
          <w:kern w:val="0"/>
          <w:sz w:val="32"/>
          <w:szCs w:val="32"/>
        </w:rPr>
        <w:t>；单位价值50万元以上通用设备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台（套）；单位价值100万元以上专用设备</w:t>
      </w:r>
      <w:r>
        <w:rPr>
          <w:rFonts w:hint="eastAsia" w:ascii="仿宋_GB2312" w:eastAsia="仿宋_GB2312" w:cs="仿宋_GB2312"/>
          <w:color w:val="auto"/>
          <w:kern w:val="0"/>
          <w:sz w:val="32"/>
          <w:szCs w:val="32"/>
          <w:lang w:val="en-US" w:eastAsia="zh-CN"/>
        </w:rPr>
        <w:t>0</w:t>
      </w:r>
      <w:r>
        <w:rPr>
          <w:rFonts w:hint="eastAsia" w:ascii="仿宋_GB2312" w:eastAsia="仿宋_GB2312" w:cs="仿宋_GB2312"/>
          <w:color w:val="auto"/>
          <w:kern w:val="0"/>
          <w:sz w:val="32"/>
          <w:szCs w:val="32"/>
        </w:rPr>
        <w:t>台（套）。</w:t>
      </w:r>
    </w:p>
    <w:p w14:paraId="4D8EEBC4">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楷体_GB2312" w:eastAsia="楷体_GB2312" w:cs="仿宋_GB2312"/>
          <w:color w:val="auto"/>
          <w:kern w:val="0"/>
          <w:sz w:val="32"/>
          <w:szCs w:val="32"/>
        </w:rPr>
      </w:pPr>
      <w:r>
        <w:rPr>
          <w:rFonts w:hint="eastAsia" w:ascii="楷体_GB2312" w:eastAsia="楷体_GB2312" w:cs="仿宋_GB2312"/>
          <w:color w:val="auto"/>
          <w:kern w:val="0"/>
          <w:sz w:val="32"/>
          <w:szCs w:val="32"/>
        </w:rPr>
        <w:t>（四）预算绩效管理工作开展情况。</w:t>
      </w:r>
    </w:p>
    <w:p w14:paraId="022FBD17">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仿宋_GB2312"/>
          <w:color w:val="auto"/>
          <w:kern w:val="0"/>
          <w:sz w:val="32"/>
          <w:szCs w:val="32"/>
          <w:lang w:eastAsia="zh-CN"/>
        </w:rPr>
      </w:pPr>
      <w:r>
        <w:rPr>
          <w:rFonts w:hint="eastAsia" w:ascii="仿宋_GB2312" w:hAnsi="Times New Roman" w:eastAsia="仿宋_GB2312" w:cs="仿宋_GB2312"/>
          <w:color w:val="auto"/>
          <w:kern w:val="0"/>
          <w:sz w:val="32"/>
          <w:szCs w:val="32"/>
        </w:rPr>
        <w:t>本部门</w:t>
      </w:r>
      <w:r>
        <w:rPr>
          <w:rFonts w:hint="eastAsia" w:ascii="仿宋_GB2312" w:eastAsia="仿宋_GB2312" w:cs="仿宋_GB2312"/>
          <w:color w:val="auto"/>
          <w:kern w:val="0"/>
          <w:sz w:val="32"/>
          <w:szCs w:val="32"/>
          <w:lang w:val="en-US" w:eastAsia="zh-CN"/>
        </w:rPr>
        <w:t>无项目，</w:t>
      </w:r>
      <w:r>
        <w:rPr>
          <w:rFonts w:hint="eastAsia" w:ascii="仿宋_GB2312" w:hAnsi="Times New Roman" w:eastAsia="仿宋_GB2312" w:cs="仿宋_GB2312"/>
          <w:color w:val="auto"/>
          <w:kern w:val="0"/>
          <w:sz w:val="32"/>
          <w:szCs w:val="32"/>
        </w:rPr>
        <w:t>未开展预算绩效管理工作</w:t>
      </w:r>
      <w:r>
        <w:rPr>
          <w:rFonts w:hint="eastAsia" w:ascii="仿宋_GB2312" w:hAnsi="Times New Roman" w:eastAsia="仿宋_GB2312" w:cs="仿宋_GB2312"/>
          <w:color w:val="auto"/>
          <w:kern w:val="0"/>
          <w:sz w:val="32"/>
          <w:szCs w:val="32"/>
          <w:lang w:eastAsia="zh-CN"/>
        </w:rPr>
        <w:t>。</w:t>
      </w:r>
    </w:p>
    <w:p w14:paraId="295E5F09">
      <w:pPr>
        <w:keepNext w:val="0"/>
        <w:keepLines w:val="0"/>
        <w:pageBreakBefore w:val="0"/>
        <w:widowControl w:val="0"/>
        <w:kinsoku/>
        <w:wordWrap/>
        <w:overflowPunct/>
        <w:topLinePunct w:val="0"/>
        <w:autoSpaceDE w:val="0"/>
        <w:autoSpaceDN w:val="0"/>
        <w:bidi w:val="0"/>
        <w:adjustRightInd w:val="0"/>
        <w:snapToGrid w:val="0"/>
        <w:spacing w:line="360" w:lineRule="auto"/>
        <w:ind w:right="-15" w:rightChars="-7" w:firstLine="640" w:firstLineChars="200"/>
        <w:jc w:val="both"/>
        <w:textAlignment w:val="auto"/>
        <w:rPr>
          <w:rFonts w:hint="eastAsia" w:ascii="仿宋_GB2312" w:hAnsi="Times New Roman" w:eastAsia="仿宋_GB2312" w:cs="仿宋_GB2312"/>
          <w:color w:val="auto"/>
          <w:kern w:val="0"/>
          <w:sz w:val="32"/>
          <w:szCs w:val="32"/>
          <w:lang w:eastAsia="zh-CN"/>
        </w:rPr>
      </w:pPr>
    </w:p>
    <w:p w14:paraId="3B11E936">
      <w:pPr>
        <w:keepNext w:val="0"/>
        <w:keepLines w:val="0"/>
        <w:pageBreakBefore w:val="0"/>
        <w:widowControl w:val="0"/>
        <w:kinsoku/>
        <w:wordWrap/>
        <w:overflowPunct/>
        <w:topLinePunct w:val="0"/>
        <w:autoSpaceDE w:val="0"/>
        <w:autoSpaceDN w:val="0"/>
        <w:bidi w:val="0"/>
        <w:adjustRightInd w:val="0"/>
        <w:snapToGrid w:val="0"/>
        <w:spacing w:line="360" w:lineRule="auto"/>
        <w:jc w:val="center"/>
        <w:textAlignment w:val="auto"/>
        <w:rPr>
          <w:rFonts w:hint="eastAsia" w:ascii="黑体" w:hAnsi="黑体" w:eastAsia="黑体" w:cs="仿宋_GB2312"/>
          <w:color w:val="auto"/>
          <w:kern w:val="0"/>
          <w:sz w:val="32"/>
          <w:szCs w:val="32"/>
        </w:rPr>
      </w:pPr>
      <w:r>
        <w:rPr>
          <w:rFonts w:hint="eastAsia" w:ascii="黑体" w:hAnsi="黑体" w:eastAsia="黑体" w:cs="仿宋_GB2312"/>
          <w:color w:val="auto"/>
          <w:kern w:val="0"/>
          <w:sz w:val="32"/>
          <w:szCs w:val="32"/>
        </w:rPr>
        <w:t>第四部分  名词解释</w:t>
      </w:r>
    </w:p>
    <w:p w14:paraId="7B44F78B">
      <w:pPr>
        <w:keepNext w:val="0"/>
        <w:keepLines w:val="0"/>
        <w:pageBreakBefore w:val="0"/>
        <w:widowControl w:val="0"/>
        <w:kinsoku/>
        <w:wordWrap/>
        <w:overflowPunct/>
        <w:topLinePunct w:val="0"/>
        <w:bidi w:val="0"/>
        <w:adjustRightInd w:val="0"/>
        <w:snapToGrid w:val="0"/>
        <w:spacing w:line="360" w:lineRule="auto"/>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一、财政拨款收入：指自治区财政部门当年拨付的资金。 </w:t>
      </w:r>
    </w:p>
    <w:p w14:paraId="02EEAF29">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二、事业收入：指事业单位开展专业业务活动及辅助活动所取得的收入。</w:t>
      </w:r>
    </w:p>
    <w:p w14:paraId="0ED59978">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三、经营收入：指事业单位在专业业务活动及其辅助活动之外开展非独立核算经营活动取得的收入。</w:t>
      </w:r>
    </w:p>
    <w:p w14:paraId="25106457">
      <w:pPr>
        <w:keepNext w:val="0"/>
        <w:keepLines w:val="0"/>
        <w:pageBreakBefore w:val="0"/>
        <w:widowControl w:val="0"/>
        <w:kinsoku/>
        <w:wordWrap/>
        <w:overflowPunct/>
        <w:topLinePunct w:val="0"/>
        <w:bidi w:val="0"/>
        <w:adjustRightInd w:val="0"/>
        <w:snapToGrid w:val="0"/>
        <w:spacing w:line="360" w:lineRule="auto"/>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四、其他收入：指除上述“财政拨款收入”“事业收入”“经营收入”等以外的收入。</w:t>
      </w:r>
    </w:p>
    <w:p w14:paraId="44B34066">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五、用事业基金弥补收支差额指事业单位在当年的“财政拨款收入”“事业收入”“经营收入”“其他收入”不足以安排当年支出的情况下，使用非财政拨款结余弥补本年度收支缺口的资金。 </w:t>
      </w:r>
    </w:p>
    <w:p w14:paraId="7C37D087">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六、年初结转和结余：指以前年度尚未完成、结转到本年 按有关规定继续使用的资金。 </w:t>
      </w:r>
    </w:p>
    <w:p w14:paraId="68B0EA1C">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七、结余分配：指事业单位按规定提取的职工福利基金、事业基金和缴纳的所得税，以及建设单位按规定应交回的基本建设竣工项目结余资金。 </w:t>
      </w:r>
    </w:p>
    <w:p w14:paraId="661F765A">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八、年末结转和结余：指本年度或以前年度预算安排、因客观条件发生变化无法按原计划实施，需要延迟到以后年度按有关规定继续使用的资金。 </w:t>
      </w:r>
    </w:p>
    <w:p w14:paraId="38B84D79">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九、基本支出：指为保障机构正常运转、完成日常工作任务而发生的人员支出和公用支出。 </w:t>
      </w:r>
    </w:p>
    <w:p w14:paraId="68D62523">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 xml:space="preserve">十、项目支出：指在基本支出之外为完成特定行政任务和事业发展目标所发生的支出。 </w:t>
      </w:r>
    </w:p>
    <w:p w14:paraId="0B72C104">
      <w:pPr>
        <w:keepNext w:val="0"/>
        <w:keepLines w:val="0"/>
        <w:pageBreakBefore w:val="0"/>
        <w:widowControl w:val="0"/>
        <w:kinsoku/>
        <w:wordWrap/>
        <w:overflowPunct/>
        <w:topLinePunct w:val="0"/>
        <w:bidi w:val="0"/>
        <w:adjustRightInd w:val="0"/>
        <w:snapToGrid w:val="0"/>
        <w:spacing w:line="360" w:lineRule="auto"/>
        <w:ind w:firstLine="640"/>
        <w:textAlignment w:val="auto"/>
        <w:rPr>
          <w:rFonts w:hint="eastAsia" w:ascii="仿宋_GB2312" w:eastAsia="仿宋_GB2312"/>
          <w:color w:val="auto"/>
          <w:sz w:val="32"/>
          <w:szCs w:val="32"/>
        </w:rPr>
      </w:pPr>
      <w:r>
        <w:rPr>
          <w:rFonts w:hint="eastAsia" w:ascii="仿宋_GB2312" w:eastAsia="仿宋_GB2312"/>
          <w:color w:val="auto"/>
          <w:sz w:val="32"/>
          <w:szCs w:val="32"/>
        </w:rPr>
        <w:t>十一、经营支出：指事业单位在专业业务活动及其辅助活动之外开展非独立核算经营活动发生的支出。</w:t>
      </w:r>
    </w:p>
    <w:p w14:paraId="15C672DE">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十二、“三公”经费：纳入自治区财政预决算管理的“三公”经费，是指自治区本级各部门用财政拨款安排的因公出国（境）费、公务用车购置及运行费和公务接待费。其中</w:t>
      </w:r>
      <w:r>
        <w:rPr>
          <w:rFonts w:hint="eastAsia" w:ascii="仿宋_GB2312" w:eastAsia="仿宋_GB2312"/>
          <w:color w:val="auto"/>
          <w:sz w:val="32"/>
          <w:szCs w:val="32"/>
          <w:lang w:eastAsia="zh-CN"/>
        </w:rPr>
        <w:t>：</w:t>
      </w:r>
      <w:r>
        <w:rPr>
          <w:rFonts w:hint="eastAsia" w:ascii="仿宋_GB2312" w:eastAsia="仿宋_GB2312"/>
          <w:color w:val="auto"/>
          <w:sz w:val="32"/>
          <w:szCs w:val="32"/>
        </w:rPr>
        <w:t xml:space="preserve">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14:paraId="1D7F5B27">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18B4793">
      <w:pPr>
        <w:keepNext w:val="0"/>
        <w:keepLines w:val="0"/>
        <w:pageBreakBefore w:val="0"/>
        <w:widowControl w:val="0"/>
        <w:kinsoku/>
        <w:wordWrap/>
        <w:overflowPunct/>
        <w:topLinePunct w:val="0"/>
        <w:bidi w:val="0"/>
        <w:adjustRightInd w:val="0"/>
        <w:snapToGrid w:val="0"/>
        <w:spacing w:line="360" w:lineRule="auto"/>
        <w:ind w:firstLine="640" w:firstLineChars="200"/>
        <w:textAlignment w:val="auto"/>
        <w:rPr>
          <w:rFonts w:hint="eastAsia" w:ascii="黑体" w:hAnsi="黑体" w:eastAsia="黑体" w:cs="仿宋_GB2312"/>
          <w:color w:val="auto"/>
          <w:kern w:val="0"/>
          <w:sz w:val="32"/>
          <w:szCs w:val="32"/>
        </w:rPr>
      </w:pPr>
    </w:p>
    <w:p w14:paraId="3C67E554"/>
    <w:sectPr>
      <w:pgSz w:w="11906" w:h="16838"/>
      <w:pgMar w:top="1701" w:right="1474" w:bottom="124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EC90">
    <w:pPr>
      <w:pStyle w:val="4"/>
      <w:ind w:right="280"/>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CAF2">
    <w:pPr>
      <w:pStyle w:val="4"/>
      <w:ind w:firstLine="420" w:firstLineChars="150"/>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7D0C4C"/>
    <w:multiLevelType w:val="singleLevel"/>
    <w:tmpl w:val="C47D0C4C"/>
    <w:lvl w:ilvl="0" w:tentative="0">
      <w:start w:val="1"/>
      <w:numFmt w:val="chineseCounting"/>
      <w:suff w:val="nothing"/>
      <w:lvlText w:val="（%1）"/>
      <w:lvlJc w:val="left"/>
      <w:rPr>
        <w:rFonts w:hint="eastAsia"/>
      </w:rPr>
    </w:lvl>
  </w:abstractNum>
  <w:abstractNum w:abstractNumId="1">
    <w:nsid w:val="205A95CA"/>
    <w:multiLevelType w:val="singleLevel"/>
    <w:tmpl w:val="205A95CA"/>
    <w:lvl w:ilvl="0" w:tentative="0">
      <w:start w:val="2"/>
      <w:numFmt w:val="chineseCounting"/>
      <w:suff w:val="nothing"/>
      <w:lvlText w:val="（%1）"/>
      <w:lvlJc w:val="left"/>
      <w:rPr>
        <w:rFonts w:hint="eastAsia"/>
      </w:rPr>
    </w:lvl>
  </w:abstractNum>
  <w:abstractNum w:abstractNumId="2">
    <w:nsid w:val="5DAF934B"/>
    <w:multiLevelType w:val="singleLevel"/>
    <w:tmpl w:val="5DAF934B"/>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MTc0YTdkZDczNjU0OGUyOWZmNTIzZTNhMjdiNjYifQ=="/>
  </w:docVars>
  <w:rsids>
    <w:rsidRoot w:val="00000000"/>
    <w:rsid w:val="01E27590"/>
    <w:rsid w:val="14A000AF"/>
    <w:rsid w:val="332D7338"/>
    <w:rsid w:val="3A54128B"/>
    <w:rsid w:val="43DD305D"/>
    <w:rsid w:val="60C110C9"/>
    <w:rsid w:val="7765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40" w:line="276" w:lineRule="auto"/>
    </w:pPr>
  </w:style>
  <w:style w:type="paragraph" w:styleId="3">
    <w:name w:val="Title"/>
    <w:basedOn w:val="1"/>
    <w:next w:val="1"/>
    <w:qFormat/>
    <w:uiPriority w:val="0"/>
    <w:pPr>
      <w:spacing w:before="50" w:beforeLines="50" w:after="50" w:afterLines="50" w:line="240" w:lineRule="auto"/>
      <w:ind w:firstLine="0" w:firstLineChars="0"/>
      <w:jc w:val="center"/>
    </w:pPr>
    <w:rPr>
      <w:rFonts w:eastAsia="黑体"/>
      <w:bCs/>
      <w:sz w:val="21"/>
      <w:szCs w:val="32"/>
    </w:rPr>
  </w:style>
  <w:style w:type="paragraph" w:styleId="4">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4340</Words>
  <Characters>4751</Characters>
  <Lines>0</Lines>
  <Paragraphs>0</Paragraphs>
  <TotalTime>8</TotalTime>
  <ScaleCrop>false</ScaleCrop>
  <LinksUpToDate>false</LinksUpToDate>
  <CharactersWithSpaces>4768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2023-08-14T02:20:00Z</dcterms:created>
  <dc:creator>DELL</dc:creator>
  <cp:lastModifiedBy>思~</cp:lastModifiedBy>
  <dcterms:modified xsi:type="dcterms:W3CDTF">2024-10-10T02:25:48Z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8D67901320274534BCB1DCE20F917946_13</vt:lpwstr>
  </property>
</Properties>
</file>