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广西壮族自治区应急管理厅</w:t>
      </w:r>
    </w:p>
    <w:p>
      <w:pPr>
        <w:adjustRightInd w:val="0"/>
        <w:snapToGrid w:val="0"/>
        <w:spacing w:line="600" w:lineRule="exact"/>
        <w:ind w:right="-333" w:rightChars="-104"/>
        <w:jc w:val="center"/>
        <w:rPr>
          <w:rFonts w:hint="eastAsia" w:ascii="黑体" w:hAnsi="宋体" w:eastAsia="黑体"/>
          <w:bCs/>
          <w:szCs w:val="32"/>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19</w:t>
      </w:r>
      <w:r>
        <w:rPr>
          <w:rFonts w:hint="eastAsia" w:ascii="方正小标宋简体" w:eastAsia="方正小标宋简体"/>
          <w:sz w:val="44"/>
          <w:szCs w:val="44"/>
        </w:rPr>
        <w:t>年部门预算公开</w:t>
      </w:r>
    </w:p>
    <w:p>
      <w:pPr>
        <w:adjustRightInd w:val="0"/>
        <w:snapToGrid w:val="0"/>
        <w:spacing w:line="600" w:lineRule="exact"/>
        <w:ind w:right="-333" w:rightChars="-104"/>
        <w:jc w:val="center"/>
        <w:rPr>
          <w:rFonts w:hint="eastAsia" w:ascii="黑体" w:hAnsi="宋体" w:eastAsia="黑体"/>
          <w:bCs/>
          <w:szCs w:val="32"/>
        </w:rPr>
      </w:pPr>
    </w:p>
    <w:p>
      <w:pPr>
        <w:adjustRightInd w:val="0"/>
        <w:snapToGrid w:val="0"/>
        <w:spacing w:line="600" w:lineRule="exact"/>
        <w:ind w:right="-333" w:rightChars="-104"/>
        <w:jc w:val="center"/>
        <w:rPr>
          <w:rFonts w:hint="eastAsia" w:ascii="黑体" w:hAnsi="宋体" w:eastAsia="黑体"/>
          <w:bCs/>
          <w:szCs w:val="32"/>
        </w:rPr>
      </w:pPr>
      <w:r>
        <w:rPr>
          <w:rFonts w:hint="eastAsia" w:ascii="黑体" w:hAnsi="宋体" w:eastAsia="黑体"/>
          <w:bCs/>
          <w:szCs w:val="32"/>
        </w:rPr>
        <w:t>目  录</w:t>
      </w: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第一部分：部门概况</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一、主要职能</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二、机构设置情况</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eastAsia="黑体"/>
          <w:szCs w:val="32"/>
        </w:rPr>
        <w:t>第二部分：</w:t>
      </w:r>
      <w:r>
        <w:rPr>
          <w:rFonts w:hint="eastAsia" w:ascii="黑体" w:hAnsi="宋体" w:eastAsia="黑体"/>
          <w:szCs w:val="32"/>
          <w:lang w:eastAsia="zh-CN"/>
        </w:rPr>
        <w:t>自治区应急管理厅</w:t>
      </w:r>
      <w:r>
        <w:rPr>
          <w:rFonts w:hint="eastAsia" w:ascii="黑体" w:hAnsi="宋体" w:eastAsia="黑体"/>
          <w:szCs w:val="32"/>
          <w:lang w:val="en-US" w:eastAsia="zh-CN"/>
        </w:rPr>
        <w:t>2019</w:t>
      </w:r>
      <w:r>
        <w:rPr>
          <w:rFonts w:hint="eastAsia" w:ascii="黑体" w:hAnsi="宋体" w:eastAsia="黑体"/>
          <w:szCs w:val="32"/>
        </w:rPr>
        <w:t>年</w:t>
      </w:r>
      <w:r>
        <w:rPr>
          <w:rFonts w:hint="eastAsia" w:ascii="黑体" w:eastAsia="黑体"/>
          <w:szCs w:val="32"/>
        </w:rPr>
        <w:t>部门预算情况说明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一、部门收支预算总体情况说明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二、部门收入预算总体情况说明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三、部门支出预算总体情况说明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四、财政拨款收支预算情况说明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五、一般公共预算支出情况说明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六、一般公共预算基本支出情况说明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七、一般公共预算“三公”经费情况说明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八、政府性基金预算情况说明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九、20</w:t>
      </w:r>
      <w:r>
        <w:rPr>
          <w:rFonts w:hint="eastAsia" w:ascii="黑体" w:hAnsi="宋体" w:eastAsia="黑体"/>
          <w:bCs/>
          <w:szCs w:val="32"/>
          <w:lang w:val="en-US" w:eastAsia="zh-CN"/>
        </w:rPr>
        <w:t>19</w:t>
      </w:r>
      <w:r>
        <w:rPr>
          <w:rFonts w:hint="eastAsia" w:ascii="黑体" w:hAnsi="宋体" w:eastAsia="黑体"/>
          <w:bCs/>
          <w:szCs w:val="32"/>
        </w:rPr>
        <w:t>年部门预算其他事项说明</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eastAsia="黑体"/>
          <w:szCs w:val="32"/>
        </w:rPr>
        <w:t>第三部分：名词解释</w:t>
      </w: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第四部分：</w:t>
      </w:r>
      <w:r>
        <w:rPr>
          <w:rFonts w:hint="eastAsia" w:ascii="黑体" w:hAnsi="宋体" w:eastAsia="黑体"/>
          <w:szCs w:val="32"/>
          <w:lang w:eastAsia="zh-CN"/>
        </w:rPr>
        <w:t>自治区应急管理厅</w:t>
      </w:r>
      <w:r>
        <w:rPr>
          <w:rFonts w:hint="eastAsia" w:ascii="黑体" w:hAnsi="宋体" w:eastAsia="黑体"/>
          <w:szCs w:val="32"/>
          <w:lang w:val="en-US" w:eastAsia="zh-CN"/>
        </w:rPr>
        <w:t>2019</w:t>
      </w:r>
      <w:r>
        <w:rPr>
          <w:rFonts w:hint="eastAsia" w:ascii="黑体" w:hAnsi="宋体" w:eastAsia="黑体"/>
          <w:szCs w:val="32"/>
        </w:rPr>
        <w:t>年</w:t>
      </w:r>
      <w:r>
        <w:rPr>
          <w:rFonts w:hint="eastAsia" w:ascii="黑体" w:eastAsia="黑体"/>
          <w:szCs w:val="32"/>
        </w:rPr>
        <w:t>部门预算报表</w:t>
      </w: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r>
        <w:rPr>
          <w:rFonts w:hint="eastAsia" w:ascii="黑体" w:hAnsi="宋体" w:eastAsia="黑体"/>
          <w:bCs/>
          <w:szCs w:val="32"/>
        </w:rPr>
        <w:t>第一部分：部门概况</w:t>
      </w:r>
    </w:p>
    <w:p>
      <w:pPr>
        <w:adjustRightInd w:val="0"/>
        <w:snapToGrid w:val="0"/>
        <w:spacing w:line="600" w:lineRule="exact"/>
        <w:ind w:right="-333" w:rightChars="-104" w:firstLine="640" w:firstLineChars="200"/>
        <w:rPr>
          <w:rFonts w:hint="eastAsia" w:ascii="黑体" w:hAnsi="宋体" w:eastAsia="黑体"/>
          <w:szCs w:val="32"/>
        </w:rPr>
      </w:pPr>
      <w:r>
        <w:rPr>
          <w:rFonts w:hint="eastAsia" w:ascii="黑体" w:hAnsi="宋体" w:eastAsia="黑体"/>
          <w:bCs/>
          <w:szCs w:val="32"/>
        </w:rPr>
        <w:t>一</w:t>
      </w:r>
      <w:r>
        <w:rPr>
          <w:rFonts w:hint="eastAsia" w:ascii="黑体" w:hAnsi="宋体" w:eastAsia="黑体"/>
          <w:szCs w:val="32"/>
        </w:rPr>
        <w:t>、主要职能</w:t>
      </w:r>
    </w:p>
    <w:p>
      <w:pPr>
        <w:spacing w:line="600" w:lineRule="exact"/>
        <w:ind w:firstLine="640" w:firstLineChars="200"/>
        <w:rPr>
          <w:rFonts w:hint="eastAsia" w:ascii="仿宋_GB2312" w:hAnsi="宋体"/>
          <w:szCs w:val="32"/>
        </w:rPr>
      </w:pPr>
      <w:r>
        <w:rPr>
          <w:rFonts w:hint="eastAsia" w:ascii="仿宋_GB2312" w:hAnsi="宋体"/>
          <w:szCs w:val="32"/>
        </w:rPr>
        <w:t>1.承担自治区安全生产委员会办公室（以下简称自治区安委办）的日常工作。研究提出自治区在安全生产方面的重要政策措施的建议；监督检查、指导协调自治区有关部门和各地级市人民政府的安全生产工作；组织自治区安全生产大检查和专项督查；参与研究有关部门在产业政策、资金投入、科技发展等工作中涉及安全生产的相关工作；负责组织自治区特大事故调查处理和办理结案工作；组织协调重大特大事故应急救援工作；指导协调全区安全生产行政执法工作；承办自治区安委会召开的会议和重要活动，督促、检查自治区安委会会议决定事项的贯彻落实情况；承办自治区安委会交办的其他事项。</w:t>
      </w:r>
    </w:p>
    <w:p>
      <w:pPr>
        <w:spacing w:line="600" w:lineRule="exact"/>
        <w:ind w:firstLine="640" w:firstLineChars="200"/>
        <w:rPr>
          <w:rFonts w:hint="eastAsia" w:ascii="仿宋_GB2312" w:hAnsi="宋体"/>
          <w:szCs w:val="32"/>
        </w:rPr>
      </w:pPr>
      <w:r>
        <w:rPr>
          <w:rFonts w:hint="eastAsia" w:ascii="仿宋_GB2312" w:hAnsi="宋体"/>
          <w:szCs w:val="32"/>
        </w:rPr>
        <w:t>2.综合管理全区安全生产工作。受委托组织起草全区安全生产方面的地方性法规和行政规章草案；研究拟订全区安全生产工作政策措施、全区工矿商贸行业及有关综合性安全生产规程，研究拟订工矿商贸地方性安全生产标准，并组织实施。</w:t>
      </w:r>
    </w:p>
    <w:p>
      <w:pPr>
        <w:spacing w:line="600" w:lineRule="exact"/>
        <w:ind w:firstLine="640" w:firstLineChars="200"/>
        <w:rPr>
          <w:rFonts w:hint="eastAsia" w:ascii="仿宋_GB2312" w:hAnsi="宋体"/>
          <w:szCs w:val="32"/>
        </w:rPr>
      </w:pPr>
      <w:r>
        <w:rPr>
          <w:rFonts w:hint="eastAsia" w:ascii="仿宋_GB2312" w:hAnsi="宋体"/>
          <w:szCs w:val="32"/>
        </w:rPr>
        <w:t>3.依法行使自治区安全生产综合监督管理职责。指导、协调和监督有关部门安全生产监督管理工作；制定全区安全生产发展规划；定期分析和预测全区安全生产形势，研究、协调和解决安全生产中的重大问题。</w:t>
      </w:r>
    </w:p>
    <w:p>
      <w:pPr>
        <w:spacing w:line="600" w:lineRule="exact"/>
        <w:ind w:firstLine="640" w:firstLineChars="200"/>
        <w:rPr>
          <w:rFonts w:hint="eastAsia" w:ascii="仿宋_GB2312" w:hAnsi="宋体"/>
          <w:szCs w:val="32"/>
        </w:rPr>
      </w:pPr>
      <w:r>
        <w:rPr>
          <w:rFonts w:hint="eastAsia" w:ascii="仿宋_GB2312" w:hAnsi="宋体"/>
          <w:szCs w:val="32"/>
        </w:rPr>
        <w:t>4.依法行使自治区煤矿安全监管职责。依法监督管理煤矿企业贯彻执行安全生产法律、法规情况及其安全生产条件、设备设施安全和作业场所职业卫生情况；对不具备安全生产条件的煤矿企业依法进行查处；组织煤矿建设工程安全设施的设计审查和竣工验收。</w:t>
      </w:r>
    </w:p>
    <w:p>
      <w:pPr>
        <w:spacing w:line="600" w:lineRule="exact"/>
        <w:ind w:firstLine="640" w:firstLineChars="200"/>
        <w:rPr>
          <w:rFonts w:hint="eastAsia" w:ascii="仿宋_GB2312" w:hAnsi="宋体"/>
          <w:szCs w:val="32"/>
        </w:rPr>
      </w:pPr>
      <w:r>
        <w:rPr>
          <w:rFonts w:hint="eastAsia" w:ascii="仿宋_GB2312" w:hAnsi="宋体"/>
          <w:szCs w:val="32"/>
        </w:rPr>
        <w:t>5.负责发布全区安全生产信息，综合管理全区生产安全事故统计和安全生产行政执法分析工作；依法组织、协调重大、特大事故的调查处理工作，并监督事故查处的落实情况；协助国家局对区内特别重大事故的调查处理；组织、指挥和协调安全生产应急救援工作。</w:t>
      </w:r>
    </w:p>
    <w:p>
      <w:pPr>
        <w:spacing w:line="600" w:lineRule="exact"/>
        <w:ind w:firstLine="640" w:firstLineChars="200"/>
        <w:rPr>
          <w:rFonts w:hint="eastAsia" w:ascii="仿宋_GB2312" w:hAnsi="宋体"/>
          <w:szCs w:val="32"/>
        </w:rPr>
      </w:pPr>
      <w:r>
        <w:rPr>
          <w:rFonts w:hint="eastAsia" w:ascii="仿宋_GB2312" w:hAnsi="宋体"/>
          <w:szCs w:val="32"/>
        </w:rPr>
        <w:t>6.负责综合监督管理危险化学品和烟花爆竹安全生产工作。</w:t>
      </w:r>
    </w:p>
    <w:p>
      <w:pPr>
        <w:spacing w:line="600" w:lineRule="exact"/>
        <w:ind w:firstLine="640" w:firstLineChars="200"/>
        <w:rPr>
          <w:rFonts w:hint="eastAsia" w:ascii="仿宋_GB2312" w:hAnsi="宋体"/>
          <w:szCs w:val="32"/>
        </w:rPr>
      </w:pPr>
      <w:r>
        <w:rPr>
          <w:rFonts w:hint="eastAsia" w:ascii="仿宋_GB2312" w:hAnsi="宋体"/>
          <w:szCs w:val="32"/>
        </w:rPr>
        <w:t>7.指导、协调全区安全生产检测检验工作；组织实施对工矿商贸企业安全生产条件和有关设备（特种设备除外）进行检测检验、安全评价、安全培训、安全咨询等社会中介组织的资质管理工作，并进行监督检查。</w:t>
      </w:r>
    </w:p>
    <w:p>
      <w:pPr>
        <w:spacing w:line="600" w:lineRule="exact"/>
        <w:ind w:firstLine="640" w:firstLineChars="200"/>
        <w:rPr>
          <w:rFonts w:hint="eastAsia" w:ascii="仿宋_GB2312" w:hAnsi="宋体"/>
          <w:szCs w:val="32"/>
        </w:rPr>
      </w:pPr>
      <w:r>
        <w:rPr>
          <w:rFonts w:hint="eastAsia" w:ascii="仿宋_GB2312" w:hAnsi="宋体"/>
          <w:szCs w:val="32"/>
        </w:rPr>
        <w:t>8.组织、指导全区安全生产宣传教育工作，负责安全生产监督管理人员、煤矿安全监察人员的安全培训、考核工作，依法组织、指导并监督特种作业人员（特种设备作业人员除外）的考核发证工作和生产经营单位主要经营管理者、安全管理人员的安全资格考核工作；监督检查生产经营单位安全培训工作。</w:t>
      </w:r>
    </w:p>
    <w:p>
      <w:pPr>
        <w:spacing w:line="600" w:lineRule="exact"/>
        <w:ind w:firstLine="640" w:firstLineChars="200"/>
        <w:rPr>
          <w:rFonts w:hint="eastAsia" w:ascii="仿宋_GB2312" w:hAnsi="宋体"/>
          <w:szCs w:val="32"/>
        </w:rPr>
      </w:pPr>
      <w:r>
        <w:rPr>
          <w:rFonts w:hint="eastAsia" w:ascii="仿宋_GB2312" w:hAnsi="宋体"/>
          <w:szCs w:val="32"/>
        </w:rPr>
        <w:t>9.负责监督管理自治区管理的工矿商贸企业安全生产工作。依法监督工矿商贸企业贯彻执行安全生产法律、法规情况及其安全生产条件和有关设备（特种设备除外）、材料、劳动防护用品的安全管理工作。</w:t>
      </w:r>
    </w:p>
    <w:p>
      <w:pPr>
        <w:spacing w:line="600" w:lineRule="exact"/>
        <w:ind w:firstLine="640" w:firstLineChars="200"/>
        <w:rPr>
          <w:rFonts w:hint="eastAsia" w:ascii="仿宋_GB2312" w:hAnsi="宋体"/>
          <w:szCs w:val="32"/>
        </w:rPr>
      </w:pPr>
      <w:r>
        <w:rPr>
          <w:rFonts w:hint="eastAsia" w:ascii="仿宋_GB2312" w:hAnsi="宋体"/>
          <w:szCs w:val="32"/>
        </w:rPr>
        <w:t>10.依法监督检查新建、改建、扩建工程项目的安全设施与主体工程同时设计、同时施工、同时投产使用情况；依法监督检查生产经营单位作业场所职业卫生情况和重大危险源监控、重大事故隐患的整改工作，依法查处不具备安全生产条件的生产经营单位。</w:t>
      </w:r>
    </w:p>
    <w:p>
      <w:pPr>
        <w:spacing w:line="600" w:lineRule="exact"/>
        <w:ind w:firstLine="640" w:firstLineChars="200"/>
        <w:rPr>
          <w:rFonts w:hint="eastAsia" w:ascii="仿宋_GB2312" w:hAnsi="宋体"/>
          <w:szCs w:val="32"/>
        </w:rPr>
      </w:pPr>
      <w:r>
        <w:rPr>
          <w:rFonts w:hint="eastAsia" w:ascii="仿宋_GB2312" w:hAnsi="宋体"/>
          <w:szCs w:val="32"/>
        </w:rPr>
        <w:t>11.依法组织实施安全生产许可证制度。</w:t>
      </w:r>
    </w:p>
    <w:p>
      <w:pPr>
        <w:spacing w:line="600" w:lineRule="exact"/>
        <w:ind w:firstLine="640" w:firstLineChars="200"/>
        <w:rPr>
          <w:rFonts w:hint="eastAsia" w:ascii="仿宋_GB2312" w:hAnsi="宋体"/>
          <w:szCs w:val="32"/>
        </w:rPr>
      </w:pPr>
      <w:r>
        <w:rPr>
          <w:rFonts w:hint="eastAsia" w:ascii="仿宋_GB2312" w:hAnsi="宋体"/>
          <w:szCs w:val="32"/>
        </w:rPr>
        <w:t>12.拟订安全生产科技规划，组织、指导安全生产科学技术研究和技术示范工作。</w:t>
      </w:r>
    </w:p>
    <w:p>
      <w:pPr>
        <w:spacing w:line="600" w:lineRule="exact"/>
        <w:ind w:firstLine="640" w:firstLineChars="200"/>
        <w:rPr>
          <w:rFonts w:hint="eastAsia" w:ascii="仿宋_GB2312" w:hAnsi="宋体"/>
          <w:szCs w:val="32"/>
        </w:rPr>
      </w:pPr>
      <w:r>
        <w:rPr>
          <w:rFonts w:hint="eastAsia" w:ascii="仿宋_GB2312" w:hAnsi="宋体"/>
          <w:szCs w:val="32"/>
        </w:rPr>
        <w:t>13.组织实施注册安全工程师、注册安全主任执业资格制度；组织、监督和指导注册安全主任执业资格考试和注册工作。</w:t>
      </w:r>
    </w:p>
    <w:p>
      <w:pPr>
        <w:spacing w:line="600" w:lineRule="exact"/>
        <w:ind w:firstLine="640" w:firstLineChars="200"/>
        <w:rPr>
          <w:rFonts w:hint="eastAsia" w:ascii="仿宋_GB2312" w:hAnsi="宋体"/>
          <w:szCs w:val="32"/>
        </w:rPr>
      </w:pPr>
      <w:r>
        <w:rPr>
          <w:rFonts w:hint="eastAsia" w:ascii="仿宋_GB2312" w:hAnsi="宋体"/>
          <w:szCs w:val="32"/>
        </w:rPr>
        <w:t>14.承担工矿商贸作业场所（煤矿作业场所）职业卫生安全监督检查责任，负责职业卫生安全许可证的颁发管理工作，组织查处职业危害事故和违法违规行为。</w:t>
      </w:r>
    </w:p>
    <w:p>
      <w:pPr>
        <w:spacing w:line="600" w:lineRule="exact"/>
        <w:ind w:firstLine="640" w:firstLineChars="200"/>
        <w:rPr>
          <w:rFonts w:hint="eastAsia" w:ascii="仿宋_GB2312" w:hAnsi="宋体"/>
          <w:szCs w:val="32"/>
        </w:rPr>
      </w:pPr>
      <w:r>
        <w:rPr>
          <w:rFonts w:hint="eastAsia" w:ascii="仿宋_GB2312" w:hAnsi="宋体"/>
          <w:szCs w:val="32"/>
        </w:rPr>
        <w:t>15.组织指导协调和监督全区安全生产行政执法工作。</w:t>
      </w:r>
    </w:p>
    <w:p>
      <w:pPr>
        <w:spacing w:line="600" w:lineRule="exact"/>
        <w:ind w:firstLine="640" w:firstLineChars="200"/>
        <w:rPr>
          <w:rFonts w:hint="eastAsia" w:ascii="仿宋_GB2312" w:hAnsi="宋体"/>
          <w:szCs w:val="32"/>
        </w:rPr>
      </w:pPr>
      <w:r>
        <w:rPr>
          <w:rFonts w:hint="eastAsia" w:ascii="仿宋_GB2312" w:hAnsi="宋体"/>
          <w:szCs w:val="32"/>
        </w:rPr>
        <w:t>16.组织开展安全生产方面的交流与合作。</w:t>
      </w:r>
    </w:p>
    <w:p>
      <w:pPr>
        <w:spacing w:line="600" w:lineRule="exact"/>
        <w:ind w:firstLine="640" w:firstLineChars="200"/>
        <w:rPr>
          <w:rFonts w:hint="eastAsia" w:ascii="黑体" w:hAnsi="宋体" w:eastAsia="黑体"/>
          <w:szCs w:val="32"/>
        </w:rPr>
      </w:pPr>
      <w:r>
        <w:rPr>
          <w:rFonts w:hint="eastAsia" w:ascii="仿宋_GB2312" w:hAnsi="宋体"/>
          <w:szCs w:val="32"/>
        </w:rPr>
        <w:t>17.承办自治区人民政府交办的其他事项。</w:t>
      </w:r>
    </w:p>
    <w:p>
      <w:pPr>
        <w:spacing w:line="600" w:lineRule="exact"/>
        <w:ind w:firstLine="640" w:firstLineChars="200"/>
        <w:rPr>
          <w:rFonts w:hint="eastAsia" w:ascii="黑体" w:hAnsi="宋体" w:eastAsia="黑体"/>
          <w:szCs w:val="32"/>
        </w:rPr>
      </w:pPr>
      <w:r>
        <w:rPr>
          <w:rFonts w:hint="eastAsia" w:ascii="黑体" w:hAnsi="宋体" w:eastAsia="黑体"/>
          <w:szCs w:val="32"/>
        </w:rPr>
        <w:t>二、机构设置情况</w:t>
      </w:r>
    </w:p>
    <w:p>
      <w:pPr>
        <w:adjustRightInd w:val="0"/>
        <w:snapToGrid w:val="0"/>
        <w:spacing w:line="600" w:lineRule="exact"/>
        <w:ind w:right="-333" w:rightChars="-104" w:firstLine="640" w:firstLineChars="200"/>
        <w:rPr>
          <w:rFonts w:hint="eastAsia" w:ascii="仿宋_GB2312" w:hAnsi="宋体"/>
          <w:szCs w:val="32"/>
        </w:rPr>
      </w:pPr>
      <w:r>
        <w:rPr>
          <w:rFonts w:hint="eastAsia" w:ascii="仿宋_GB2312" w:hAnsi="宋体"/>
          <w:szCs w:val="32"/>
        </w:rPr>
        <w:t>广西应急管理厅于2018年11月23日正式挂牌成立，机构设置和人员尚未完全到位，根据《广西壮族自治区财政厅关于下达自治区安全监管局2019-</w:t>
      </w:r>
      <w:bookmarkStart w:id="0" w:name="_GoBack"/>
      <w:bookmarkEnd w:id="0"/>
      <w:r>
        <w:rPr>
          <w:rFonts w:hint="eastAsia" w:ascii="仿宋_GB2312" w:hAnsi="宋体"/>
          <w:szCs w:val="32"/>
        </w:rPr>
        <w:t>2021年中期规划和2019年部门预算数“一下”支出控制数的函》（桂财建函〔2018〕474号）要求，新部门待机构设置和人员完全到位后再调整预算指标，现按照原广西安全生产监督管理局原机构设置和人员编制预算。</w:t>
      </w:r>
    </w:p>
    <w:p>
      <w:pPr>
        <w:adjustRightInd w:val="0"/>
        <w:snapToGrid w:val="0"/>
        <w:spacing w:line="600" w:lineRule="exact"/>
        <w:ind w:right="-333" w:rightChars="-104" w:firstLine="640" w:firstLineChars="200"/>
        <w:rPr>
          <w:rFonts w:hint="eastAsia" w:ascii="仿宋_GB2312" w:hAnsi="宋体"/>
          <w:szCs w:val="32"/>
        </w:rPr>
      </w:pPr>
      <w:r>
        <w:rPr>
          <w:rFonts w:hint="eastAsia" w:ascii="仿宋_GB2312" w:hAnsi="宋体"/>
          <w:szCs w:val="32"/>
        </w:rPr>
        <w:t>原广西安全生产监督管理局是以主管全区安全生产综合监督管理的自治区人民政府直属正厅级机构,为一级预算单位。直属二级预算单位有五家，其中全额拨款事业单位五家，分别为广西安全生产监督管理局机关服务中心、广西应急救援指挥中心、广西第一工业学校、广西动力技工学校、广西安全工程职业技术学院；自收自支事业单位一家，即广西安全生产职业培训中心。</w:t>
      </w:r>
    </w:p>
    <w:p>
      <w:pPr>
        <w:tabs>
          <w:tab w:val="center" w:pos="4475"/>
        </w:tabs>
        <w:spacing w:line="600" w:lineRule="exact"/>
        <w:ind w:firstLine="645"/>
        <w:rPr>
          <w:rFonts w:hint="eastAsia" w:ascii="黑体" w:eastAsia="黑体"/>
          <w:szCs w:val="32"/>
        </w:rPr>
      </w:pPr>
      <w:r>
        <w:rPr>
          <w:rFonts w:hint="eastAsia" w:ascii="黑体" w:eastAsia="黑体"/>
          <w:szCs w:val="32"/>
        </w:rPr>
        <w:t>第二部分：</w:t>
      </w:r>
      <w:r>
        <w:rPr>
          <w:rFonts w:hint="eastAsia" w:ascii="黑体" w:hAnsi="宋体" w:eastAsia="黑体"/>
          <w:szCs w:val="32"/>
          <w:lang w:eastAsia="zh-CN"/>
        </w:rPr>
        <w:t>自治区应急管理厅</w:t>
      </w:r>
      <w:r>
        <w:rPr>
          <w:rFonts w:hint="eastAsia" w:ascii="黑体" w:hAnsi="宋体" w:eastAsia="黑体"/>
          <w:szCs w:val="32"/>
          <w:lang w:val="en-US" w:eastAsia="zh-CN"/>
        </w:rPr>
        <w:t>2019</w:t>
      </w:r>
      <w:r>
        <w:rPr>
          <w:rFonts w:hint="eastAsia" w:ascii="黑体" w:hAnsi="宋体" w:eastAsia="黑体"/>
          <w:szCs w:val="32"/>
        </w:rPr>
        <w:t>年</w:t>
      </w:r>
      <w:r>
        <w:rPr>
          <w:rFonts w:hint="eastAsia" w:ascii="黑体" w:eastAsia="黑体"/>
          <w:szCs w:val="32"/>
        </w:rPr>
        <w:t>部门预算情况说明</w:t>
      </w:r>
    </w:p>
    <w:p>
      <w:pPr>
        <w:tabs>
          <w:tab w:val="center" w:pos="4475"/>
        </w:tabs>
        <w:spacing w:line="600" w:lineRule="exact"/>
        <w:ind w:firstLine="645"/>
        <w:rPr>
          <w:rFonts w:hint="eastAsia" w:ascii="黑体" w:eastAsia="黑体"/>
          <w:szCs w:val="32"/>
        </w:rPr>
      </w:pPr>
      <w:r>
        <w:rPr>
          <w:rFonts w:hint="eastAsia" w:ascii="黑体" w:eastAsia="黑体"/>
          <w:szCs w:val="32"/>
        </w:rPr>
        <w:t>一、部门收支总体情况说明</w:t>
      </w:r>
    </w:p>
    <w:p>
      <w:pPr>
        <w:tabs>
          <w:tab w:val="center" w:pos="4475"/>
        </w:tabs>
        <w:spacing w:line="600" w:lineRule="exact"/>
        <w:ind w:firstLine="645"/>
        <w:rPr>
          <w:rFonts w:hint="eastAsia" w:ascii="仿宋_GB2312" w:hAnsi="宋体" w:eastAsia="仿宋_GB2312"/>
          <w:szCs w:val="32"/>
          <w:lang w:eastAsia="zh-CN"/>
        </w:rPr>
      </w:pPr>
      <w:r>
        <w:rPr>
          <w:rFonts w:hint="eastAsia" w:ascii="仿宋_GB2312" w:hAnsi="宋体"/>
          <w:szCs w:val="32"/>
        </w:rPr>
        <w:t>2019年</w:t>
      </w:r>
      <w:r>
        <w:rPr>
          <w:rFonts w:hint="eastAsia" w:ascii="仿宋_GB2312" w:hAnsi="宋体"/>
          <w:szCs w:val="32"/>
          <w:lang w:eastAsia="zh-CN"/>
        </w:rPr>
        <w:t>收支总预算</w:t>
      </w:r>
      <w:r>
        <w:rPr>
          <w:rFonts w:hint="eastAsia" w:ascii="仿宋_GB2312" w:hAnsi="宋体"/>
          <w:szCs w:val="32"/>
        </w:rPr>
        <w:t>12544.67万元，</w:t>
      </w:r>
      <w:r>
        <w:rPr>
          <w:rFonts w:hint="eastAsia" w:ascii="仿宋_GB2312" w:hAnsi="宋体"/>
          <w:szCs w:val="32"/>
          <w:lang w:eastAsia="zh-CN"/>
        </w:rPr>
        <w:t>同比</w:t>
      </w:r>
      <w:r>
        <w:rPr>
          <w:rFonts w:hint="eastAsia" w:ascii="仿宋_GB2312" w:hAnsi="宋体"/>
          <w:szCs w:val="32"/>
        </w:rPr>
        <w:t>增加4075.16万元，同比增长48.11%。</w:t>
      </w:r>
      <w:r>
        <w:rPr>
          <w:rFonts w:hint="eastAsia" w:ascii="仿宋_GB2312" w:hAnsi="宋体"/>
          <w:szCs w:val="32"/>
          <w:lang w:eastAsia="zh-CN"/>
        </w:rPr>
        <w:t>收入包括：</w:t>
      </w:r>
      <w:r>
        <w:rPr>
          <w:rFonts w:hint="eastAsia" w:ascii="仿宋_GB2312" w:hAnsi="宋体"/>
          <w:szCs w:val="32"/>
        </w:rPr>
        <w:t>一般公共预算拨款</w:t>
      </w:r>
      <w:r>
        <w:rPr>
          <w:rFonts w:hint="eastAsia" w:ascii="仿宋_GB2312" w:hAnsi="宋体"/>
          <w:szCs w:val="32"/>
          <w:lang w:eastAsia="zh-CN"/>
        </w:rPr>
        <w:t>、</w:t>
      </w:r>
      <w:r>
        <w:rPr>
          <w:rFonts w:hint="eastAsia" w:ascii="仿宋_GB2312" w:hAnsi="宋体"/>
          <w:szCs w:val="32"/>
        </w:rPr>
        <w:t>纳入财政专户管理的收入</w:t>
      </w:r>
      <w:r>
        <w:rPr>
          <w:rFonts w:hint="eastAsia" w:ascii="仿宋_GB2312" w:hAnsi="宋体"/>
          <w:szCs w:val="32"/>
          <w:lang w:eastAsia="zh-CN"/>
        </w:rPr>
        <w:t>、</w:t>
      </w:r>
      <w:r>
        <w:rPr>
          <w:rFonts w:hint="eastAsia" w:ascii="仿宋_GB2312" w:hAnsi="宋体"/>
          <w:szCs w:val="32"/>
        </w:rPr>
        <w:t>未纳入财政专户管理的收入</w:t>
      </w:r>
      <w:r>
        <w:rPr>
          <w:rFonts w:hint="eastAsia" w:ascii="仿宋_GB2312" w:hAnsi="宋体"/>
          <w:szCs w:val="32"/>
          <w:lang w:eastAsia="zh-CN"/>
        </w:rPr>
        <w:t>。</w:t>
      </w:r>
    </w:p>
    <w:p>
      <w:pPr>
        <w:tabs>
          <w:tab w:val="center" w:pos="4475"/>
        </w:tabs>
        <w:spacing w:line="600" w:lineRule="exact"/>
        <w:ind w:firstLine="645"/>
        <w:rPr>
          <w:rFonts w:hint="eastAsia" w:ascii="黑体" w:eastAsia="黑体"/>
          <w:szCs w:val="32"/>
        </w:rPr>
      </w:pPr>
      <w:r>
        <w:rPr>
          <w:rFonts w:hint="eastAsia" w:ascii="黑体" w:eastAsia="黑体"/>
          <w:szCs w:val="32"/>
        </w:rPr>
        <w:t>二、部门收入总体情况说明</w:t>
      </w:r>
    </w:p>
    <w:p>
      <w:pPr>
        <w:tabs>
          <w:tab w:val="center" w:pos="4475"/>
        </w:tabs>
        <w:spacing w:line="600" w:lineRule="exact"/>
        <w:ind w:firstLine="645"/>
        <w:rPr>
          <w:rFonts w:hint="eastAsia" w:ascii="仿宋_GB2312" w:hAnsi="宋体" w:eastAsia="仿宋_GB2312"/>
          <w:szCs w:val="32"/>
          <w:lang w:val="en-US" w:eastAsia="zh-CN"/>
        </w:rPr>
      </w:pPr>
      <w:r>
        <w:rPr>
          <w:rFonts w:hint="eastAsia" w:ascii="仿宋_GB2312" w:hAnsi="宋体"/>
          <w:szCs w:val="32"/>
        </w:rPr>
        <w:t>2019年</w:t>
      </w:r>
      <w:r>
        <w:rPr>
          <w:rFonts w:hint="eastAsia" w:ascii="仿宋_GB2312" w:hAnsi="宋体"/>
          <w:szCs w:val="32"/>
          <w:lang w:eastAsia="zh-CN"/>
        </w:rPr>
        <w:t>收支总预算</w:t>
      </w:r>
      <w:r>
        <w:rPr>
          <w:rFonts w:hint="eastAsia" w:ascii="仿宋_GB2312" w:hAnsi="宋体"/>
          <w:szCs w:val="32"/>
        </w:rPr>
        <w:t>12544.67万元，</w:t>
      </w:r>
      <w:r>
        <w:rPr>
          <w:rFonts w:hint="eastAsia" w:ascii="仿宋_GB2312" w:hAnsi="宋体"/>
          <w:szCs w:val="32"/>
          <w:lang w:eastAsia="zh-CN"/>
        </w:rPr>
        <w:t>同比</w:t>
      </w:r>
      <w:r>
        <w:rPr>
          <w:rFonts w:hint="eastAsia" w:ascii="仿宋_GB2312" w:hAnsi="宋体"/>
          <w:szCs w:val="32"/>
        </w:rPr>
        <w:t>增加4075.16万元，同比增长48.11%。一般公共预算拨款7004.27万元，同比减少374.24万元，下降5.07%；纳入财政专户管理的收入安排资金4551.37万元，同比增加3728.87万元，增长453.36%</w:t>
      </w:r>
      <w:r>
        <w:rPr>
          <w:rFonts w:hint="eastAsia" w:ascii="仿宋_GB2312" w:hAnsi="宋体"/>
          <w:szCs w:val="32"/>
          <w:lang w:eastAsia="zh-CN"/>
        </w:rPr>
        <w:t>，其中：</w:t>
      </w:r>
      <w:r>
        <w:rPr>
          <w:rFonts w:hint="eastAsia" w:ascii="仿宋_GB2312" w:hAnsi="宋体"/>
          <w:szCs w:val="32"/>
        </w:rPr>
        <w:t>广西第一工业学校243.39万元，同比减少9.57万元，下降3.78%；广西动力技工学校86.12万元，同比减少16.58万元，下降23.84%；广西安全工程职业技术学院4221.86万元，同比增加3721.86万元，增长744.37%。未纳入财政专户管理的收入安排资金989.03万元，同比增加720.53万元，增长268.35%。其中：广西第一工业学校100万元，广西安全生产培训中心100万元，广西安全工程职业技术学院789.03万元。</w:t>
      </w:r>
      <w:r>
        <w:rPr>
          <w:rFonts w:hint="eastAsia" w:ascii="仿宋_GB2312" w:hAnsi="宋体"/>
          <w:szCs w:val="32"/>
          <w:lang w:val="en-US" w:eastAsia="zh-CN"/>
        </w:rPr>
        <w:t>2019年收入预算增加的主要原因是广西安全工程职业技术学院招生增加。</w:t>
      </w:r>
    </w:p>
    <w:p>
      <w:pPr>
        <w:numPr>
          <w:ilvl w:val="0"/>
          <w:numId w:val="1"/>
        </w:numPr>
        <w:tabs>
          <w:tab w:val="center" w:pos="4475"/>
        </w:tabs>
        <w:spacing w:line="600" w:lineRule="exact"/>
        <w:ind w:firstLine="645"/>
        <w:rPr>
          <w:rFonts w:hint="eastAsia" w:ascii="黑体" w:eastAsia="黑体"/>
          <w:szCs w:val="32"/>
        </w:rPr>
      </w:pPr>
      <w:r>
        <w:rPr>
          <w:rFonts w:hint="eastAsia" w:ascii="黑体" w:eastAsia="黑体"/>
          <w:szCs w:val="32"/>
        </w:rPr>
        <w:t>部门支出总体情况说明</w:t>
      </w:r>
    </w:p>
    <w:p>
      <w:pPr>
        <w:numPr>
          <w:ilvl w:val="0"/>
          <w:numId w:val="0"/>
        </w:numPr>
        <w:tabs>
          <w:tab w:val="center" w:pos="4475"/>
        </w:tabs>
        <w:spacing w:line="600" w:lineRule="exact"/>
        <w:ind w:firstLine="640" w:firstLineChars="200"/>
        <w:rPr>
          <w:rFonts w:hint="eastAsia" w:ascii="仿宋_GB2312" w:hAnsi="宋体"/>
          <w:szCs w:val="32"/>
        </w:rPr>
      </w:pPr>
      <w:r>
        <w:rPr>
          <w:rFonts w:hint="eastAsia" w:ascii="仿宋_GB2312" w:hAnsi="宋体"/>
          <w:szCs w:val="32"/>
        </w:rPr>
        <w:t>2019年支出预算总额为12544.67万元。其中：基本支出4907.20万元，占支出总预算39.12%，同比增加951.16元，增长24.04%。项目支出7637.47万元，占支出总预算60.88%，同比增加3124万元，增长69.21%。</w:t>
      </w:r>
    </w:p>
    <w:p>
      <w:pPr>
        <w:numPr>
          <w:ilvl w:val="0"/>
          <w:numId w:val="2"/>
        </w:numPr>
        <w:tabs>
          <w:tab w:val="center" w:pos="4475"/>
        </w:tabs>
        <w:spacing w:line="600" w:lineRule="exact"/>
        <w:ind w:firstLine="645"/>
        <w:rPr>
          <w:rFonts w:hint="eastAsia" w:ascii="仿宋_GB2312" w:hAnsi="宋体"/>
          <w:szCs w:val="32"/>
        </w:rPr>
      </w:pPr>
      <w:r>
        <w:rPr>
          <w:rFonts w:hint="eastAsia" w:ascii="仿宋_GB2312" w:hAnsi="宋体"/>
          <w:szCs w:val="32"/>
          <w:lang w:eastAsia="zh-CN"/>
        </w:rPr>
        <w:t>按</w:t>
      </w:r>
      <w:r>
        <w:rPr>
          <w:rFonts w:hint="eastAsia" w:ascii="仿宋_GB2312" w:hAnsi="宋体"/>
          <w:szCs w:val="32"/>
        </w:rPr>
        <w:t>支出</w:t>
      </w:r>
      <w:r>
        <w:rPr>
          <w:rFonts w:hint="eastAsia" w:ascii="仿宋_GB2312" w:hAnsi="宋体"/>
          <w:szCs w:val="32"/>
          <w:lang w:eastAsia="zh-CN"/>
        </w:rPr>
        <w:t>功能科目划分，共</w:t>
      </w:r>
      <w:r>
        <w:rPr>
          <w:rFonts w:hint="eastAsia" w:ascii="仿宋_GB2312" w:hAnsi="宋体"/>
          <w:szCs w:val="32"/>
        </w:rPr>
        <w:t>分为</w:t>
      </w:r>
      <w:r>
        <w:rPr>
          <w:rFonts w:hint="eastAsia" w:ascii="仿宋_GB2312" w:hAnsi="宋体"/>
          <w:szCs w:val="32"/>
          <w:lang w:eastAsia="zh-CN"/>
        </w:rPr>
        <w:t>五</w:t>
      </w:r>
      <w:r>
        <w:rPr>
          <w:rFonts w:hint="eastAsia" w:ascii="仿宋_GB2312" w:hAnsi="宋体"/>
          <w:szCs w:val="32"/>
        </w:rPr>
        <w:t>类，其中：</w:t>
      </w:r>
    </w:p>
    <w:p>
      <w:pPr>
        <w:numPr>
          <w:ilvl w:val="0"/>
          <w:numId w:val="3"/>
        </w:numPr>
        <w:tabs>
          <w:tab w:val="center" w:pos="4475"/>
        </w:tabs>
        <w:spacing w:line="600" w:lineRule="exact"/>
        <w:ind w:firstLine="640" w:firstLineChars="200"/>
        <w:rPr>
          <w:rFonts w:hint="eastAsia" w:ascii="仿宋_GB2312" w:hAnsi="宋体"/>
          <w:szCs w:val="32"/>
        </w:rPr>
      </w:pPr>
      <w:r>
        <w:rPr>
          <w:rFonts w:hint="eastAsia" w:ascii="仿宋_GB2312" w:hAnsi="宋体"/>
          <w:szCs w:val="32"/>
          <w:lang w:val="en-US" w:eastAsia="zh-CN"/>
        </w:rPr>
        <w:t>教育支出9072.59万元，占支出总预算的72.32%，同比增加3068.23万元，增长51.1%；</w:t>
      </w:r>
    </w:p>
    <w:p>
      <w:pPr>
        <w:numPr>
          <w:ilvl w:val="0"/>
          <w:numId w:val="3"/>
        </w:numPr>
        <w:tabs>
          <w:tab w:val="center" w:pos="4475"/>
        </w:tabs>
        <w:spacing w:line="600" w:lineRule="exact"/>
        <w:ind w:firstLine="640" w:firstLineChars="200"/>
        <w:rPr>
          <w:rFonts w:hint="eastAsia" w:ascii="仿宋_GB2312" w:hAnsi="宋体"/>
          <w:szCs w:val="32"/>
        </w:rPr>
      </w:pPr>
      <w:r>
        <w:rPr>
          <w:rFonts w:hint="eastAsia" w:ascii="仿宋_GB2312" w:hAnsi="宋体"/>
          <w:szCs w:val="32"/>
          <w:lang w:val="en-US" w:eastAsia="zh-CN"/>
        </w:rPr>
        <w:t>社会保障支出689.87万元，占支出总预算5.5%，同比增加461.14万元，增长201.61%；</w:t>
      </w:r>
    </w:p>
    <w:p>
      <w:pPr>
        <w:numPr>
          <w:ilvl w:val="0"/>
          <w:numId w:val="3"/>
        </w:numPr>
        <w:tabs>
          <w:tab w:val="center" w:pos="4475"/>
        </w:tabs>
        <w:spacing w:line="600" w:lineRule="exact"/>
        <w:ind w:firstLine="640" w:firstLineChars="200"/>
        <w:rPr>
          <w:rFonts w:hint="eastAsia" w:ascii="仿宋_GB2312" w:hAnsi="宋体"/>
          <w:szCs w:val="32"/>
        </w:rPr>
      </w:pPr>
      <w:r>
        <w:rPr>
          <w:rFonts w:hint="eastAsia" w:ascii="仿宋_GB2312" w:hAnsi="宋体"/>
          <w:szCs w:val="32"/>
          <w:lang w:val="en-US" w:eastAsia="zh-CN"/>
        </w:rPr>
        <w:t>卫生健康支出136.1万元，占支出总预算1.08%，同比增加49.29万元，增长56.78%；</w:t>
      </w:r>
    </w:p>
    <w:p>
      <w:pPr>
        <w:numPr>
          <w:ilvl w:val="0"/>
          <w:numId w:val="3"/>
        </w:numPr>
        <w:tabs>
          <w:tab w:val="center" w:pos="4475"/>
        </w:tabs>
        <w:spacing w:line="600" w:lineRule="exact"/>
        <w:ind w:firstLine="640" w:firstLineChars="200"/>
        <w:rPr>
          <w:rFonts w:hint="eastAsia" w:ascii="仿宋_GB2312" w:hAnsi="宋体"/>
          <w:szCs w:val="32"/>
        </w:rPr>
      </w:pPr>
      <w:r>
        <w:rPr>
          <w:rFonts w:hint="eastAsia" w:ascii="仿宋_GB2312" w:hAnsi="宋体"/>
          <w:szCs w:val="32"/>
          <w:lang w:val="en-US" w:eastAsia="zh-CN"/>
        </w:rPr>
        <w:t>住房保障支出233.32万元，占支出总预算1.86%，同比增加103.09万元，增长79.16%；</w:t>
      </w:r>
    </w:p>
    <w:p>
      <w:pPr>
        <w:numPr>
          <w:ilvl w:val="0"/>
          <w:numId w:val="3"/>
        </w:numPr>
        <w:tabs>
          <w:tab w:val="center" w:pos="4475"/>
        </w:tabs>
        <w:spacing w:line="600" w:lineRule="exact"/>
        <w:ind w:firstLine="640" w:firstLineChars="200"/>
        <w:rPr>
          <w:rFonts w:hint="eastAsia" w:ascii="仿宋_GB2312" w:hAnsi="宋体"/>
          <w:szCs w:val="32"/>
        </w:rPr>
      </w:pPr>
      <w:r>
        <w:rPr>
          <w:rFonts w:hint="eastAsia" w:ascii="仿宋_GB2312" w:hAnsi="宋体"/>
          <w:szCs w:val="32"/>
          <w:lang w:val="en-US" w:eastAsia="zh-CN"/>
        </w:rPr>
        <w:t>灾害防治及应急管理支出（应急管理事务）支出2412.79万元，占支出总预算19.23%，同比增加393.41万元，增长19.48%。</w:t>
      </w:r>
    </w:p>
    <w:p>
      <w:pPr>
        <w:numPr>
          <w:ilvl w:val="0"/>
          <w:numId w:val="2"/>
        </w:numPr>
        <w:tabs>
          <w:tab w:val="center" w:pos="4475"/>
        </w:tabs>
        <w:spacing w:line="600" w:lineRule="exact"/>
        <w:ind w:firstLine="645"/>
        <w:rPr>
          <w:rFonts w:hint="eastAsia" w:ascii="仿宋_GB2312" w:hAnsi="宋体"/>
          <w:szCs w:val="32"/>
        </w:rPr>
      </w:pPr>
      <w:r>
        <w:rPr>
          <w:rFonts w:hint="eastAsia" w:ascii="仿宋_GB2312" w:hAnsi="宋体"/>
          <w:szCs w:val="32"/>
          <w:lang w:eastAsia="zh-CN"/>
        </w:rPr>
        <w:t>按</w:t>
      </w:r>
      <w:r>
        <w:rPr>
          <w:rFonts w:hint="eastAsia" w:ascii="仿宋_GB2312" w:hAnsi="宋体"/>
          <w:szCs w:val="32"/>
        </w:rPr>
        <w:t>支出</w:t>
      </w:r>
      <w:r>
        <w:rPr>
          <w:rFonts w:hint="eastAsia" w:ascii="仿宋_GB2312" w:hAnsi="宋体"/>
          <w:szCs w:val="32"/>
          <w:lang w:eastAsia="zh-CN"/>
        </w:rPr>
        <w:t>结构分类划分，共</w:t>
      </w:r>
      <w:r>
        <w:rPr>
          <w:rFonts w:hint="eastAsia" w:ascii="仿宋_GB2312" w:hAnsi="宋体"/>
          <w:szCs w:val="32"/>
        </w:rPr>
        <w:t>基本支出预算</w:t>
      </w:r>
      <w:r>
        <w:rPr>
          <w:rFonts w:hint="eastAsia" w:ascii="仿宋_GB2312" w:hAnsi="宋体"/>
          <w:szCs w:val="32"/>
          <w:lang w:eastAsia="zh-CN"/>
        </w:rPr>
        <w:t>和项目支出预算。</w:t>
      </w:r>
    </w:p>
    <w:p>
      <w:pPr>
        <w:numPr>
          <w:ilvl w:val="0"/>
          <w:numId w:val="4"/>
        </w:numPr>
        <w:tabs>
          <w:tab w:val="center" w:pos="4475"/>
        </w:tabs>
        <w:spacing w:line="600" w:lineRule="exact"/>
        <w:ind w:firstLine="645"/>
        <w:rPr>
          <w:rFonts w:hint="eastAsia" w:ascii="仿宋_GB2312" w:hAnsi="宋体"/>
          <w:szCs w:val="32"/>
        </w:rPr>
      </w:pPr>
      <w:r>
        <w:rPr>
          <w:rFonts w:hint="eastAsia" w:ascii="仿宋_GB2312" w:hAnsi="宋体"/>
          <w:szCs w:val="32"/>
          <w:lang w:val="en-US" w:eastAsia="zh-CN"/>
        </w:rPr>
        <w:t>基本支出预算。</w:t>
      </w:r>
    </w:p>
    <w:p>
      <w:pPr>
        <w:numPr>
          <w:ilvl w:val="0"/>
          <w:numId w:val="0"/>
        </w:numPr>
        <w:tabs>
          <w:tab w:val="center" w:pos="4475"/>
        </w:tabs>
        <w:spacing w:line="600" w:lineRule="exact"/>
        <w:ind w:firstLine="640" w:firstLineChars="200"/>
        <w:rPr>
          <w:rFonts w:hint="eastAsia" w:ascii="仿宋_GB2312" w:hAnsi="宋体"/>
          <w:szCs w:val="32"/>
        </w:rPr>
      </w:pPr>
      <w:r>
        <w:rPr>
          <w:rFonts w:hint="eastAsia" w:ascii="仿宋_GB2312" w:hAnsi="宋体"/>
          <w:szCs w:val="32"/>
        </w:rPr>
        <w:t>基本支出4907.2万元，</w:t>
      </w:r>
      <w:r>
        <w:rPr>
          <w:rFonts w:hint="eastAsia" w:ascii="仿宋_GB2312" w:hAnsi="宋体"/>
          <w:szCs w:val="32"/>
          <w:lang w:eastAsia="zh-CN"/>
        </w:rPr>
        <w:t>占支出总预算</w:t>
      </w:r>
      <w:r>
        <w:rPr>
          <w:rFonts w:hint="eastAsia" w:ascii="仿宋_GB2312" w:hAnsi="宋体"/>
          <w:szCs w:val="32"/>
          <w:lang w:val="en-US" w:eastAsia="zh-CN"/>
        </w:rPr>
        <w:t>39.12%，同比增加951.16万元，增长19.38%。</w:t>
      </w:r>
      <w:r>
        <w:rPr>
          <w:rFonts w:hint="eastAsia" w:ascii="仿宋_GB2312" w:hAnsi="宋体"/>
          <w:szCs w:val="32"/>
        </w:rPr>
        <w:t>其中：</w:t>
      </w:r>
    </w:p>
    <w:p>
      <w:pPr>
        <w:numPr>
          <w:ilvl w:val="0"/>
          <w:numId w:val="0"/>
        </w:numPr>
        <w:tabs>
          <w:tab w:val="center" w:pos="4475"/>
        </w:tabs>
        <w:spacing w:line="600" w:lineRule="exact"/>
        <w:ind w:firstLine="640" w:firstLineChars="200"/>
        <w:rPr>
          <w:rFonts w:hint="eastAsia" w:ascii="仿宋_GB2312" w:hAnsi="宋体"/>
          <w:szCs w:val="32"/>
        </w:rPr>
      </w:pPr>
      <w:r>
        <w:rPr>
          <w:rFonts w:hint="eastAsia" w:ascii="仿宋_GB2312" w:hAnsi="宋体"/>
          <w:szCs w:val="32"/>
        </w:rPr>
        <w:t>工资福利支出3356.17万元，占支出总预算的26.75%,同比增加523.19万元,增长18.47%；</w:t>
      </w:r>
    </w:p>
    <w:p>
      <w:pPr>
        <w:numPr>
          <w:ilvl w:val="0"/>
          <w:numId w:val="0"/>
        </w:numPr>
        <w:tabs>
          <w:tab w:val="center" w:pos="4475"/>
        </w:tabs>
        <w:spacing w:line="600" w:lineRule="exact"/>
        <w:ind w:firstLine="640" w:firstLineChars="200"/>
        <w:rPr>
          <w:rFonts w:hint="eastAsia" w:ascii="仿宋_GB2312" w:hAnsi="宋体"/>
          <w:szCs w:val="32"/>
        </w:rPr>
      </w:pPr>
      <w:r>
        <w:rPr>
          <w:rFonts w:hint="eastAsia" w:ascii="仿宋_GB2312" w:hAnsi="宋体"/>
          <w:szCs w:val="32"/>
        </w:rPr>
        <w:t>商品和服务支出1109.75万元，占支出总预算的8.85%，同比增加254.3万元，增长29.73%；</w:t>
      </w:r>
    </w:p>
    <w:p>
      <w:pPr>
        <w:numPr>
          <w:ilvl w:val="0"/>
          <w:numId w:val="0"/>
        </w:numPr>
        <w:tabs>
          <w:tab w:val="center" w:pos="4475"/>
        </w:tabs>
        <w:spacing w:line="600" w:lineRule="exact"/>
        <w:ind w:firstLine="640" w:firstLineChars="200"/>
        <w:rPr>
          <w:rFonts w:hint="eastAsia" w:ascii="仿宋_GB2312" w:hAnsi="宋体"/>
          <w:szCs w:val="32"/>
        </w:rPr>
      </w:pPr>
      <w:r>
        <w:rPr>
          <w:rFonts w:hint="eastAsia" w:ascii="仿宋_GB2312" w:hAnsi="宋体"/>
          <w:szCs w:val="32"/>
        </w:rPr>
        <w:t>对个人和家庭的补助支出预算441.28万元，占支出总预算3.52%，同比增加173.67万元,增长64.90%。</w:t>
      </w:r>
    </w:p>
    <w:p>
      <w:pPr>
        <w:tabs>
          <w:tab w:val="center" w:pos="4475"/>
        </w:tabs>
        <w:spacing w:line="600" w:lineRule="exact"/>
        <w:ind w:firstLine="645"/>
        <w:rPr>
          <w:rFonts w:hint="eastAsia" w:ascii="仿宋_GB2312" w:hAnsi="宋体" w:eastAsia="仿宋_GB2312"/>
          <w:szCs w:val="32"/>
          <w:lang w:eastAsia="zh-CN"/>
        </w:rPr>
      </w:pPr>
      <w:r>
        <w:rPr>
          <w:rFonts w:hint="eastAsia" w:ascii="仿宋_GB2312" w:hAnsi="宋体"/>
          <w:szCs w:val="32"/>
          <w:lang w:val="en-US" w:eastAsia="zh-CN"/>
        </w:rPr>
        <w:t>2.</w:t>
      </w:r>
      <w:r>
        <w:rPr>
          <w:rFonts w:hint="eastAsia" w:ascii="仿宋_GB2312" w:hAnsi="宋体"/>
          <w:szCs w:val="32"/>
        </w:rPr>
        <w:t>项目支出预算</w:t>
      </w:r>
      <w:r>
        <w:rPr>
          <w:rFonts w:hint="eastAsia" w:ascii="仿宋_GB2312" w:hAnsi="宋体"/>
          <w:szCs w:val="32"/>
          <w:lang w:eastAsia="zh-CN"/>
        </w:rPr>
        <w:t>。</w:t>
      </w:r>
    </w:p>
    <w:p>
      <w:pPr>
        <w:tabs>
          <w:tab w:val="center" w:pos="4475"/>
        </w:tabs>
        <w:spacing w:line="600" w:lineRule="exact"/>
        <w:ind w:firstLine="645"/>
        <w:rPr>
          <w:rFonts w:hint="eastAsia" w:ascii="仿宋_GB2312" w:hAnsi="宋体"/>
          <w:szCs w:val="32"/>
        </w:rPr>
      </w:pPr>
      <w:r>
        <w:rPr>
          <w:rFonts w:hint="eastAsia" w:ascii="仿宋_GB2312" w:hAnsi="宋体"/>
          <w:szCs w:val="32"/>
        </w:rPr>
        <w:t>项目支出预算为7637.47万元，占支出总预算60.88%，同比增加3124万元，增长69.21%，其中：本级823.56万元，同比增加195.6万元，增长31.15%，机关服务中心0万元，同比减少0万元，广西第一工业学校1035.17万元，同比减少1429.16万元，下降57.99%；广西动力技工学校347.98万元，同比减少55.15万元，下降13.68%；广西安全生产职业培训中心377.91万元，同比增加59.39，增长18.64%；应急救援指挥中心35万元，同比减少26.03万元，增长下降42.65%。</w:t>
      </w:r>
    </w:p>
    <w:p>
      <w:pPr>
        <w:tabs>
          <w:tab w:val="center" w:pos="4475"/>
        </w:tabs>
        <w:spacing w:line="600" w:lineRule="exact"/>
        <w:ind w:firstLine="645"/>
        <w:rPr>
          <w:rFonts w:hint="eastAsia" w:ascii="黑体" w:eastAsia="黑体"/>
          <w:szCs w:val="32"/>
        </w:rPr>
      </w:pPr>
      <w:r>
        <w:rPr>
          <w:rFonts w:hint="eastAsia" w:ascii="仿宋_GB2312" w:hAnsi="宋体"/>
          <w:szCs w:val="32"/>
        </w:rPr>
        <w:t>补助市县项目支出3500万元。主要是补助市县安全生产隐患治理专项资金，资金来源为自治区本级安全生产应急及预防专项资金。720万元用于烟爆结构调整，2780万元用于14个市隐患治理。</w:t>
      </w:r>
    </w:p>
    <w:p>
      <w:pPr>
        <w:tabs>
          <w:tab w:val="center" w:pos="4475"/>
        </w:tabs>
        <w:spacing w:line="600" w:lineRule="exact"/>
        <w:ind w:firstLine="645"/>
        <w:rPr>
          <w:rFonts w:hint="eastAsia" w:ascii="黑体" w:eastAsia="黑体"/>
          <w:szCs w:val="32"/>
        </w:rPr>
      </w:pPr>
      <w:r>
        <w:rPr>
          <w:rFonts w:hint="eastAsia" w:ascii="黑体" w:eastAsia="黑体"/>
          <w:szCs w:val="32"/>
        </w:rPr>
        <w:t>四、财政拨款收支总体情况说明</w:t>
      </w:r>
    </w:p>
    <w:p>
      <w:pPr>
        <w:tabs>
          <w:tab w:val="center" w:pos="4475"/>
        </w:tabs>
        <w:spacing w:line="600" w:lineRule="exact"/>
        <w:ind w:firstLine="645"/>
        <w:rPr>
          <w:rFonts w:hint="eastAsia" w:ascii="仿宋_GB2312" w:hAnsi="宋体"/>
          <w:szCs w:val="32"/>
          <w:lang w:eastAsia="zh-CN"/>
        </w:rPr>
      </w:pPr>
      <w:r>
        <w:rPr>
          <w:rFonts w:hint="eastAsia" w:ascii="仿宋_GB2312" w:hAnsi="宋体"/>
          <w:szCs w:val="32"/>
        </w:rPr>
        <w:t>2019年</w:t>
      </w:r>
      <w:r>
        <w:rPr>
          <w:rFonts w:hint="eastAsia" w:ascii="仿宋_GB2312" w:hAnsi="宋体"/>
          <w:szCs w:val="32"/>
          <w:lang w:eastAsia="zh-CN"/>
        </w:rPr>
        <w:t>财政拨款收支总预算</w:t>
      </w:r>
      <w:r>
        <w:rPr>
          <w:rFonts w:hint="eastAsia" w:ascii="仿宋_GB2312" w:hAnsi="宋体"/>
          <w:szCs w:val="32"/>
          <w:lang w:val="en-US" w:eastAsia="zh-CN"/>
        </w:rPr>
        <w:t>7004.27</w:t>
      </w:r>
      <w:r>
        <w:rPr>
          <w:rFonts w:hint="eastAsia" w:ascii="仿宋_GB2312" w:hAnsi="宋体"/>
          <w:szCs w:val="32"/>
        </w:rPr>
        <w:t>万元。</w:t>
      </w:r>
      <w:r>
        <w:rPr>
          <w:rFonts w:hint="eastAsia" w:ascii="仿宋_GB2312" w:hAnsi="宋体"/>
          <w:szCs w:val="32"/>
          <w:lang w:eastAsia="zh-CN"/>
        </w:rPr>
        <w:t>收入全部为一般公共预算拨款；支出包括</w:t>
      </w:r>
      <w:r>
        <w:rPr>
          <w:rFonts w:hint="eastAsia" w:ascii="仿宋_GB2312" w:hAnsi="宋体"/>
          <w:szCs w:val="32"/>
        </w:rPr>
        <w:t>教育支出</w:t>
      </w:r>
      <w:r>
        <w:rPr>
          <w:rFonts w:hint="eastAsia" w:ascii="仿宋_GB2312" w:hAnsi="宋体"/>
          <w:szCs w:val="32"/>
          <w:lang w:val="en-US" w:eastAsia="zh-CN"/>
        </w:rPr>
        <w:t>3602.21</w:t>
      </w:r>
      <w:r>
        <w:rPr>
          <w:rFonts w:hint="eastAsia" w:ascii="仿宋_GB2312" w:hAnsi="宋体"/>
          <w:szCs w:val="32"/>
        </w:rPr>
        <w:t>万元</w:t>
      </w:r>
      <w:r>
        <w:rPr>
          <w:rFonts w:hint="eastAsia" w:ascii="仿宋_GB2312" w:hAnsi="宋体"/>
          <w:szCs w:val="32"/>
          <w:lang w:eastAsia="zh-CN"/>
        </w:rPr>
        <w:t>、</w:t>
      </w:r>
      <w:r>
        <w:rPr>
          <w:rFonts w:hint="eastAsia" w:ascii="仿宋_GB2312" w:hAnsi="宋体"/>
          <w:szCs w:val="32"/>
        </w:rPr>
        <w:t>社会保障支出689.87万元</w:t>
      </w:r>
      <w:r>
        <w:rPr>
          <w:rFonts w:hint="eastAsia" w:ascii="仿宋_GB2312" w:hAnsi="宋体"/>
          <w:szCs w:val="32"/>
          <w:lang w:eastAsia="zh-CN"/>
        </w:rPr>
        <w:t>、</w:t>
      </w:r>
      <w:r>
        <w:rPr>
          <w:rFonts w:hint="eastAsia" w:ascii="仿宋_GB2312" w:hAnsi="宋体"/>
          <w:szCs w:val="32"/>
        </w:rPr>
        <w:t>卫生健康支出136.1万元</w:t>
      </w:r>
      <w:r>
        <w:rPr>
          <w:rFonts w:hint="eastAsia" w:ascii="仿宋_GB2312" w:hAnsi="宋体"/>
          <w:szCs w:val="32"/>
          <w:lang w:eastAsia="zh-CN"/>
        </w:rPr>
        <w:t>、</w:t>
      </w:r>
      <w:r>
        <w:rPr>
          <w:rFonts w:hint="eastAsia" w:ascii="仿宋_GB2312" w:hAnsi="宋体"/>
          <w:szCs w:val="32"/>
        </w:rPr>
        <w:t>住房保障支出233.32万元</w:t>
      </w:r>
      <w:r>
        <w:rPr>
          <w:rFonts w:hint="eastAsia" w:ascii="仿宋_GB2312" w:hAnsi="宋体"/>
          <w:szCs w:val="32"/>
          <w:lang w:eastAsia="zh-CN"/>
        </w:rPr>
        <w:t>、</w:t>
      </w:r>
      <w:r>
        <w:rPr>
          <w:rFonts w:hint="eastAsia" w:ascii="仿宋_GB2312" w:hAnsi="宋体"/>
          <w:szCs w:val="32"/>
        </w:rPr>
        <w:t>灾害防治及应急管理支出（应急管理事务）支出2412.79万元</w:t>
      </w:r>
      <w:r>
        <w:rPr>
          <w:rFonts w:hint="eastAsia" w:ascii="仿宋_GB2312" w:hAnsi="宋体"/>
          <w:szCs w:val="32"/>
          <w:lang w:eastAsia="zh-CN"/>
        </w:rPr>
        <w:t>。</w:t>
      </w:r>
    </w:p>
    <w:p>
      <w:pPr>
        <w:numPr>
          <w:ilvl w:val="0"/>
          <w:numId w:val="5"/>
        </w:numPr>
        <w:tabs>
          <w:tab w:val="center" w:pos="4475"/>
        </w:tabs>
        <w:spacing w:line="600" w:lineRule="exact"/>
        <w:ind w:firstLine="645"/>
        <w:rPr>
          <w:rFonts w:hint="eastAsia" w:ascii="黑体" w:eastAsia="黑体"/>
          <w:szCs w:val="32"/>
        </w:rPr>
      </w:pPr>
      <w:r>
        <w:rPr>
          <w:rFonts w:hint="eastAsia" w:ascii="黑体" w:eastAsia="黑体"/>
          <w:szCs w:val="32"/>
        </w:rPr>
        <w:t>一般公共预算支出情况说明</w:t>
      </w:r>
    </w:p>
    <w:p>
      <w:pPr>
        <w:numPr>
          <w:ilvl w:val="0"/>
          <w:numId w:val="0"/>
        </w:numPr>
        <w:tabs>
          <w:tab w:val="center" w:pos="4475"/>
        </w:tabs>
        <w:spacing w:line="600" w:lineRule="exact"/>
        <w:ind w:firstLine="640" w:firstLineChars="200"/>
        <w:rPr>
          <w:rFonts w:hint="eastAsia" w:ascii="仿宋_GB2312" w:hAnsi="宋体"/>
          <w:szCs w:val="32"/>
        </w:rPr>
      </w:pPr>
      <w:r>
        <w:rPr>
          <w:rFonts w:hint="eastAsia" w:ascii="仿宋_GB2312" w:hAnsi="宋体"/>
          <w:szCs w:val="32"/>
          <w:lang w:val="en-US" w:eastAsia="zh-CN"/>
        </w:rPr>
        <w:t>2019</w:t>
      </w:r>
      <w:r>
        <w:rPr>
          <w:rFonts w:hint="eastAsia" w:ascii="仿宋_GB2312" w:hAnsi="宋体"/>
          <w:szCs w:val="32"/>
        </w:rPr>
        <w:t>年一般公共预算拨款支出</w:t>
      </w:r>
      <w:r>
        <w:rPr>
          <w:rFonts w:hint="eastAsia" w:ascii="仿宋_GB2312" w:hAnsi="宋体"/>
          <w:szCs w:val="32"/>
          <w:lang w:val="en-US" w:eastAsia="zh-CN"/>
        </w:rPr>
        <w:t>7004.27</w:t>
      </w:r>
      <w:r>
        <w:rPr>
          <w:rFonts w:hint="eastAsia" w:ascii="仿宋_GB2312" w:hAnsi="宋体"/>
          <w:szCs w:val="32"/>
        </w:rPr>
        <w:t>万元，其中：基本支出</w:t>
      </w:r>
      <w:r>
        <w:rPr>
          <w:rFonts w:hint="eastAsia" w:ascii="仿宋_GB2312" w:hAnsi="宋体"/>
          <w:szCs w:val="32"/>
          <w:lang w:val="en-US" w:eastAsia="zh-CN"/>
        </w:rPr>
        <w:t>4676.5</w:t>
      </w:r>
      <w:r>
        <w:rPr>
          <w:rFonts w:hint="eastAsia" w:ascii="仿宋_GB2312" w:hAnsi="宋体"/>
          <w:szCs w:val="32"/>
        </w:rPr>
        <w:t>万元，项目支出</w:t>
      </w:r>
      <w:r>
        <w:rPr>
          <w:rFonts w:hint="eastAsia" w:ascii="仿宋_GB2312" w:hAnsi="宋体"/>
          <w:szCs w:val="32"/>
          <w:lang w:val="en-US" w:eastAsia="zh-CN"/>
        </w:rPr>
        <w:t>2327.77</w:t>
      </w:r>
      <w:r>
        <w:rPr>
          <w:rFonts w:hint="eastAsia" w:ascii="仿宋_GB2312" w:hAnsi="宋体"/>
          <w:szCs w:val="32"/>
        </w:rPr>
        <w:t>万元。具体支出预算如下：</w:t>
      </w:r>
    </w:p>
    <w:p>
      <w:pPr>
        <w:tabs>
          <w:tab w:val="center" w:pos="4475"/>
        </w:tabs>
        <w:spacing w:line="600" w:lineRule="exact"/>
        <w:ind w:firstLine="645"/>
        <w:rPr>
          <w:rFonts w:hint="eastAsia" w:ascii="仿宋_GB2312" w:hAnsi="宋体"/>
          <w:szCs w:val="32"/>
        </w:rPr>
      </w:pPr>
      <w:r>
        <w:rPr>
          <w:rFonts w:hint="eastAsia" w:ascii="仿宋_GB2312" w:hAnsi="宋体"/>
          <w:szCs w:val="32"/>
        </w:rPr>
        <w:t>行政运行</w:t>
      </w:r>
      <w:r>
        <w:rPr>
          <w:rFonts w:hint="eastAsia" w:ascii="仿宋_GB2312" w:hAnsi="宋体"/>
          <w:szCs w:val="32"/>
          <w:lang w:val="en-US" w:eastAsia="zh-CN"/>
        </w:rPr>
        <w:t>1249.67</w:t>
      </w:r>
      <w:r>
        <w:rPr>
          <w:rFonts w:hint="eastAsia" w:ascii="仿宋_GB2312" w:hAnsi="宋体"/>
          <w:szCs w:val="32"/>
        </w:rPr>
        <w:t>万元，全部是基本支出预算。主要用于</w:t>
      </w:r>
      <w:r>
        <w:rPr>
          <w:rFonts w:hint="eastAsia" w:ascii="仿宋_GB2312" w:hAnsi="宋体"/>
          <w:szCs w:val="32"/>
          <w:lang w:eastAsia="zh-CN"/>
        </w:rPr>
        <w:t>厅本级</w:t>
      </w:r>
      <w:r>
        <w:rPr>
          <w:rFonts w:hint="eastAsia" w:ascii="仿宋_GB2312" w:hAnsi="宋体"/>
          <w:szCs w:val="32"/>
        </w:rPr>
        <w:t>为保证日常运转发生的基本支出,如根据国家规定的基本工资和津补贴标准等安排的人员经费支出、按自治区统一规定的开支标准安排的办公费、印刷费、水电费、培训费、差旅费、会议费等日常公用经费支出。</w:t>
      </w:r>
    </w:p>
    <w:p>
      <w:pPr>
        <w:tabs>
          <w:tab w:val="center" w:pos="4475"/>
        </w:tabs>
        <w:spacing w:line="600" w:lineRule="exact"/>
        <w:ind w:firstLine="645"/>
        <w:rPr>
          <w:rFonts w:hint="eastAsia" w:ascii="仿宋_GB2312" w:hAnsi="宋体" w:eastAsia="仿宋_GB2312"/>
          <w:szCs w:val="32"/>
          <w:lang w:val="en-US" w:eastAsia="zh-CN"/>
        </w:rPr>
      </w:pPr>
      <w:r>
        <w:rPr>
          <w:rFonts w:hint="eastAsia" w:ascii="仿宋_GB2312" w:hAnsi="宋体"/>
          <w:szCs w:val="32"/>
          <w:lang w:eastAsia="zh-CN"/>
        </w:rPr>
        <w:t>机关服务中心</w:t>
      </w:r>
      <w:r>
        <w:rPr>
          <w:rFonts w:hint="eastAsia" w:ascii="仿宋_GB2312" w:hAnsi="宋体"/>
          <w:szCs w:val="32"/>
          <w:lang w:val="en-US" w:eastAsia="zh-CN"/>
        </w:rPr>
        <w:t>131.97万元，全部是基本支出预算。</w:t>
      </w:r>
      <w:r>
        <w:rPr>
          <w:rFonts w:hint="eastAsia" w:ascii="仿宋_GB2312" w:hAnsi="宋体"/>
          <w:szCs w:val="32"/>
        </w:rPr>
        <w:t>主要用于</w:t>
      </w:r>
      <w:r>
        <w:rPr>
          <w:rFonts w:hint="eastAsia" w:ascii="仿宋_GB2312" w:hAnsi="宋体"/>
          <w:szCs w:val="32"/>
          <w:lang w:eastAsia="zh-CN"/>
        </w:rPr>
        <w:t>机关服务中心</w:t>
      </w:r>
      <w:r>
        <w:rPr>
          <w:rFonts w:hint="eastAsia" w:ascii="仿宋_GB2312" w:hAnsi="宋体"/>
          <w:szCs w:val="32"/>
        </w:rPr>
        <w:t>为保证日常运转发生的基本支出,如根据国家规定的基本工资和津补贴标准等安排的人员经费支出、按自治区统一规定的开支标准安排的办公费、印刷费、水电费、培训费、差旅费、会议费等日常公用经费支出。</w:t>
      </w:r>
    </w:p>
    <w:p>
      <w:pPr>
        <w:tabs>
          <w:tab w:val="center" w:pos="4475"/>
        </w:tabs>
        <w:spacing w:line="600" w:lineRule="exact"/>
        <w:ind w:firstLine="645"/>
        <w:rPr>
          <w:rFonts w:hint="eastAsia" w:ascii="仿宋_GB2312" w:hAnsi="宋体"/>
          <w:szCs w:val="32"/>
          <w:lang w:eastAsia="zh-CN"/>
        </w:rPr>
      </w:pPr>
      <w:r>
        <w:rPr>
          <w:rFonts w:hint="eastAsia" w:ascii="仿宋_GB2312" w:hAnsi="宋体"/>
          <w:szCs w:val="32"/>
          <w:lang w:eastAsia="zh-CN"/>
        </w:rPr>
        <w:t>安全监管</w:t>
      </w:r>
      <w:r>
        <w:rPr>
          <w:rFonts w:hint="eastAsia" w:ascii="仿宋_GB2312" w:hAnsi="宋体"/>
          <w:szCs w:val="32"/>
          <w:lang w:val="en-US" w:eastAsia="zh-CN"/>
        </w:rPr>
        <w:t>823.56万元</w:t>
      </w:r>
      <w:r>
        <w:rPr>
          <w:rFonts w:hint="eastAsia" w:ascii="仿宋_GB2312" w:hAnsi="宋体"/>
          <w:szCs w:val="32"/>
        </w:rPr>
        <w:t>，全部是项目支出预算。主要用于</w:t>
      </w:r>
      <w:r>
        <w:rPr>
          <w:rFonts w:hint="eastAsia" w:ascii="仿宋_GB2312" w:hAnsi="宋体"/>
          <w:szCs w:val="32"/>
          <w:lang w:eastAsia="zh-CN"/>
        </w:rPr>
        <w:t>厅本级办公大楼水电费用、安全生产执法专项整治项目、自治区安委会办公室专项业务项目、培训、会议、群团党建工作经费等。</w:t>
      </w:r>
    </w:p>
    <w:p>
      <w:pPr>
        <w:tabs>
          <w:tab w:val="center" w:pos="4475"/>
        </w:tabs>
        <w:spacing w:line="600" w:lineRule="exact"/>
        <w:ind w:firstLine="645"/>
        <w:rPr>
          <w:rFonts w:hint="eastAsia" w:ascii="仿宋_GB2312" w:hAnsi="宋体"/>
          <w:szCs w:val="32"/>
          <w:lang w:eastAsia="zh-CN"/>
        </w:rPr>
      </w:pPr>
      <w:r>
        <w:rPr>
          <w:rFonts w:hint="eastAsia" w:ascii="仿宋_GB2312" w:hAnsi="宋体"/>
          <w:szCs w:val="32"/>
          <w:lang w:eastAsia="zh-CN"/>
        </w:rPr>
        <w:t>应急救援</w:t>
      </w:r>
      <w:r>
        <w:rPr>
          <w:rFonts w:hint="eastAsia" w:ascii="仿宋_GB2312" w:hAnsi="宋体"/>
          <w:szCs w:val="32"/>
          <w:lang w:val="en-US" w:eastAsia="zh-CN"/>
        </w:rPr>
        <w:t>35万元，</w:t>
      </w:r>
      <w:r>
        <w:rPr>
          <w:rFonts w:hint="eastAsia" w:ascii="仿宋_GB2312" w:hAnsi="宋体"/>
          <w:szCs w:val="32"/>
        </w:rPr>
        <w:t>全部是项目支出预算</w:t>
      </w:r>
      <w:r>
        <w:rPr>
          <w:rFonts w:hint="eastAsia" w:ascii="仿宋_GB2312" w:hAnsi="宋体"/>
          <w:szCs w:val="32"/>
          <w:lang w:eastAsia="zh-CN"/>
        </w:rPr>
        <w:t>。主要为安全生产事故应急救援后期保障经费，用于在我区应急救援事故抢险救援补偿，应急救援网络信息服务以及自治区直接调用的应急救援队伍的后勤保障费用。</w:t>
      </w:r>
    </w:p>
    <w:p>
      <w:pPr>
        <w:tabs>
          <w:tab w:val="center" w:pos="4475"/>
        </w:tabs>
        <w:spacing w:line="600" w:lineRule="exact"/>
        <w:ind w:firstLine="645"/>
        <w:rPr>
          <w:rFonts w:hint="eastAsia" w:ascii="仿宋_GB2312" w:hAnsi="宋体"/>
          <w:szCs w:val="32"/>
          <w:lang w:val="en-US" w:eastAsia="zh-CN"/>
        </w:rPr>
      </w:pPr>
      <w:r>
        <w:rPr>
          <w:rFonts w:hint="eastAsia" w:ascii="仿宋_GB2312" w:hAnsi="宋体"/>
          <w:szCs w:val="32"/>
          <w:lang w:val="en-US" w:eastAsia="zh-CN"/>
        </w:rPr>
        <w:t>事业运行172.59万元，全部是基本支出预算。主要用于应急救援中心为保证日常运转发生的基本支出,如根据国家规定的基本工资和津补贴标准等安排的人员经费支出、按自治区统一规定的开支标准安排的办公费、印刷费、水电费、培训费、差旅费、会议费等日常公用经费支出。</w:t>
      </w:r>
    </w:p>
    <w:p>
      <w:pPr>
        <w:tabs>
          <w:tab w:val="center" w:pos="4475"/>
        </w:tabs>
        <w:spacing w:line="600" w:lineRule="exact"/>
        <w:ind w:firstLine="645"/>
        <w:rPr>
          <w:rFonts w:hint="eastAsia" w:ascii="仿宋_GB2312" w:hAnsi="宋体"/>
          <w:szCs w:val="32"/>
        </w:rPr>
      </w:pPr>
      <w:r>
        <w:rPr>
          <w:rFonts w:hint="eastAsia" w:ascii="仿宋_GB2312" w:hAnsi="宋体"/>
          <w:szCs w:val="32"/>
        </w:rPr>
        <w:t>行政单位离退休</w:t>
      </w:r>
      <w:r>
        <w:rPr>
          <w:rFonts w:hint="eastAsia" w:ascii="仿宋_GB2312" w:hAnsi="宋体"/>
          <w:szCs w:val="32"/>
          <w:lang w:val="en-US" w:eastAsia="zh-CN"/>
        </w:rPr>
        <w:t>133.11</w:t>
      </w:r>
      <w:r>
        <w:rPr>
          <w:rFonts w:hint="eastAsia" w:ascii="仿宋_GB2312" w:hAnsi="宋体"/>
          <w:szCs w:val="32"/>
        </w:rPr>
        <w:t>万元，全部是基本支出预算。主要用于按规定提取的离退休人员定额公用经费的支出。</w:t>
      </w:r>
    </w:p>
    <w:p>
      <w:pPr>
        <w:tabs>
          <w:tab w:val="center" w:pos="4475"/>
        </w:tabs>
        <w:spacing w:line="600" w:lineRule="exact"/>
        <w:ind w:firstLine="645"/>
        <w:rPr>
          <w:rFonts w:hint="eastAsia" w:ascii="仿宋_GB2312" w:hAnsi="宋体"/>
          <w:szCs w:val="32"/>
        </w:rPr>
      </w:pPr>
      <w:r>
        <w:rPr>
          <w:rFonts w:hint="eastAsia" w:ascii="仿宋_GB2312" w:hAnsi="宋体"/>
          <w:szCs w:val="32"/>
        </w:rPr>
        <w:t>机关事业单位基本养老保险缴费</w:t>
      </w:r>
      <w:r>
        <w:rPr>
          <w:rFonts w:hint="eastAsia" w:ascii="仿宋_GB2312" w:hAnsi="宋体"/>
          <w:szCs w:val="32"/>
          <w:lang w:val="en-US" w:eastAsia="zh-CN"/>
        </w:rPr>
        <w:t>388.85</w:t>
      </w:r>
      <w:r>
        <w:rPr>
          <w:rFonts w:hint="eastAsia" w:ascii="仿宋_GB2312" w:hAnsi="宋体"/>
          <w:szCs w:val="32"/>
        </w:rPr>
        <w:t>万元，全部是基本支出预算。主要用于支付在职职工的单位养老保险费用。</w:t>
      </w:r>
    </w:p>
    <w:p>
      <w:pPr>
        <w:tabs>
          <w:tab w:val="center" w:pos="4475"/>
        </w:tabs>
        <w:spacing w:line="600" w:lineRule="exact"/>
        <w:ind w:firstLine="645"/>
        <w:rPr>
          <w:rFonts w:hint="eastAsia" w:ascii="仿宋_GB2312" w:hAnsi="宋体"/>
          <w:szCs w:val="32"/>
        </w:rPr>
      </w:pPr>
      <w:r>
        <w:rPr>
          <w:rFonts w:hint="eastAsia" w:ascii="仿宋_GB2312" w:hAnsi="宋体"/>
          <w:szCs w:val="32"/>
        </w:rPr>
        <w:t>机关事业单位职业年金缴费</w:t>
      </w:r>
      <w:r>
        <w:rPr>
          <w:rFonts w:hint="eastAsia" w:ascii="仿宋_GB2312" w:hAnsi="宋体"/>
          <w:szCs w:val="32"/>
          <w:lang w:val="en-US" w:eastAsia="zh-CN"/>
        </w:rPr>
        <w:t>97.89</w:t>
      </w:r>
      <w:r>
        <w:rPr>
          <w:rFonts w:hint="eastAsia" w:ascii="仿宋_GB2312" w:hAnsi="宋体"/>
          <w:szCs w:val="32"/>
        </w:rPr>
        <w:t>万元，全部是基本支出预算。主要用于支付在职职工单位职业年金费用。</w:t>
      </w:r>
    </w:p>
    <w:p>
      <w:pPr>
        <w:tabs>
          <w:tab w:val="center" w:pos="4475"/>
        </w:tabs>
        <w:spacing w:line="600" w:lineRule="exact"/>
        <w:ind w:firstLine="645"/>
        <w:rPr>
          <w:rFonts w:hint="eastAsia" w:ascii="仿宋_GB2312" w:hAnsi="宋体"/>
          <w:szCs w:val="32"/>
        </w:rPr>
      </w:pPr>
      <w:r>
        <w:rPr>
          <w:rFonts w:hint="eastAsia" w:ascii="仿宋_GB2312" w:hAnsi="宋体"/>
          <w:szCs w:val="32"/>
        </w:rPr>
        <w:t>行政</w:t>
      </w:r>
      <w:r>
        <w:rPr>
          <w:rFonts w:hint="eastAsia" w:ascii="仿宋_GB2312" w:hAnsi="宋体"/>
          <w:szCs w:val="32"/>
          <w:lang w:eastAsia="zh-CN"/>
        </w:rPr>
        <w:t>事业</w:t>
      </w:r>
      <w:r>
        <w:rPr>
          <w:rFonts w:hint="eastAsia" w:ascii="仿宋_GB2312" w:hAnsi="宋体"/>
          <w:szCs w:val="32"/>
        </w:rPr>
        <w:t>单位医疗</w:t>
      </w:r>
      <w:r>
        <w:rPr>
          <w:rFonts w:hint="eastAsia" w:ascii="仿宋_GB2312" w:hAnsi="宋体"/>
          <w:szCs w:val="32"/>
          <w:lang w:val="en-US" w:eastAsia="zh-CN"/>
        </w:rPr>
        <w:t>136.1</w:t>
      </w:r>
      <w:r>
        <w:rPr>
          <w:rFonts w:hint="eastAsia" w:ascii="仿宋_GB2312" w:hAnsi="宋体"/>
          <w:szCs w:val="32"/>
        </w:rPr>
        <w:t>万元，全部是基本支出预算。根据自治区统一规定，按行政单位在职职工工资总额的一定比例计缴的医疗保险。</w:t>
      </w:r>
    </w:p>
    <w:p>
      <w:pPr>
        <w:tabs>
          <w:tab w:val="center" w:pos="4475"/>
        </w:tabs>
        <w:spacing w:line="600" w:lineRule="exact"/>
        <w:ind w:firstLine="645"/>
        <w:rPr>
          <w:rFonts w:hint="eastAsia" w:ascii="仿宋_GB2312" w:hAnsi="宋体"/>
          <w:szCs w:val="32"/>
        </w:rPr>
      </w:pPr>
      <w:r>
        <w:rPr>
          <w:rFonts w:hint="eastAsia" w:ascii="仿宋_GB2312" w:hAnsi="宋体"/>
          <w:szCs w:val="32"/>
        </w:rPr>
        <w:t>住房公积金</w:t>
      </w:r>
      <w:r>
        <w:rPr>
          <w:rFonts w:hint="eastAsia" w:ascii="仿宋_GB2312" w:hAnsi="宋体"/>
          <w:szCs w:val="32"/>
          <w:lang w:val="en-US" w:eastAsia="zh-CN"/>
        </w:rPr>
        <w:t>233.32</w:t>
      </w:r>
      <w:r>
        <w:rPr>
          <w:rFonts w:hint="eastAsia" w:ascii="仿宋_GB2312" w:hAnsi="宋体"/>
          <w:szCs w:val="32"/>
        </w:rPr>
        <w:t>万元，全部是基本支出预算。是按照国家统一规定，为单位职工计缴的住房公积金。</w:t>
      </w:r>
    </w:p>
    <w:p>
      <w:pPr>
        <w:tabs>
          <w:tab w:val="center" w:pos="4475"/>
        </w:tabs>
        <w:spacing w:line="600" w:lineRule="exact"/>
        <w:ind w:firstLine="645"/>
        <w:rPr>
          <w:rFonts w:hint="eastAsia" w:ascii="仿宋_GB2312" w:hAnsi="宋体" w:eastAsia="仿宋_GB2312"/>
          <w:szCs w:val="32"/>
          <w:lang w:val="en-US" w:eastAsia="zh-CN"/>
        </w:rPr>
      </w:pPr>
      <w:r>
        <w:rPr>
          <w:rFonts w:hint="eastAsia" w:ascii="仿宋_GB2312" w:hAnsi="宋体"/>
          <w:szCs w:val="32"/>
          <w:lang w:eastAsia="zh-CN"/>
        </w:rPr>
        <w:t>教育支出</w:t>
      </w:r>
      <w:r>
        <w:rPr>
          <w:rFonts w:hint="eastAsia" w:ascii="仿宋_GB2312" w:hAnsi="宋体"/>
          <w:szCs w:val="32"/>
          <w:lang w:val="en-US" w:eastAsia="zh-CN"/>
        </w:rPr>
        <w:t>3602.21万元，全部是项目支出预算。主要用于二层院校教职工的工资、绩效、以及学生补助等费用。</w:t>
      </w:r>
    </w:p>
    <w:p>
      <w:pPr>
        <w:tabs>
          <w:tab w:val="center" w:pos="4475"/>
        </w:tabs>
        <w:spacing w:line="600" w:lineRule="exact"/>
        <w:ind w:firstLine="645"/>
        <w:rPr>
          <w:rFonts w:hint="eastAsia" w:ascii="黑体" w:eastAsia="黑体"/>
          <w:szCs w:val="32"/>
        </w:rPr>
      </w:pPr>
      <w:r>
        <w:rPr>
          <w:rFonts w:hint="eastAsia" w:ascii="黑体" w:eastAsia="黑体"/>
          <w:szCs w:val="32"/>
        </w:rPr>
        <w:t>六、一般公共预算基本支出情况说明</w:t>
      </w:r>
    </w:p>
    <w:p>
      <w:pPr>
        <w:tabs>
          <w:tab w:val="center" w:pos="4475"/>
        </w:tabs>
        <w:spacing w:line="600" w:lineRule="exact"/>
        <w:ind w:firstLine="645"/>
        <w:rPr>
          <w:rFonts w:hint="eastAsia" w:ascii="仿宋_GB2312" w:hAnsi="宋体"/>
          <w:szCs w:val="32"/>
        </w:rPr>
      </w:pPr>
      <w:r>
        <w:rPr>
          <w:rFonts w:hint="eastAsia" w:ascii="仿宋_GB2312" w:hAnsi="宋体"/>
          <w:szCs w:val="32"/>
        </w:rPr>
        <w:t>20</w:t>
      </w:r>
      <w:r>
        <w:rPr>
          <w:rFonts w:hint="eastAsia" w:ascii="仿宋_GB2312" w:hAnsi="宋体"/>
          <w:szCs w:val="32"/>
          <w:lang w:val="en-US" w:eastAsia="zh-CN"/>
        </w:rPr>
        <w:t>19</w:t>
      </w:r>
      <w:r>
        <w:rPr>
          <w:rFonts w:hint="eastAsia" w:ascii="仿宋_GB2312" w:hAnsi="宋体"/>
          <w:szCs w:val="32"/>
        </w:rPr>
        <w:t>年一般公共预算基本支出</w:t>
      </w:r>
      <w:r>
        <w:rPr>
          <w:rFonts w:hint="eastAsia" w:ascii="仿宋_GB2312" w:hAnsi="宋体"/>
          <w:szCs w:val="32"/>
          <w:lang w:val="en-US" w:eastAsia="zh-CN"/>
        </w:rPr>
        <w:t>4676.5</w:t>
      </w:r>
      <w:r>
        <w:rPr>
          <w:rFonts w:hint="eastAsia" w:ascii="仿宋_GB2312" w:hAnsi="宋体"/>
          <w:szCs w:val="32"/>
        </w:rPr>
        <w:t>万元，其中：</w:t>
      </w:r>
    </w:p>
    <w:p>
      <w:pPr>
        <w:tabs>
          <w:tab w:val="center" w:pos="4475"/>
        </w:tabs>
        <w:spacing w:line="600" w:lineRule="exact"/>
        <w:ind w:firstLine="645"/>
        <w:rPr>
          <w:rFonts w:hint="eastAsia" w:ascii="仿宋_GB2312" w:hAnsi="宋体"/>
          <w:szCs w:val="32"/>
        </w:rPr>
      </w:pPr>
      <w:r>
        <w:rPr>
          <w:rFonts w:hint="eastAsia" w:ascii="仿宋_GB2312" w:hAnsi="宋体"/>
          <w:szCs w:val="32"/>
        </w:rPr>
        <w:t>人员经费</w:t>
      </w:r>
      <w:r>
        <w:rPr>
          <w:rFonts w:hint="eastAsia" w:ascii="仿宋_GB2312" w:hAnsi="宋体"/>
          <w:szCs w:val="32"/>
          <w:lang w:val="en-US" w:eastAsia="zh-CN"/>
        </w:rPr>
        <w:t>3685.86</w:t>
      </w:r>
      <w:r>
        <w:rPr>
          <w:rFonts w:hint="eastAsia" w:ascii="仿宋_GB2312" w:hAnsi="宋体"/>
          <w:szCs w:val="32"/>
        </w:rPr>
        <w:t>万元，主要包括：基本工资、津贴补贴、奖金、机关事业单位基本养老保险缴费、职业年金缴费、城镇职工基本医疗保险缴费、其他社会保障缴费、住房公积金、退休费、其他对个人和家庭的补助支出。</w:t>
      </w:r>
    </w:p>
    <w:p>
      <w:pPr>
        <w:tabs>
          <w:tab w:val="center" w:pos="4475"/>
        </w:tabs>
        <w:spacing w:line="600" w:lineRule="exact"/>
        <w:ind w:firstLine="645"/>
        <w:rPr>
          <w:rFonts w:hint="eastAsia" w:ascii="仿宋_GB2312" w:hAnsi="宋体"/>
          <w:szCs w:val="32"/>
        </w:rPr>
      </w:pPr>
      <w:r>
        <w:rPr>
          <w:rFonts w:hint="eastAsia" w:ascii="仿宋_GB2312" w:hAnsi="宋体"/>
          <w:szCs w:val="32"/>
        </w:rPr>
        <w:t>公用经费</w:t>
      </w:r>
      <w:r>
        <w:rPr>
          <w:rFonts w:hint="eastAsia" w:ascii="仿宋_GB2312" w:hAnsi="宋体"/>
          <w:szCs w:val="32"/>
          <w:lang w:val="en-US" w:eastAsia="zh-CN"/>
        </w:rPr>
        <w:t>990.64</w:t>
      </w:r>
      <w:r>
        <w:rPr>
          <w:rFonts w:hint="eastAsia" w:ascii="仿宋_GB2312" w:hAnsi="宋体"/>
          <w:szCs w:val="32"/>
        </w:rPr>
        <w:t>万元，主要包括：办公费、印刷费、邮电费、差旅费、培训费、公务接待费、工会经费、福利费、其他交通费用、其他商品和服务支出。</w:t>
      </w:r>
    </w:p>
    <w:p>
      <w:pPr>
        <w:tabs>
          <w:tab w:val="center" w:pos="4475"/>
        </w:tabs>
        <w:spacing w:line="600" w:lineRule="exact"/>
        <w:ind w:firstLine="645"/>
        <w:rPr>
          <w:rFonts w:hint="eastAsia" w:ascii="黑体" w:eastAsia="黑体"/>
          <w:szCs w:val="32"/>
        </w:rPr>
      </w:pPr>
      <w:r>
        <w:rPr>
          <w:rFonts w:hint="eastAsia" w:ascii="黑体" w:eastAsia="黑体"/>
          <w:szCs w:val="32"/>
        </w:rPr>
        <w:t>七、一般公共预算“三公”经费支出情况说明</w:t>
      </w:r>
    </w:p>
    <w:p>
      <w:pPr>
        <w:tabs>
          <w:tab w:val="center" w:pos="4475"/>
        </w:tabs>
        <w:spacing w:line="600" w:lineRule="exact"/>
        <w:ind w:firstLine="645"/>
        <w:rPr>
          <w:rFonts w:hint="eastAsia" w:ascii="仿宋_GB2312" w:hAnsi="宋体" w:eastAsia="仿宋_GB2312"/>
          <w:szCs w:val="32"/>
          <w:lang w:val="en-US" w:eastAsia="zh-CN"/>
        </w:rPr>
      </w:pPr>
      <w:r>
        <w:rPr>
          <w:rFonts w:hint="eastAsia" w:ascii="仿宋_GB2312" w:hAnsi="宋体"/>
          <w:szCs w:val="32"/>
        </w:rPr>
        <w:t>（一）</w:t>
      </w:r>
      <w:r>
        <w:rPr>
          <w:rFonts w:hint="eastAsia" w:ascii="仿宋_GB2312" w:hAnsi="宋体"/>
          <w:szCs w:val="32"/>
          <w:lang w:val="en-US" w:eastAsia="zh-CN"/>
        </w:rPr>
        <w:t>2019年部门预算全口径安排的“三公”经费预算情况。</w:t>
      </w:r>
    </w:p>
    <w:p>
      <w:pPr>
        <w:tabs>
          <w:tab w:val="center" w:pos="4475"/>
        </w:tabs>
        <w:spacing w:line="600" w:lineRule="exact"/>
        <w:ind w:firstLine="645"/>
        <w:rPr>
          <w:rFonts w:hint="eastAsia" w:ascii="仿宋_GB2312" w:hAnsi="宋体"/>
          <w:szCs w:val="32"/>
        </w:rPr>
      </w:pPr>
      <w:r>
        <w:rPr>
          <w:rFonts w:hint="eastAsia" w:ascii="仿宋_GB2312" w:hAnsi="宋体"/>
          <w:szCs w:val="32"/>
        </w:rPr>
        <w:t>2019年财政资金</w:t>
      </w:r>
      <w:r>
        <w:rPr>
          <w:rFonts w:hint="eastAsia" w:ascii="仿宋_GB2312" w:hAnsi="宋体"/>
          <w:szCs w:val="32"/>
          <w:lang w:eastAsia="zh-CN"/>
        </w:rPr>
        <w:t>共</w:t>
      </w:r>
      <w:r>
        <w:rPr>
          <w:rFonts w:hint="eastAsia" w:ascii="仿宋_GB2312" w:hAnsi="宋体"/>
          <w:szCs w:val="32"/>
        </w:rPr>
        <w:t>安排的“三公”经费预算62.88万元</w:t>
      </w:r>
      <w:r>
        <w:rPr>
          <w:rFonts w:hint="eastAsia" w:ascii="仿宋_GB2312" w:hAnsi="宋体"/>
          <w:szCs w:val="32"/>
          <w:lang w:eastAsia="zh-CN"/>
        </w:rPr>
        <w:t>（全口径）</w:t>
      </w:r>
      <w:r>
        <w:rPr>
          <w:rFonts w:hint="eastAsia" w:ascii="仿宋_GB2312" w:hAnsi="宋体"/>
          <w:szCs w:val="32"/>
        </w:rPr>
        <w:t>，其中：因公出国（境）经费支出预算0万元（未申报），公务接待费支出预算22.85万元，公务用车运行维护费支出预算40.03万元。</w:t>
      </w:r>
    </w:p>
    <w:p>
      <w:pPr>
        <w:tabs>
          <w:tab w:val="center" w:pos="4475"/>
        </w:tabs>
        <w:spacing w:line="600" w:lineRule="exact"/>
        <w:ind w:firstLine="645"/>
        <w:rPr>
          <w:rFonts w:hint="eastAsia" w:ascii="仿宋_GB2312" w:hAnsi="宋体" w:eastAsia="仿宋_GB2312"/>
          <w:szCs w:val="32"/>
          <w:lang w:val="en-US" w:eastAsia="zh-CN"/>
        </w:rPr>
      </w:pPr>
      <w:r>
        <w:rPr>
          <w:rFonts w:hint="eastAsia" w:ascii="仿宋_GB2312" w:hAnsi="宋体"/>
          <w:szCs w:val="32"/>
        </w:rPr>
        <w:t>（</w:t>
      </w:r>
      <w:r>
        <w:rPr>
          <w:rFonts w:hint="eastAsia" w:ascii="仿宋_GB2312" w:hAnsi="宋体"/>
          <w:szCs w:val="32"/>
          <w:lang w:eastAsia="zh-CN"/>
        </w:rPr>
        <w:t>二</w:t>
      </w:r>
      <w:r>
        <w:rPr>
          <w:rFonts w:hint="eastAsia" w:ascii="仿宋_GB2312" w:hAnsi="宋体"/>
          <w:szCs w:val="32"/>
        </w:rPr>
        <w:t>）</w:t>
      </w:r>
      <w:r>
        <w:rPr>
          <w:rFonts w:hint="eastAsia" w:ascii="仿宋_GB2312" w:hAnsi="宋体"/>
          <w:szCs w:val="32"/>
          <w:lang w:val="en-US" w:eastAsia="zh-CN"/>
        </w:rPr>
        <w:t>2019年部门预算全口径安排的“三公”经费预算情况。</w:t>
      </w:r>
    </w:p>
    <w:p>
      <w:pPr>
        <w:numPr>
          <w:ilvl w:val="0"/>
          <w:numId w:val="6"/>
        </w:numPr>
        <w:tabs>
          <w:tab w:val="center" w:pos="4475"/>
        </w:tabs>
        <w:spacing w:line="600" w:lineRule="exact"/>
        <w:ind w:firstLine="645"/>
        <w:rPr>
          <w:rFonts w:hint="eastAsia" w:ascii="仿宋_GB2312" w:hAnsi="宋体"/>
          <w:szCs w:val="32"/>
        </w:rPr>
      </w:pPr>
      <w:r>
        <w:rPr>
          <w:rFonts w:hint="eastAsia" w:ascii="仿宋_GB2312" w:hAnsi="宋体"/>
          <w:szCs w:val="32"/>
        </w:rPr>
        <w:t>因公出国（境）经费支出预算0万元</w:t>
      </w:r>
      <w:r>
        <w:rPr>
          <w:rFonts w:hint="eastAsia" w:ascii="仿宋_GB2312" w:hAnsi="宋体"/>
          <w:szCs w:val="32"/>
          <w:lang w:eastAsia="zh-CN"/>
        </w:rPr>
        <w:t>，同比上年减少</w:t>
      </w:r>
      <w:r>
        <w:rPr>
          <w:rFonts w:hint="eastAsia" w:ascii="仿宋_GB2312" w:hAnsi="宋体"/>
          <w:szCs w:val="32"/>
          <w:lang w:val="en-US" w:eastAsia="zh-CN"/>
        </w:rPr>
        <w:t>23万元，下降100%。</w:t>
      </w:r>
      <w:r>
        <w:rPr>
          <w:rFonts w:hint="eastAsia" w:ascii="仿宋_GB2312" w:hAnsi="宋体"/>
          <w:szCs w:val="32"/>
        </w:rPr>
        <w:t>根据《广西壮族自治区财政厅关于下达自治区安全监管局2019-2021年中期规划和2019年部门预算数“一下”支出控制数的函》（桂财建函〔2018〕474号）要求，因公出国（境）费不编入部门预算，2019年执行中根据外事管理部门批准的年度出国计划申请追加。</w:t>
      </w:r>
    </w:p>
    <w:p>
      <w:pPr>
        <w:numPr>
          <w:ilvl w:val="0"/>
          <w:numId w:val="0"/>
        </w:numPr>
        <w:tabs>
          <w:tab w:val="center" w:pos="4475"/>
        </w:tabs>
        <w:spacing w:line="600" w:lineRule="exact"/>
        <w:ind w:firstLine="640" w:firstLineChars="200"/>
        <w:rPr>
          <w:rFonts w:hint="eastAsia" w:ascii="仿宋_GB2312" w:hAnsi="宋体" w:eastAsia="仿宋_GB2312"/>
          <w:szCs w:val="32"/>
          <w:lang w:eastAsia="zh-CN"/>
        </w:rPr>
      </w:pPr>
      <w:r>
        <w:rPr>
          <w:rFonts w:hint="eastAsia" w:ascii="仿宋_GB2312" w:hAnsi="宋体"/>
          <w:szCs w:val="32"/>
        </w:rPr>
        <w:t>2.公务接待费2019年预算22.85万元，同比减少17.11万元，下降42.82%。下降的主要原因是严格贯彻落实自治区党委、政府的有关部署，进一步压减</w:t>
      </w:r>
      <w:r>
        <w:rPr>
          <w:rFonts w:hint="eastAsia" w:ascii="仿宋_GB2312" w:hAnsi="宋体"/>
          <w:szCs w:val="32"/>
          <w:lang w:val="en-US" w:eastAsia="zh-CN"/>
        </w:rPr>
        <w:t>2019</w:t>
      </w:r>
      <w:r>
        <w:rPr>
          <w:rFonts w:hint="eastAsia" w:ascii="仿宋_GB2312" w:hAnsi="宋体"/>
          <w:szCs w:val="32"/>
        </w:rPr>
        <w:t>年公务接待费支出</w:t>
      </w:r>
      <w:r>
        <w:rPr>
          <w:rFonts w:hint="eastAsia" w:ascii="仿宋_GB2312" w:hAnsi="宋体"/>
          <w:szCs w:val="32"/>
          <w:lang w:eastAsia="zh-CN"/>
        </w:rPr>
        <w:t>，合理控制接待费用。用于</w:t>
      </w:r>
      <w:r>
        <w:rPr>
          <w:rFonts w:hint="eastAsia" w:ascii="仿宋_GB2312" w:hAnsi="宋体"/>
          <w:szCs w:val="32"/>
        </w:rPr>
        <w:t>安排接待</w:t>
      </w:r>
      <w:r>
        <w:rPr>
          <w:rFonts w:hint="eastAsia" w:ascii="仿宋_GB2312" w:hAnsi="宋体"/>
          <w:szCs w:val="32"/>
          <w:lang w:eastAsia="zh-CN"/>
        </w:rPr>
        <w:t>应急部</w:t>
      </w:r>
      <w:r>
        <w:rPr>
          <w:rFonts w:hint="eastAsia" w:ascii="仿宋_GB2312" w:hAnsi="宋体"/>
          <w:szCs w:val="32"/>
        </w:rPr>
        <w:t>及兄弟省（市、自治区）有关领导来我区参加各类会议、重大活动和调研考察等公务活动的接待费用以及开展业务活动需要开支的公务接待费用</w:t>
      </w:r>
      <w:r>
        <w:rPr>
          <w:rFonts w:hint="eastAsia" w:ascii="仿宋_GB2312" w:hAnsi="宋体"/>
          <w:szCs w:val="32"/>
          <w:lang w:eastAsia="zh-CN"/>
        </w:rPr>
        <w:t>。</w:t>
      </w:r>
    </w:p>
    <w:p>
      <w:pPr>
        <w:tabs>
          <w:tab w:val="center" w:pos="4475"/>
        </w:tabs>
        <w:spacing w:line="600" w:lineRule="exact"/>
        <w:ind w:firstLine="645"/>
        <w:rPr>
          <w:rFonts w:hint="eastAsia" w:ascii="仿宋_GB2312" w:hAnsi="宋体" w:eastAsia="仿宋_GB2312"/>
          <w:szCs w:val="32"/>
          <w:lang w:eastAsia="zh-CN"/>
        </w:rPr>
      </w:pPr>
      <w:r>
        <w:rPr>
          <w:rFonts w:hint="eastAsia" w:ascii="仿宋_GB2312" w:hAnsi="宋体"/>
          <w:szCs w:val="32"/>
        </w:rPr>
        <w:t>3. 公务用车运行维护费2019年预算40.0</w:t>
      </w:r>
      <w:r>
        <w:rPr>
          <w:rFonts w:hint="eastAsia" w:ascii="仿宋_GB2312" w:hAnsi="宋体"/>
          <w:szCs w:val="32"/>
          <w:lang w:val="en-US" w:eastAsia="zh-CN"/>
        </w:rPr>
        <w:t>3</w:t>
      </w:r>
      <w:r>
        <w:rPr>
          <w:rFonts w:hint="eastAsia" w:ascii="仿宋_GB2312" w:hAnsi="宋体"/>
          <w:szCs w:val="32"/>
        </w:rPr>
        <w:t>万元，同比减少11.48万元，下降22.28%。</w:t>
      </w:r>
      <w:r>
        <w:rPr>
          <w:rFonts w:hint="eastAsia" w:ascii="仿宋_GB2312" w:hAnsi="宋体"/>
          <w:szCs w:val="32"/>
          <w:lang w:eastAsia="zh-CN"/>
        </w:rPr>
        <w:t>下降的主要原因是严格贯彻落实自治区党委、政府的有关部署，进一步压减</w:t>
      </w:r>
      <w:r>
        <w:rPr>
          <w:rFonts w:hint="eastAsia" w:ascii="仿宋_GB2312" w:hAnsi="宋体"/>
          <w:szCs w:val="32"/>
          <w:lang w:val="en-US" w:eastAsia="zh-CN"/>
        </w:rPr>
        <w:t>2019</w:t>
      </w:r>
      <w:r>
        <w:rPr>
          <w:rFonts w:hint="eastAsia" w:ascii="仿宋_GB2312" w:hAnsi="宋体"/>
          <w:szCs w:val="32"/>
          <w:lang w:eastAsia="zh-CN"/>
        </w:rPr>
        <w:t xml:space="preserve">年公务用车运行维护费支出。主要用于执行公务发生的汽车燃料费、维修费、过桥过路费、保险费以及车辆年审等支出。 </w:t>
      </w:r>
    </w:p>
    <w:p>
      <w:pPr>
        <w:tabs>
          <w:tab w:val="center" w:pos="4475"/>
        </w:tabs>
        <w:spacing w:line="600" w:lineRule="exact"/>
        <w:ind w:firstLine="645"/>
        <w:rPr>
          <w:rFonts w:hint="eastAsia" w:ascii="黑体" w:eastAsia="黑体"/>
          <w:szCs w:val="32"/>
        </w:rPr>
      </w:pPr>
      <w:r>
        <w:rPr>
          <w:rFonts w:hint="eastAsia" w:ascii="黑体" w:eastAsia="黑体"/>
          <w:szCs w:val="32"/>
        </w:rPr>
        <w:t>八、政府性基金预算支出情况说明</w:t>
      </w:r>
    </w:p>
    <w:p>
      <w:pPr>
        <w:tabs>
          <w:tab w:val="center" w:pos="4475"/>
        </w:tabs>
        <w:spacing w:line="600" w:lineRule="exact"/>
        <w:ind w:firstLine="645"/>
        <w:rPr>
          <w:rFonts w:hint="eastAsia" w:ascii="黑体" w:eastAsia="黑体"/>
          <w:szCs w:val="32"/>
        </w:rPr>
      </w:pPr>
      <w:r>
        <w:rPr>
          <w:rFonts w:hint="eastAsia" w:ascii="仿宋_GB2312" w:hAnsi="宋体"/>
          <w:szCs w:val="32"/>
        </w:rPr>
        <w:t>20</w:t>
      </w:r>
      <w:r>
        <w:rPr>
          <w:rFonts w:hint="eastAsia" w:ascii="仿宋_GB2312" w:hAnsi="宋体"/>
          <w:szCs w:val="32"/>
          <w:lang w:val="en-US" w:eastAsia="zh-CN"/>
        </w:rPr>
        <w:t>19</w:t>
      </w:r>
      <w:r>
        <w:rPr>
          <w:rFonts w:hint="eastAsia" w:ascii="仿宋_GB2312" w:hAnsi="宋体"/>
          <w:szCs w:val="32"/>
        </w:rPr>
        <w:t>年部门预算没有政府性基金预算支出安排。</w:t>
      </w:r>
    </w:p>
    <w:p>
      <w:pPr>
        <w:tabs>
          <w:tab w:val="center" w:pos="4475"/>
        </w:tabs>
        <w:spacing w:line="600" w:lineRule="exact"/>
        <w:ind w:firstLine="645"/>
        <w:rPr>
          <w:rFonts w:hint="eastAsia" w:ascii="黑体" w:eastAsia="黑体"/>
          <w:szCs w:val="32"/>
        </w:rPr>
      </w:pPr>
      <w:r>
        <w:rPr>
          <w:rFonts w:hint="eastAsia" w:ascii="黑体" w:eastAsia="黑体"/>
          <w:szCs w:val="32"/>
        </w:rPr>
        <w:t>九、其他重要事项情况说明</w:t>
      </w:r>
    </w:p>
    <w:p>
      <w:pPr>
        <w:tabs>
          <w:tab w:val="center" w:pos="4475"/>
        </w:tabs>
        <w:spacing w:line="600" w:lineRule="exact"/>
        <w:ind w:firstLine="645"/>
        <w:rPr>
          <w:rFonts w:hint="eastAsia" w:ascii="黑体" w:eastAsia="黑体"/>
          <w:szCs w:val="32"/>
        </w:rPr>
      </w:pPr>
      <w:r>
        <w:rPr>
          <w:rFonts w:hint="eastAsia" w:ascii="黑体" w:eastAsia="黑体"/>
          <w:szCs w:val="32"/>
        </w:rPr>
        <w:t>（一）机关运行经费安排情况说明</w:t>
      </w:r>
    </w:p>
    <w:p>
      <w:pPr>
        <w:tabs>
          <w:tab w:val="center" w:pos="4475"/>
        </w:tabs>
        <w:spacing w:line="600" w:lineRule="exact"/>
        <w:ind w:firstLine="645"/>
        <w:rPr>
          <w:rFonts w:hint="eastAsia" w:ascii="仿宋_GB2312" w:hAnsi="宋体"/>
          <w:szCs w:val="32"/>
        </w:rPr>
      </w:pPr>
      <w:r>
        <w:rPr>
          <w:rFonts w:hint="eastAsia" w:ascii="仿宋_GB2312" w:hAnsi="宋体"/>
          <w:szCs w:val="32"/>
        </w:rPr>
        <w:t>20</w:t>
      </w:r>
      <w:r>
        <w:rPr>
          <w:rFonts w:hint="eastAsia" w:ascii="仿宋_GB2312" w:hAnsi="宋体"/>
          <w:szCs w:val="32"/>
          <w:lang w:val="en-US" w:eastAsia="zh-CN"/>
        </w:rPr>
        <w:t>19</w:t>
      </w:r>
      <w:r>
        <w:rPr>
          <w:rFonts w:hint="eastAsia" w:ascii="仿宋_GB2312" w:hAnsi="宋体"/>
          <w:szCs w:val="32"/>
        </w:rPr>
        <w:t>年行政运行预算</w:t>
      </w:r>
      <w:r>
        <w:rPr>
          <w:rFonts w:hint="eastAsia" w:ascii="仿宋_GB2312" w:hAnsi="宋体"/>
          <w:szCs w:val="32"/>
          <w:lang w:val="en-US" w:eastAsia="zh-CN"/>
        </w:rPr>
        <w:t>1249.67</w:t>
      </w:r>
      <w:r>
        <w:rPr>
          <w:rFonts w:hint="eastAsia" w:ascii="仿宋_GB2312" w:hAnsi="宋体"/>
          <w:szCs w:val="32"/>
        </w:rPr>
        <w:t>万元，全部是基本支出预算，同比增加</w:t>
      </w:r>
      <w:r>
        <w:rPr>
          <w:rFonts w:hint="eastAsia" w:ascii="仿宋_GB2312" w:hAnsi="宋体"/>
          <w:szCs w:val="32"/>
          <w:lang w:val="en-US" w:eastAsia="zh-CN"/>
        </w:rPr>
        <w:t>154.29</w:t>
      </w:r>
      <w:r>
        <w:rPr>
          <w:rFonts w:hint="eastAsia" w:ascii="仿宋_GB2312" w:hAnsi="宋体"/>
          <w:szCs w:val="32"/>
        </w:rPr>
        <w:t>万元，增长</w:t>
      </w:r>
      <w:r>
        <w:rPr>
          <w:rFonts w:hint="eastAsia" w:ascii="仿宋_GB2312" w:hAnsi="宋体"/>
          <w:szCs w:val="32"/>
          <w:lang w:val="en-US" w:eastAsia="zh-CN"/>
        </w:rPr>
        <w:t>14.09</w:t>
      </w:r>
      <w:r>
        <w:rPr>
          <w:rFonts w:hint="eastAsia" w:ascii="仿宋_GB2312" w:hAnsi="宋体"/>
          <w:szCs w:val="32"/>
        </w:rPr>
        <w:t>％。其中：工资福利支出</w:t>
      </w:r>
      <w:r>
        <w:rPr>
          <w:rFonts w:hint="eastAsia" w:ascii="仿宋_GB2312" w:hAnsi="宋体"/>
          <w:szCs w:val="32"/>
          <w:lang w:val="en-US" w:eastAsia="zh-CN"/>
        </w:rPr>
        <w:t>697.84</w:t>
      </w:r>
      <w:r>
        <w:rPr>
          <w:rFonts w:hint="eastAsia" w:ascii="仿宋_GB2312" w:hAnsi="宋体"/>
          <w:szCs w:val="32"/>
        </w:rPr>
        <w:t>万元、商品和服务支出</w:t>
      </w:r>
      <w:r>
        <w:rPr>
          <w:rFonts w:hint="eastAsia" w:ascii="仿宋_GB2312" w:hAnsi="宋体"/>
          <w:szCs w:val="32"/>
          <w:lang w:val="en-US" w:eastAsia="zh-CN"/>
        </w:rPr>
        <w:t>303.64</w:t>
      </w:r>
      <w:r>
        <w:rPr>
          <w:rFonts w:hint="eastAsia" w:ascii="仿宋_GB2312" w:hAnsi="宋体"/>
          <w:szCs w:val="32"/>
        </w:rPr>
        <w:t>万元、对个人和家庭的补助支出</w:t>
      </w:r>
      <w:r>
        <w:rPr>
          <w:rFonts w:hint="eastAsia" w:ascii="仿宋_GB2312" w:hAnsi="宋体"/>
          <w:szCs w:val="32"/>
          <w:lang w:val="en-US" w:eastAsia="zh-CN"/>
        </w:rPr>
        <w:t>93.9</w:t>
      </w:r>
      <w:r>
        <w:rPr>
          <w:rFonts w:hint="eastAsia" w:ascii="仿宋_GB2312" w:hAnsi="宋体"/>
          <w:szCs w:val="32"/>
        </w:rPr>
        <w:t>万元。主要用于厅机关为保证日常运转发生的基本支出，如根据国家规定的基本工资和津补贴标准等安排的人员经费支出、按自治区统一规定的开支标准安排的办公费、印刷费、水电费、培训费、差旅费、会议费等日常公用经费支出。行政运行经费增长原因：一是机关在职人员实行职务与职级并行后晋级而增加人员经费。二是部分人员正常晋级及职务晋升增加人员经费。三是新录用人员增加人员经费。四是随工资福利支出增加而按比例相应增加的个补、公积金、医疗保险等。</w:t>
      </w:r>
    </w:p>
    <w:p>
      <w:pPr>
        <w:tabs>
          <w:tab w:val="center" w:pos="4475"/>
        </w:tabs>
        <w:spacing w:line="600" w:lineRule="exact"/>
        <w:ind w:firstLine="645"/>
        <w:rPr>
          <w:rFonts w:hint="eastAsia" w:ascii="黑体" w:hAnsi="Arial" w:eastAsia="黑体" w:cs="Arial"/>
          <w:kern w:val="0"/>
        </w:rPr>
      </w:pPr>
      <w:r>
        <w:rPr>
          <w:rFonts w:hint="eastAsia" w:ascii="黑体" w:eastAsia="黑体"/>
          <w:szCs w:val="32"/>
        </w:rPr>
        <w:t>（二）</w:t>
      </w:r>
      <w:r>
        <w:rPr>
          <w:rFonts w:hint="eastAsia" w:ascii="黑体" w:hAnsi="Arial" w:eastAsia="黑体" w:cs="Arial"/>
          <w:kern w:val="0"/>
        </w:rPr>
        <w:t>政府采购预算安排情况说明</w:t>
      </w:r>
    </w:p>
    <w:p>
      <w:pPr>
        <w:tabs>
          <w:tab w:val="center" w:pos="4475"/>
        </w:tabs>
        <w:spacing w:line="600" w:lineRule="exact"/>
        <w:ind w:firstLine="645"/>
        <w:rPr>
          <w:rFonts w:hint="eastAsia" w:ascii="仿宋_GB2312" w:hAnsi="宋体"/>
          <w:szCs w:val="32"/>
        </w:rPr>
      </w:pPr>
      <w:r>
        <w:rPr>
          <w:rFonts w:hint="eastAsia" w:ascii="仿宋_GB2312" w:hAnsi="宋体"/>
          <w:szCs w:val="32"/>
        </w:rPr>
        <w:t>2019年一般公费预算拨款政府采购预算2050.58万元，同比增加474.08万元，增长30.07%，其中：</w:t>
      </w:r>
      <w:r>
        <w:rPr>
          <w:rFonts w:hint="eastAsia" w:ascii="仿宋_GB2312" w:hAnsi="宋体"/>
          <w:szCs w:val="32"/>
          <w:lang w:eastAsia="zh-CN"/>
        </w:rPr>
        <w:t>政府</w:t>
      </w:r>
      <w:r>
        <w:rPr>
          <w:rFonts w:hint="eastAsia" w:ascii="仿宋_GB2312" w:hAnsi="宋体"/>
          <w:szCs w:val="32"/>
        </w:rPr>
        <w:t>集中采购2012.58万元，占政府采购98.15，同比增加706.08万元，增长54.04%；分散采购38万元，占政府采购1.85%，同比减少232万元，下降85.92%。</w:t>
      </w:r>
    </w:p>
    <w:p>
      <w:pPr>
        <w:tabs>
          <w:tab w:val="center" w:pos="4475"/>
        </w:tabs>
        <w:spacing w:line="600" w:lineRule="exact"/>
        <w:ind w:firstLine="645"/>
        <w:rPr>
          <w:rFonts w:hint="eastAsia" w:ascii="仿宋_GB2312" w:hAnsi="宋体"/>
          <w:szCs w:val="32"/>
          <w:lang w:val="en-US" w:eastAsia="zh-CN"/>
        </w:rPr>
      </w:pPr>
      <w:r>
        <w:rPr>
          <w:rFonts w:hint="eastAsia" w:ascii="仿宋_GB2312" w:hAnsi="宋体"/>
          <w:szCs w:val="32"/>
          <w:lang w:eastAsia="zh-CN"/>
        </w:rPr>
        <w:t>政府采购资金类型：一般公共预算拨款</w:t>
      </w:r>
      <w:r>
        <w:rPr>
          <w:rFonts w:hint="eastAsia" w:ascii="仿宋_GB2312" w:hAnsi="宋体"/>
          <w:szCs w:val="32"/>
          <w:lang w:val="en-US" w:eastAsia="zh-CN"/>
        </w:rPr>
        <w:t>232.7</w:t>
      </w:r>
      <w:r>
        <w:rPr>
          <w:rFonts w:hint="eastAsia" w:ascii="仿宋_GB2312" w:hAnsi="宋体"/>
          <w:szCs w:val="32"/>
          <w:lang w:eastAsia="zh-CN"/>
        </w:rPr>
        <w:t>万元，纳入财政专户管理的收入安排资金</w:t>
      </w:r>
      <w:r>
        <w:rPr>
          <w:rFonts w:hint="eastAsia" w:ascii="仿宋_GB2312" w:hAnsi="宋体"/>
          <w:szCs w:val="32"/>
          <w:lang w:val="en-US" w:eastAsia="zh-CN"/>
        </w:rPr>
        <w:t>1604.9万元，未纳入财政专户管理的收入安排的资金212.98万元。</w:t>
      </w:r>
    </w:p>
    <w:p>
      <w:pPr>
        <w:tabs>
          <w:tab w:val="center" w:pos="4475"/>
        </w:tabs>
        <w:spacing w:line="600" w:lineRule="exact"/>
        <w:ind w:firstLine="645"/>
        <w:rPr>
          <w:rFonts w:hint="eastAsia" w:ascii="仿宋_GB2312" w:hAnsi="宋体" w:eastAsia="仿宋_GB2312"/>
          <w:szCs w:val="32"/>
          <w:lang w:eastAsia="zh-CN"/>
        </w:rPr>
      </w:pPr>
      <w:r>
        <w:rPr>
          <w:rFonts w:hint="eastAsia" w:ascii="仿宋_GB2312" w:hAnsi="宋体"/>
          <w:szCs w:val="32"/>
          <w:lang w:eastAsia="zh-CN"/>
        </w:rPr>
        <w:t>按政府采购项目类型分为货物类采购、工程类采购和服务类采购三种类型。货物类采购预算</w:t>
      </w:r>
      <w:r>
        <w:rPr>
          <w:rFonts w:hint="eastAsia" w:ascii="仿宋_GB2312" w:hAnsi="宋体"/>
          <w:szCs w:val="32"/>
          <w:lang w:val="en-US" w:eastAsia="zh-CN"/>
        </w:rPr>
        <w:t>1560.78</w:t>
      </w:r>
      <w:r>
        <w:rPr>
          <w:rFonts w:hint="eastAsia" w:ascii="仿宋_GB2312" w:hAnsi="宋体"/>
          <w:szCs w:val="32"/>
          <w:lang w:eastAsia="zh-CN"/>
        </w:rPr>
        <w:t>万元，工程类采购预算</w:t>
      </w:r>
      <w:r>
        <w:rPr>
          <w:rFonts w:hint="eastAsia" w:ascii="仿宋_GB2312" w:hAnsi="宋体"/>
          <w:szCs w:val="32"/>
          <w:lang w:val="en-US" w:eastAsia="zh-CN"/>
        </w:rPr>
        <w:t>34</w:t>
      </w:r>
      <w:r>
        <w:rPr>
          <w:rFonts w:hint="eastAsia" w:ascii="仿宋_GB2312" w:hAnsi="宋体"/>
          <w:szCs w:val="32"/>
          <w:lang w:eastAsia="zh-CN"/>
        </w:rPr>
        <w:t>万元，服务类采购预算</w:t>
      </w:r>
      <w:r>
        <w:rPr>
          <w:rFonts w:hint="eastAsia" w:ascii="仿宋_GB2312" w:hAnsi="宋体"/>
          <w:szCs w:val="32"/>
          <w:lang w:val="en-US" w:eastAsia="zh-CN"/>
        </w:rPr>
        <w:t>455.8</w:t>
      </w:r>
      <w:r>
        <w:rPr>
          <w:rFonts w:hint="eastAsia" w:ascii="仿宋_GB2312" w:hAnsi="宋体"/>
          <w:szCs w:val="32"/>
          <w:lang w:eastAsia="zh-CN"/>
        </w:rPr>
        <w:t>万元。</w:t>
      </w:r>
    </w:p>
    <w:p>
      <w:pPr>
        <w:tabs>
          <w:tab w:val="center" w:pos="4475"/>
        </w:tabs>
        <w:spacing w:line="600" w:lineRule="exact"/>
        <w:ind w:firstLine="645"/>
        <w:rPr>
          <w:rFonts w:hint="eastAsia" w:ascii="黑体" w:hAnsi="Arial" w:eastAsia="黑体" w:cs="Arial"/>
          <w:kern w:val="0"/>
        </w:rPr>
      </w:pPr>
      <w:r>
        <w:rPr>
          <w:rFonts w:hint="eastAsia" w:ascii="黑体" w:hAnsi="Arial" w:eastAsia="黑体" w:cs="Arial"/>
          <w:kern w:val="0"/>
        </w:rPr>
        <w:t>（三）国有资产占用情况说明</w:t>
      </w:r>
    </w:p>
    <w:p>
      <w:pPr>
        <w:tabs>
          <w:tab w:val="center" w:pos="4475"/>
        </w:tabs>
        <w:spacing w:line="600" w:lineRule="exact"/>
        <w:ind w:firstLine="645"/>
        <w:rPr>
          <w:rFonts w:hint="eastAsia" w:ascii="黑体" w:hAnsi="Arial" w:eastAsia="黑体" w:cs="Arial"/>
          <w:kern w:val="0"/>
        </w:rPr>
      </w:pPr>
      <w:r>
        <w:rPr>
          <w:rFonts w:hint="eastAsia" w:ascii="仿宋_GB2312" w:hAnsi="宋体"/>
          <w:szCs w:val="32"/>
        </w:rPr>
        <w:t>2018年原安监局车辆编制共24辆，编内车辆实有数20辆，其中：局本级领导工作用车2辆；机要通信和应急用车3辆，老干部服务车2辆，行政执法用车2辆，机关服务中心老干部服务用车1辆，广西第一工业学校公务用车5辆，广西动力技校公务用车2辆，广西安全生产职业培训中心公务用车1辆，广西安全工程职业技术学院公务用车2辆。</w:t>
      </w:r>
    </w:p>
    <w:p>
      <w:pPr>
        <w:tabs>
          <w:tab w:val="center" w:pos="4475"/>
        </w:tabs>
        <w:spacing w:line="600" w:lineRule="exact"/>
        <w:ind w:firstLine="645"/>
        <w:rPr>
          <w:rFonts w:hint="eastAsia" w:ascii="黑体" w:eastAsia="黑体"/>
          <w:szCs w:val="32"/>
        </w:rPr>
      </w:pPr>
      <w:r>
        <w:rPr>
          <w:rFonts w:hint="eastAsia" w:ascii="黑体" w:eastAsia="黑体"/>
          <w:szCs w:val="32"/>
        </w:rPr>
        <w:t>（四）重点项目预算绩效目标等情况说明</w:t>
      </w:r>
    </w:p>
    <w:p>
      <w:pPr>
        <w:tabs>
          <w:tab w:val="center" w:pos="4475"/>
        </w:tabs>
        <w:spacing w:line="600" w:lineRule="exact"/>
        <w:ind w:firstLine="645"/>
        <w:rPr>
          <w:rFonts w:hint="eastAsia" w:ascii="仿宋_GB2312" w:hAnsi="宋体"/>
          <w:szCs w:val="32"/>
        </w:rPr>
      </w:pPr>
      <w:r>
        <w:rPr>
          <w:rFonts w:hint="eastAsia" w:ascii="仿宋_GB2312" w:hAnsi="宋体"/>
          <w:szCs w:val="32"/>
        </w:rPr>
        <w:t>根据部门预算编制要求,我厅需编制预算绩效管理目标的项目有1个,为自治区本级预算内补助市县项目。预算资金为3500万元,其中：720万元用于烟爆结构调整，2780万元用于14个市县安全生产隐患治理补助。年度绩效目标一是逐年降低我区安全生产事故发生率，坚决遏制重、特大安全生产事故发生，确保人民群众生命及财产安全，减少生产企业因事故发生造成的经济损失，提高社会效益和经济效益。二是实现烟花爆竹安全生产状况根本好转。</w:t>
      </w:r>
    </w:p>
    <w:p>
      <w:pPr>
        <w:tabs>
          <w:tab w:val="center" w:pos="4475"/>
        </w:tabs>
        <w:spacing w:line="600" w:lineRule="exact"/>
        <w:ind w:firstLine="645"/>
        <w:rPr>
          <w:rFonts w:hint="eastAsia" w:ascii="黑体" w:eastAsia="黑体"/>
          <w:szCs w:val="32"/>
        </w:rPr>
      </w:pPr>
      <w:r>
        <w:rPr>
          <w:rFonts w:hint="eastAsia" w:ascii="黑体" w:eastAsia="黑体"/>
          <w:szCs w:val="32"/>
        </w:rPr>
        <w:t>第三部分：名词解释</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1、财政拨款收入：指自治区财政部门当年拨付的资金。</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2、事业收入：指事业单位开展专业业务活动及辅助活动所取得的收入。</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3、经营收入：指事业单位在专业业务活动及其辅助活动之外开展非独立核算经营活动取得的收入。</w:t>
      </w:r>
    </w:p>
    <w:p>
      <w:pPr>
        <w:tabs>
          <w:tab w:val="center" w:pos="4475"/>
        </w:tabs>
        <w:snapToGrid w:val="0"/>
        <w:spacing w:line="600" w:lineRule="exact"/>
        <w:ind w:firstLine="640" w:firstLineChars="200"/>
        <w:rPr>
          <w:rFonts w:hint="eastAsia" w:ascii="仿宋_GB2312" w:hAnsi="宋体"/>
          <w:szCs w:val="32"/>
          <w:lang w:eastAsia="zh-CN"/>
        </w:rPr>
      </w:pPr>
      <w:r>
        <w:rPr>
          <w:rFonts w:hint="eastAsia" w:ascii="仿宋_GB2312" w:hAnsi="宋体"/>
          <w:szCs w:val="32"/>
        </w:rPr>
        <w:t>4、其他收入：指除上述“财政拨款收入”、“事业收入”、“经营收入”等以外的收入</w:t>
      </w:r>
      <w:r>
        <w:rPr>
          <w:rFonts w:hint="eastAsia" w:ascii="仿宋_GB2312" w:hAnsi="宋体"/>
          <w:szCs w:val="32"/>
          <w:lang w:eastAsia="zh-CN"/>
        </w:rPr>
        <w:t>。</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6、年初结转和结余：指以前年度尚未完成、结转到本年 按有关规定继续使用的资金。</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7、结余分配：指事业单位按规定提取的职工福利基金、事业基金和缴纳的所得税，以及建设单位按规定应交回的基本建设竣工项目结余资金。</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8、年末结转和结余：指本年度或以前年度预算安排、因客观条件发生变化无法按原计划实施，需要延迟到以后年度按有关规定继续使用的资金。</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9、基本支出：指为保障机构正常运转、完成日常工作任务而发生的人员支出和公用支出。</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10、项目支出：指在基本支出之外为完成特定行政任务和事业发展目标所发生的支出。</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11、经营支出：指事业单位在专业业务活动及其辅助活动之外开展非独立核算经营活动发生的支出。</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12、“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14、危险化学品：是指具有毒害、腐蚀、爆炸、燃烧、助燃等性质，对人体、设施、环境具有危害的剧毒化学品和其他化学品。</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15、安全生产许可证：矿山企业、建筑施工企业和危险化学品、烟花爆竹、民用爆炸物品生产企业必备的一个证件，它和企业资质联系在一块，取得建筑施工资质证书的企业，必须申请安全生产许可证，方可进行招投工作来接相应工程。它们是有机整体。</w:t>
      </w:r>
    </w:p>
    <w:p>
      <w:pPr>
        <w:tabs>
          <w:tab w:val="center" w:pos="4475"/>
        </w:tabs>
        <w:snapToGrid w:val="0"/>
        <w:spacing w:line="600" w:lineRule="exact"/>
        <w:ind w:firstLine="640" w:firstLineChars="200"/>
        <w:rPr>
          <w:rFonts w:hint="eastAsia" w:ascii="仿宋_GB2312" w:hAnsi="宋体"/>
          <w:szCs w:val="32"/>
        </w:rPr>
      </w:pPr>
      <w:r>
        <w:rPr>
          <w:rFonts w:hint="eastAsia" w:ascii="仿宋_GB2312" w:hAnsi="宋体"/>
          <w:szCs w:val="32"/>
        </w:rPr>
        <w:t>16、职业安全卫生：是安全科学研究的主要领域之一，通常是指影响作业场所内员工、临时工、合同工、外来人员和其他人员安全与健康的条件和因素。</w:t>
      </w:r>
    </w:p>
    <w:p>
      <w:pPr>
        <w:tabs>
          <w:tab w:val="center" w:pos="4475"/>
        </w:tabs>
        <w:snapToGrid w:val="0"/>
        <w:spacing w:line="600" w:lineRule="exact"/>
        <w:ind w:firstLine="640" w:firstLineChars="200"/>
        <w:rPr>
          <w:rFonts w:hint="eastAsia" w:ascii="仿宋_GB2312"/>
        </w:rPr>
      </w:pPr>
      <w:r>
        <w:rPr>
          <w:rFonts w:hint="eastAsia" w:ascii="仿宋_GB2312" w:hAnsi="宋体"/>
          <w:szCs w:val="32"/>
        </w:rPr>
        <w:t>17、安全生产信息：是在劳动生产中起安全作用的信息集合。它包括很多方面，比如警示信息、上级命令等等诸多方面对安全生产工作起到影响作用的信息总称。</w:t>
      </w:r>
    </w:p>
    <w:p>
      <w:pPr>
        <w:tabs>
          <w:tab w:val="center" w:pos="4475"/>
        </w:tabs>
        <w:spacing w:line="600" w:lineRule="exact"/>
        <w:ind w:firstLine="645"/>
        <w:rPr>
          <w:rFonts w:hint="eastAsia" w:ascii="黑体" w:eastAsia="黑体"/>
          <w:szCs w:val="32"/>
        </w:rPr>
      </w:pPr>
      <w:r>
        <w:rPr>
          <w:rFonts w:hint="eastAsia" w:ascii="黑体" w:eastAsia="黑体"/>
          <w:szCs w:val="32"/>
        </w:rPr>
        <w:t>第四部分：</w:t>
      </w:r>
      <w:r>
        <w:rPr>
          <w:rFonts w:hint="eastAsia" w:ascii="黑体" w:hAnsi="宋体" w:eastAsia="黑体"/>
          <w:szCs w:val="32"/>
          <w:lang w:eastAsia="zh-CN"/>
        </w:rPr>
        <w:t>自治区应急厅</w:t>
      </w:r>
      <w:r>
        <w:rPr>
          <w:rFonts w:hint="eastAsia" w:ascii="黑体" w:hAnsi="宋体" w:eastAsia="黑体"/>
          <w:szCs w:val="32"/>
          <w:lang w:val="en-US" w:eastAsia="zh-CN"/>
        </w:rPr>
        <w:t>2019</w:t>
      </w:r>
      <w:r>
        <w:rPr>
          <w:rFonts w:hint="eastAsia" w:ascii="黑体" w:hAnsi="宋体" w:eastAsia="黑体"/>
          <w:szCs w:val="32"/>
        </w:rPr>
        <w:t>年</w:t>
      </w:r>
      <w:r>
        <w:rPr>
          <w:rFonts w:hint="eastAsia" w:ascii="黑体" w:eastAsia="黑体"/>
          <w:szCs w:val="32"/>
        </w:rPr>
        <w:t>部门预算报表</w:t>
      </w:r>
    </w:p>
    <w:p>
      <w:pPr>
        <w:tabs>
          <w:tab w:val="center" w:pos="4475"/>
        </w:tabs>
        <w:spacing w:line="600" w:lineRule="exact"/>
        <w:ind w:firstLine="645"/>
        <w:rPr>
          <w:rFonts w:hint="eastAsia" w:ascii="仿宋_GB2312" w:hAnsi="宋体"/>
          <w:szCs w:val="32"/>
        </w:rPr>
      </w:pPr>
      <w:r>
        <w:rPr>
          <w:rFonts w:hint="eastAsia" w:ascii="仿宋_GB2312" w:hAnsi="宋体"/>
          <w:szCs w:val="32"/>
        </w:rPr>
        <w:t>一、部门收支总体情况表（预算公开01表）</w:t>
      </w:r>
    </w:p>
    <w:p>
      <w:pPr>
        <w:tabs>
          <w:tab w:val="center" w:pos="4475"/>
        </w:tabs>
        <w:spacing w:line="600" w:lineRule="exact"/>
        <w:ind w:firstLine="645"/>
        <w:rPr>
          <w:rFonts w:hint="eastAsia" w:ascii="仿宋_GB2312" w:hAnsi="宋体"/>
          <w:szCs w:val="32"/>
        </w:rPr>
      </w:pPr>
      <w:r>
        <w:rPr>
          <w:rFonts w:hint="eastAsia" w:ascii="仿宋_GB2312" w:hAnsi="宋体"/>
          <w:szCs w:val="32"/>
        </w:rPr>
        <w:t>二、部门收入总体情况表（预算公开02表）</w:t>
      </w:r>
    </w:p>
    <w:p>
      <w:pPr>
        <w:tabs>
          <w:tab w:val="center" w:pos="4475"/>
        </w:tabs>
        <w:spacing w:line="600" w:lineRule="exact"/>
        <w:ind w:firstLine="645"/>
        <w:rPr>
          <w:rFonts w:hint="eastAsia" w:ascii="仿宋_GB2312" w:hAnsi="宋体"/>
          <w:szCs w:val="32"/>
        </w:rPr>
      </w:pPr>
      <w:r>
        <w:rPr>
          <w:rFonts w:hint="eastAsia" w:ascii="仿宋_GB2312" w:hAnsi="宋体"/>
          <w:szCs w:val="32"/>
        </w:rPr>
        <w:t>三、部门支出总体情况表（预算公开03表）</w:t>
      </w:r>
    </w:p>
    <w:p>
      <w:pPr>
        <w:tabs>
          <w:tab w:val="center" w:pos="4475"/>
        </w:tabs>
        <w:spacing w:line="600" w:lineRule="exact"/>
        <w:ind w:firstLine="645"/>
        <w:rPr>
          <w:rFonts w:hint="eastAsia" w:ascii="仿宋_GB2312" w:hAnsi="宋体"/>
          <w:szCs w:val="32"/>
        </w:rPr>
      </w:pPr>
      <w:r>
        <w:rPr>
          <w:rFonts w:hint="eastAsia" w:ascii="仿宋_GB2312" w:hAnsi="宋体"/>
          <w:szCs w:val="32"/>
        </w:rPr>
        <w:t>四、财政拨款收支总体情况表（预算公开04表）</w:t>
      </w:r>
    </w:p>
    <w:p>
      <w:pPr>
        <w:tabs>
          <w:tab w:val="center" w:pos="4475"/>
        </w:tabs>
        <w:spacing w:line="600" w:lineRule="exact"/>
        <w:ind w:firstLine="645"/>
        <w:rPr>
          <w:rFonts w:hint="eastAsia" w:ascii="仿宋_GB2312" w:hAnsi="宋体"/>
          <w:szCs w:val="32"/>
        </w:rPr>
      </w:pPr>
      <w:r>
        <w:rPr>
          <w:rFonts w:hint="eastAsia" w:ascii="仿宋_GB2312" w:hAnsi="宋体"/>
          <w:szCs w:val="32"/>
        </w:rPr>
        <w:t>五、一般公共预算支出情况表（预算公开05表）</w:t>
      </w:r>
    </w:p>
    <w:p>
      <w:pPr>
        <w:tabs>
          <w:tab w:val="center" w:pos="4475"/>
        </w:tabs>
        <w:spacing w:line="600" w:lineRule="exact"/>
        <w:ind w:firstLine="645"/>
        <w:rPr>
          <w:rFonts w:hint="eastAsia" w:ascii="仿宋_GB2312" w:hAnsi="宋体"/>
          <w:szCs w:val="32"/>
        </w:rPr>
      </w:pPr>
      <w:r>
        <w:rPr>
          <w:rFonts w:hint="eastAsia" w:ascii="仿宋_GB2312" w:hAnsi="宋体"/>
          <w:szCs w:val="32"/>
        </w:rPr>
        <w:t>六、一般公共预算基本支出情况表（预算公开06表）</w:t>
      </w:r>
    </w:p>
    <w:p>
      <w:pPr>
        <w:tabs>
          <w:tab w:val="center" w:pos="4475"/>
        </w:tabs>
        <w:spacing w:line="600" w:lineRule="exact"/>
        <w:ind w:firstLine="645"/>
        <w:rPr>
          <w:rFonts w:hint="eastAsia" w:ascii="仿宋_GB2312" w:hAnsi="宋体"/>
          <w:szCs w:val="32"/>
        </w:rPr>
      </w:pPr>
      <w:r>
        <w:rPr>
          <w:rFonts w:hint="eastAsia" w:ascii="仿宋_GB2312" w:hAnsi="宋体"/>
          <w:szCs w:val="32"/>
        </w:rPr>
        <w:t>七、一般公共预算“三公”经费支出情况表（预算公开07表）</w:t>
      </w:r>
    </w:p>
    <w:p>
      <w:pPr>
        <w:tabs>
          <w:tab w:val="center" w:pos="4475"/>
        </w:tabs>
        <w:spacing w:line="600" w:lineRule="exact"/>
        <w:ind w:firstLine="645"/>
        <w:rPr>
          <w:rFonts w:hint="eastAsia" w:ascii="仿宋_GB2312" w:hAnsi="宋体"/>
          <w:szCs w:val="32"/>
        </w:rPr>
      </w:pPr>
      <w:r>
        <w:rPr>
          <w:rFonts w:hint="eastAsia" w:ascii="仿宋_GB2312" w:hAnsi="宋体"/>
          <w:szCs w:val="32"/>
        </w:rPr>
        <w:t>八、政府性基金预算支出情况表（预算公开08表）</w:t>
      </w:r>
    </w:p>
    <w:p>
      <w:pPr>
        <w:tabs>
          <w:tab w:val="center" w:pos="4475"/>
        </w:tabs>
        <w:spacing w:line="600" w:lineRule="exact"/>
        <w:ind w:firstLine="645"/>
        <w:rPr>
          <w:rFonts w:hint="eastAsia" w:ascii="仿宋_GB2312" w:hAnsi="宋体"/>
          <w:szCs w:val="32"/>
        </w:rPr>
      </w:pPr>
      <w:r>
        <w:rPr>
          <w:rFonts w:hint="eastAsia" w:ascii="仿宋_GB2312" w:hAnsi="宋体"/>
          <w:szCs w:val="32"/>
        </w:rPr>
        <w:t>上述报表详见附件。</w:t>
      </w:r>
    </w:p>
    <w:p>
      <w:pPr>
        <w:tabs>
          <w:tab w:val="center" w:pos="4475"/>
        </w:tabs>
        <w:spacing w:line="600" w:lineRule="exact"/>
        <w:ind w:firstLine="645"/>
        <w:rPr>
          <w:rFonts w:hint="eastAsia" w:ascii="仿宋_GB2312" w:hAnsi="宋体"/>
          <w:szCs w:val="32"/>
        </w:rPr>
      </w:pPr>
    </w:p>
    <w:p/>
    <w:sectPr>
      <w:footerReference r:id="rId3" w:type="default"/>
      <w:footerReference r:id="rId4" w:type="even"/>
      <w:pgSz w:w="11906" w:h="16838"/>
      <w:pgMar w:top="1440" w:right="1440" w:bottom="1440" w:left="1440" w:header="851" w:footer="992" w:gutter="0"/>
      <w:pgNumType w:fmt="numberInDash"/>
      <w:cols w:space="425" w:num="1"/>
      <w:docGrid w:linePitch="634" w:charSpace="-2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eastAsia="宋体"/>
        <w:sz w:val="28"/>
      </w:rPr>
    </w:pPr>
    <w:r>
      <w:rPr>
        <w:rStyle w:val="4"/>
        <w:rFonts w:eastAsia="宋体"/>
        <w:sz w:val="28"/>
      </w:rPr>
      <w:fldChar w:fldCharType="begin"/>
    </w:r>
    <w:r>
      <w:rPr>
        <w:rStyle w:val="4"/>
        <w:rFonts w:eastAsia="宋体"/>
        <w:sz w:val="28"/>
      </w:rPr>
      <w:instrText xml:space="preserve">PAGE  </w:instrText>
    </w:r>
    <w:r>
      <w:rPr>
        <w:rStyle w:val="4"/>
        <w:rFonts w:eastAsia="宋体"/>
        <w:sz w:val="28"/>
      </w:rPr>
      <w:fldChar w:fldCharType="separate"/>
    </w:r>
    <w:r>
      <w:rPr>
        <w:rStyle w:val="4"/>
        <w:rFonts w:eastAsia="宋体"/>
        <w:sz w:val="28"/>
      </w:rPr>
      <w:t>- 9 -</w:t>
    </w:r>
    <w:r>
      <w:rPr>
        <w:rStyle w:val="4"/>
        <w:rFonts w:eastAsia="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529A"/>
    <w:multiLevelType w:val="singleLevel"/>
    <w:tmpl w:val="609E529A"/>
    <w:lvl w:ilvl="0" w:tentative="0">
      <w:start w:val="3"/>
      <w:numFmt w:val="chineseCounting"/>
      <w:suff w:val="nothing"/>
      <w:lvlText w:val="%1、"/>
      <w:lvlJc w:val="left"/>
    </w:lvl>
  </w:abstractNum>
  <w:abstractNum w:abstractNumId="1">
    <w:nsid w:val="609E52E8"/>
    <w:multiLevelType w:val="singleLevel"/>
    <w:tmpl w:val="609E52E8"/>
    <w:lvl w:ilvl="0" w:tentative="0">
      <w:start w:val="1"/>
      <w:numFmt w:val="chineseCounting"/>
      <w:suff w:val="nothing"/>
      <w:lvlText w:val="（%1）"/>
      <w:lvlJc w:val="left"/>
    </w:lvl>
  </w:abstractNum>
  <w:abstractNum w:abstractNumId="2">
    <w:nsid w:val="609E5386"/>
    <w:multiLevelType w:val="singleLevel"/>
    <w:tmpl w:val="609E5386"/>
    <w:lvl w:ilvl="0" w:tentative="0">
      <w:start w:val="1"/>
      <w:numFmt w:val="decimal"/>
      <w:suff w:val="nothing"/>
      <w:lvlText w:val="%1."/>
      <w:lvlJc w:val="left"/>
    </w:lvl>
  </w:abstractNum>
  <w:abstractNum w:abstractNumId="3">
    <w:nsid w:val="609E5478"/>
    <w:multiLevelType w:val="singleLevel"/>
    <w:tmpl w:val="609E5478"/>
    <w:lvl w:ilvl="0" w:tentative="0">
      <w:start w:val="1"/>
      <w:numFmt w:val="decimal"/>
      <w:suff w:val="nothing"/>
      <w:lvlText w:val="%1."/>
      <w:lvlJc w:val="left"/>
    </w:lvl>
  </w:abstractNum>
  <w:abstractNum w:abstractNumId="4">
    <w:nsid w:val="609E5730"/>
    <w:multiLevelType w:val="singleLevel"/>
    <w:tmpl w:val="609E5730"/>
    <w:lvl w:ilvl="0" w:tentative="0">
      <w:start w:val="5"/>
      <w:numFmt w:val="chineseCounting"/>
      <w:suff w:val="nothing"/>
      <w:lvlText w:val="%1、"/>
      <w:lvlJc w:val="left"/>
    </w:lvl>
  </w:abstractNum>
  <w:abstractNum w:abstractNumId="5">
    <w:nsid w:val="609E5D5D"/>
    <w:multiLevelType w:val="singleLevel"/>
    <w:tmpl w:val="609E5D5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F4094"/>
    <w:rsid w:val="030C461D"/>
    <w:rsid w:val="4B9F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2021-05-14T10:09:00Z</dcterms:created>
  <dc:creator>思斯</dc:creator>
  <cp:lastModifiedBy>NTKO</cp:lastModifiedBy>
  <dcterms:modified xsi:type="dcterms:W3CDTF">2021-05-25T03:05:29Z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