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_GBK" w:hAnsi="方正小标宋_GBK" w:eastAsia="方正小标宋_GBK"/>
          <w:b w:val="0"/>
          <w:bCs w:val="0"/>
          <w:color w:val="auto"/>
          <w:sz w:val="30"/>
        </w:rPr>
      </w:pPr>
      <w:bookmarkStart w:id="1" w:name="_GoBack"/>
      <w:bookmarkStart w:id="0" w:name="_Toc24724725"/>
      <w:r>
        <w:rPr>
          <w:rFonts w:hint="eastAsia" w:ascii="方正小标宋_GBK" w:hAnsi="方正小标宋_GBK" w:eastAsia="方正小标宋_GBK"/>
          <w:b w:val="0"/>
          <w:bCs w:val="0"/>
          <w:color w:val="auto"/>
          <w:sz w:val="30"/>
          <w:lang w:eastAsia="zh-CN"/>
        </w:rPr>
        <w:t>乐业县应急管理局</w:t>
      </w:r>
      <w:r>
        <w:rPr>
          <w:rFonts w:hint="eastAsia" w:ascii="方正小标宋_GBK" w:hAnsi="方正小标宋_GBK" w:eastAsia="方正小标宋_GBK"/>
          <w:b w:val="0"/>
          <w:bCs w:val="0"/>
          <w:color w:val="auto"/>
          <w:sz w:val="30"/>
        </w:rPr>
        <w:t>安全生产领域基层政务公开标准目录</w:t>
      </w:r>
      <w:bookmarkEnd w:id="1"/>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980" w:type="dxa"/>
            <w:gridSpan w:val="2"/>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公开事项</w:t>
            </w:r>
          </w:p>
        </w:tc>
        <w:tc>
          <w:tcPr>
            <w:tcW w:w="2520" w:type="dxa"/>
            <w:vMerge w:val="restart"/>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20" w:type="dxa"/>
            <w:vMerge w:val="restart"/>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公开依据</w:t>
            </w:r>
          </w:p>
        </w:tc>
        <w:tc>
          <w:tcPr>
            <w:tcW w:w="1800" w:type="dxa"/>
            <w:vMerge w:val="restart"/>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公开时限</w:t>
            </w:r>
          </w:p>
        </w:tc>
        <w:tc>
          <w:tcPr>
            <w:tcW w:w="900" w:type="dxa"/>
            <w:vMerge w:val="restart"/>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384" w:type="dxa"/>
            <w:gridSpan w:val="2"/>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公开对象</w:t>
            </w:r>
          </w:p>
        </w:tc>
        <w:tc>
          <w:tcPr>
            <w:tcW w:w="1440" w:type="dxa"/>
            <w:gridSpan w:val="2"/>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公开方式</w:t>
            </w:r>
          </w:p>
        </w:tc>
        <w:tc>
          <w:tcPr>
            <w:tcW w:w="1080" w:type="dxa"/>
            <w:gridSpan w:val="2"/>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color w:val="auto"/>
                <w:kern w:val="0"/>
                <w:sz w:val="18"/>
                <w:szCs w:val="18"/>
              </w:rPr>
            </w:pPr>
          </w:p>
        </w:tc>
        <w:tc>
          <w:tcPr>
            <w:tcW w:w="900" w:type="dxa"/>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二级事项</w:t>
            </w:r>
          </w:p>
        </w:tc>
        <w:tc>
          <w:tcPr>
            <w:tcW w:w="2520" w:type="dxa"/>
            <w:vMerge w:val="continue"/>
            <w:noWrap w:val="0"/>
            <w:vAlign w:val="center"/>
          </w:tcPr>
          <w:p>
            <w:pPr>
              <w:widowControl/>
              <w:jc w:val="left"/>
              <w:rPr>
                <w:rFonts w:hint="eastAsia" w:ascii="黑体" w:hAnsi="宋体" w:eastAsia="黑体" w:cs="宋体"/>
                <w:color w:val="auto"/>
                <w:kern w:val="0"/>
                <w:sz w:val="22"/>
              </w:rPr>
            </w:pPr>
          </w:p>
        </w:tc>
        <w:tc>
          <w:tcPr>
            <w:tcW w:w="2520" w:type="dxa"/>
            <w:vMerge w:val="continue"/>
            <w:noWrap w:val="0"/>
            <w:vAlign w:val="center"/>
          </w:tcPr>
          <w:p>
            <w:pPr>
              <w:widowControl/>
              <w:jc w:val="left"/>
              <w:rPr>
                <w:rFonts w:hint="eastAsia" w:ascii="黑体" w:hAnsi="宋体" w:eastAsia="黑体" w:cs="宋体"/>
                <w:color w:val="auto"/>
                <w:kern w:val="0"/>
                <w:sz w:val="22"/>
              </w:rPr>
            </w:pPr>
          </w:p>
        </w:tc>
        <w:tc>
          <w:tcPr>
            <w:tcW w:w="1800" w:type="dxa"/>
            <w:vMerge w:val="continue"/>
            <w:noWrap w:val="0"/>
            <w:vAlign w:val="center"/>
          </w:tcPr>
          <w:p>
            <w:pPr>
              <w:widowControl/>
              <w:jc w:val="left"/>
              <w:rPr>
                <w:rFonts w:hint="eastAsia" w:ascii="黑体" w:hAnsi="宋体" w:eastAsia="黑体" w:cs="宋体"/>
                <w:color w:val="auto"/>
                <w:kern w:val="0"/>
                <w:sz w:val="22"/>
              </w:rPr>
            </w:pPr>
          </w:p>
        </w:tc>
        <w:tc>
          <w:tcPr>
            <w:tcW w:w="900" w:type="dxa"/>
            <w:vMerge w:val="continue"/>
            <w:noWrap w:val="0"/>
            <w:vAlign w:val="center"/>
          </w:tcPr>
          <w:p>
            <w:pPr>
              <w:widowControl/>
              <w:jc w:val="center"/>
              <w:rPr>
                <w:rFonts w:hint="eastAsia" w:ascii="黑体" w:hAnsi="宋体" w:eastAsia="黑体" w:cs="宋体"/>
                <w:color w:val="auto"/>
                <w:kern w:val="0"/>
                <w:sz w:val="22"/>
              </w:rPr>
            </w:pPr>
          </w:p>
        </w:tc>
        <w:tc>
          <w:tcPr>
            <w:tcW w:w="1496" w:type="dxa"/>
            <w:vMerge w:val="continue"/>
            <w:noWrap w:val="0"/>
            <w:vAlign w:val="center"/>
          </w:tcPr>
          <w:p>
            <w:pPr>
              <w:widowControl/>
              <w:jc w:val="left"/>
              <w:rPr>
                <w:rFonts w:hint="eastAsia" w:ascii="黑体" w:hAnsi="宋体" w:eastAsia="黑体" w:cs="宋体"/>
                <w:color w:val="auto"/>
                <w:kern w:val="0"/>
                <w:sz w:val="22"/>
              </w:rPr>
            </w:pPr>
          </w:p>
        </w:tc>
        <w:tc>
          <w:tcPr>
            <w:tcW w:w="664" w:type="dxa"/>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特定群众</w:t>
            </w:r>
          </w:p>
        </w:tc>
        <w:tc>
          <w:tcPr>
            <w:tcW w:w="720" w:type="dxa"/>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县级</w:t>
            </w:r>
          </w:p>
        </w:tc>
        <w:tc>
          <w:tcPr>
            <w:tcW w:w="540" w:type="dxa"/>
            <w:noWrap w:val="0"/>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w:t>
            </w:r>
          </w:p>
        </w:tc>
        <w:tc>
          <w:tcPr>
            <w:tcW w:w="900" w:type="dxa"/>
            <w:vMerge w:val="restart"/>
            <w:noWrap w:val="0"/>
            <w:vAlign w:val="center"/>
          </w:tcPr>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法律法规</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与安全生产有关的法律、法规</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noWrap w:val="0"/>
            <w:vAlign w:val="center"/>
          </w:tcPr>
          <w:p>
            <w:pPr>
              <w:spacing w:line="240" w:lineRule="exact"/>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restart"/>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2</w:t>
            </w:r>
          </w:p>
        </w:tc>
        <w:tc>
          <w:tcPr>
            <w:tcW w:w="900" w:type="dxa"/>
            <w:vMerge w:val="continue"/>
            <w:noWrap w:val="0"/>
            <w:vAlign w:val="center"/>
          </w:tcPr>
          <w:p>
            <w:pPr>
              <w:spacing w:line="240" w:lineRule="exact"/>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部门和地方规章</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与安全生产有关的部门和地方规章</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noWrap w:val="0"/>
            <w:vAlign w:val="center"/>
          </w:tcPr>
          <w:p>
            <w:pPr>
              <w:spacing w:line="240" w:lineRule="exact"/>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continue"/>
            <w:noWrap w:val="0"/>
            <w:vAlign w:val="center"/>
          </w:tcPr>
          <w:p>
            <w:pPr>
              <w:spacing w:line="240" w:lineRule="exact"/>
              <w:jc w:val="left"/>
              <w:rPr>
                <w:rFonts w:hint="eastAsia" w:ascii="仿宋_GB2312" w:eastAsia="仿宋_GB2312"/>
                <w:color w:val="auto"/>
                <w:sz w:val="18"/>
                <w:szCs w:val="18"/>
              </w:rPr>
            </w:pP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3</w:t>
            </w:r>
          </w:p>
        </w:tc>
        <w:tc>
          <w:tcPr>
            <w:tcW w:w="900" w:type="dxa"/>
            <w:vMerge w:val="continue"/>
            <w:noWrap w:val="0"/>
            <w:vAlign w:val="center"/>
          </w:tcPr>
          <w:p>
            <w:pPr>
              <w:spacing w:line="240" w:lineRule="exact"/>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其他政策文件</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其他可以公开的与安全生产有关的政策文件，包括改革方案、发展规划、专项规划、工作计划等</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noWrap w:val="0"/>
            <w:vAlign w:val="center"/>
          </w:tcPr>
          <w:p>
            <w:pPr>
              <w:spacing w:line="240" w:lineRule="exact"/>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continue"/>
            <w:noWrap w:val="0"/>
            <w:vAlign w:val="center"/>
          </w:tcPr>
          <w:p>
            <w:pPr>
              <w:spacing w:line="240" w:lineRule="exact"/>
              <w:jc w:val="left"/>
              <w:rPr>
                <w:rFonts w:hint="eastAsia" w:ascii="仿宋_GB2312" w:eastAsia="仿宋_GB2312"/>
                <w:color w:val="auto"/>
                <w:sz w:val="18"/>
                <w:szCs w:val="18"/>
              </w:rPr>
            </w:pP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4</w:t>
            </w:r>
          </w:p>
        </w:tc>
        <w:tc>
          <w:tcPr>
            <w:tcW w:w="900" w:type="dxa"/>
            <w:vMerge w:val="continue"/>
            <w:noWrap w:val="0"/>
            <w:vAlign w:val="center"/>
          </w:tcPr>
          <w:p>
            <w:pPr>
              <w:spacing w:line="240" w:lineRule="exact"/>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标准</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安全生产领域有关的国家标准、行业标准、地方标准等</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noWrap w:val="0"/>
            <w:vAlign w:val="center"/>
          </w:tcPr>
          <w:p>
            <w:pPr>
              <w:spacing w:line="240" w:lineRule="exact"/>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continue"/>
            <w:noWrap w:val="0"/>
            <w:vAlign w:val="center"/>
          </w:tcPr>
          <w:p>
            <w:pPr>
              <w:spacing w:line="240" w:lineRule="exact"/>
              <w:jc w:val="left"/>
              <w:rPr>
                <w:rFonts w:hint="eastAsia" w:ascii="仿宋_GB2312" w:eastAsia="仿宋_GB2312"/>
                <w:color w:val="auto"/>
                <w:sz w:val="18"/>
                <w:szCs w:val="18"/>
              </w:rPr>
            </w:pP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5</w:t>
            </w:r>
          </w:p>
        </w:tc>
        <w:tc>
          <w:tcPr>
            <w:tcW w:w="900" w:type="dxa"/>
            <w:vMerge w:val="continue"/>
            <w:noWrap w:val="0"/>
            <w:vAlign w:val="center"/>
          </w:tcPr>
          <w:p>
            <w:pPr>
              <w:spacing w:line="240" w:lineRule="exact"/>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重大决策草案</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涉及管理相对人切身利益、需社会广泛知晓的重要改革方案等重大决策，决策前向社会公开决策草案、决策依据</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《政府信息公开条例》、《关于全面推进政务公开工作的意见》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noWrap w:val="0"/>
            <w:vAlign w:val="center"/>
          </w:tcPr>
          <w:p>
            <w:pPr>
              <w:spacing w:line="240" w:lineRule="exact"/>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 xml:space="preserve">■政府网站     ■公开查阅点 </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6</w:t>
            </w:r>
          </w:p>
        </w:tc>
        <w:tc>
          <w:tcPr>
            <w:tcW w:w="900" w:type="dxa"/>
            <w:vMerge w:val="restart"/>
            <w:noWrap w:val="0"/>
            <w:vAlign w:val="center"/>
          </w:tcPr>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重大政策解读及回应</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有关重大政策的解读与回应，安全生产相关热点问题的解读与回应</w:t>
            </w:r>
          </w:p>
        </w:tc>
        <w:tc>
          <w:tcPr>
            <w:tcW w:w="2520" w:type="dxa"/>
            <w:noWrap w:val="0"/>
            <w:vAlign w:val="top"/>
          </w:tcPr>
          <w:p>
            <w:pPr>
              <w:spacing w:line="240" w:lineRule="exact"/>
              <w:rPr>
                <w:color w:val="auto"/>
              </w:rPr>
            </w:pPr>
            <w:r>
              <w:rPr>
                <w:rFonts w:hint="eastAsia" w:ascii="仿宋_GB2312" w:eastAsia="仿宋_GB2312"/>
                <w:bCs/>
                <w:color w:val="auto"/>
                <w:sz w:val="18"/>
                <w:szCs w:val="18"/>
              </w:rPr>
              <w:t>《政府信息公开条例》、《关于全面推进政务公开工作的意见》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重大决策作出后及时公开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jc w:val="left"/>
              <w:rPr>
                <w:rFonts w:hint="eastAsia" w:ascii="仿宋_GB2312" w:eastAsia="仿宋_GB2312"/>
                <w:color w:val="auto"/>
                <w:sz w:val="18"/>
                <w:szCs w:val="18"/>
                <w:lang w:eastAsia="zh-CN"/>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 ■政务服务中</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7</w:t>
            </w:r>
          </w:p>
        </w:tc>
        <w:tc>
          <w:tcPr>
            <w:tcW w:w="900" w:type="dxa"/>
            <w:vMerge w:val="continue"/>
            <w:noWrap w:val="0"/>
            <w:vAlign w:val="center"/>
          </w:tcPr>
          <w:p>
            <w:pPr>
              <w:spacing w:line="240" w:lineRule="exact"/>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重要会议</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通过会议讨论作出重要改革方案等重大决策时，经党组研究认为有必要公开讨论决策过程的会议</w:t>
            </w:r>
          </w:p>
        </w:tc>
        <w:tc>
          <w:tcPr>
            <w:tcW w:w="2520" w:type="dxa"/>
            <w:noWrap w:val="0"/>
            <w:vAlign w:val="top"/>
          </w:tcPr>
          <w:p>
            <w:pPr>
              <w:spacing w:line="240" w:lineRule="exact"/>
              <w:rPr>
                <w:color w:val="auto"/>
              </w:rPr>
            </w:pPr>
            <w:r>
              <w:rPr>
                <w:rFonts w:hint="eastAsia" w:ascii="仿宋_GB2312" w:eastAsia="仿宋_GB2312"/>
                <w:bCs/>
                <w:color w:val="auto"/>
                <w:sz w:val="18"/>
                <w:szCs w:val="18"/>
              </w:rPr>
              <w:t>《政府信息公开条例》、《关于全面推进政务公开工作的意见》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提前一周发通知邀请</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■便民服务站</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8</w:t>
            </w:r>
          </w:p>
        </w:tc>
        <w:tc>
          <w:tcPr>
            <w:tcW w:w="900" w:type="dxa"/>
            <w:vMerge w:val="continue"/>
            <w:noWrap w:val="0"/>
            <w:vAlign w:val="center"/>
          </w:tcPr>
          <w:p>
            <w:pPr>
              <w:spacing w:line="240" w:lineRule="exact"/>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征集采纳社会公众意见情况</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重大决策草案公布后征集到的社会公众意见情况、采纳与否情况及理由等</w:t>
            </w:r>
          </w:p>
        </w:tc>
        <w:tc>
          <w:tcPr>
            <w:tcW w:w="2520" w:type="dxa"/>
            <w:noWrap w:val="0"/>
            <w:vAlign w:val="top"/>
          </w:tcPr>
          <w:p>
            <w:pPr>
              <w:spacing w:line="240" w:lineRule="exact"/>
              <w:rPr>
                <w:color w:val="auto"/>
              </w:rPr>
            </w:pPr>
            <w:r>
              <w:rPr>
                <w:rFonts w:hint="eastAsia" w:ascii="仿宋_GB2312" w:eastAsia="仿宋_GB2312"/>
                <w:bCs/>
                <w:color w:val="auto"/>
                <w:sz w:val="18"/>
                <w:szCs w:val="18"/>
              </w:rPr>
              <w:t>《政府信息公开条例》、《关于全面推进政务公开工作的意见》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征求意见时对外公布的时限内公开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■公开查阅点 </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9</w:t>
            </w:r>
          </w:p>
        </w:tc>
        <w:tc>
          <w:tcPr>
            <w:tcW w:w="900" w:type="dxa"/>
            <w:vMerge w:val="restart"/>
            <w:noWrap w:val="0"/>
            <w:vAlign w:val="center"/>
          </w:tcPr>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依法</w:t>
            </w:r>
          </w:p>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行政</w:t>
            </w: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行政许可</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办理行政许可和其他对外管理服务事项的依据、条件、程序</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10</w:t>
            </w:r>
          </w:p>
        </w:tc>
        <w:tc>
          <w:tcPr>
            <w:tcW w:w="900" w:type="dxa"/>
            <w:vMerge w:val="continue"/>
            <w:noWrap w:val="0"/>
            <w:vAlign w:val="center"/>
          </w:tcPr>
          <w:p>
            <w:pPr>
              <w:spacing w:line="240" w:lineRule="exact"/>
              <w:jc w:val="cente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行政处罚</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办理行政处罚的依据、条件、程序以及本级行政机关认为具有一定社会影响的行政处罚决定</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11</w:t>
            </w:r>
          </w:p>
        </w:tc>
        <w:tc>
          <w:tcPr>
            <w:tcW w:w="900" w:type="dxa"/>
            <w:vMerge w:val="continue"/>
            <w:noWrap w:val="0"/>
            <w:vAlign w:val="center"/>
          </w:tcPr>
          <w:p>
            <w:pPr>
              <w:spacing w:line="240" w:lineRule="exact"/>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行政强制</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办理行政强制的依据、条件、程序</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《政府信息公开条例》、《突发事件应对法》、《突发事件应急预案管理办法》、《中共中央 国务院关于推进安全生产领域改革发展的意见》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12</w:t>
            </w:r>
          </w:p>
        </w:tc>
        <w:tc>
          <w:tcPr>
            <w:tcW w:w="900" w:type="dxa"/>
            <w:noWrap w:val="0"/>
            <w:vAlign w:val="center"/>
          </w:tcPr>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隐患管理</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重大隐患排查、挂牌督办及其整改情况，安全生产举报电话等</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《安全生产法》、《政府信息公开条例》、《中共中央 国务院关于推进安全生产领域改革发展的意见》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■广播电视   ■公开查阅点</w:t>
            </w:r>
          </w:p>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■公示栏</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13</w:t>
            </w:r>
          </w:p>
        </w:tc>
        <w:tc>
          <w:tcPr>
            <w:tcW w:w="900" w:type="dxa"/>
            <w:vMerge w:val="restart"/>
            <w:noWrap w:val="0"/>
            <w:vAlign w:val="center"/>
          </w:tcPr>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xml:space="preserve">承担处置主责、非敏感的应急信息，包括事故灾害类预警信息、事故信息、事故后采取的应急处置措施和应对结果等  </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《政府信息公开条例》、《突发事件应对法》、《关于全面加强政务公开工作的意见》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r>
              <w:rPr>
                <w:rFonts w:hint="eastAsia" w:ascii="仿宋_GB2312" w:eastAsia="仿宋_GB2312"/>
                <w:color w:val="auto"/>
                <w:sz w:val="18"/>
                <w:szCs w:val="18"/>
              </w:rPr>
              <w:br w:type="textWrapping"/>
            </w:r>
            <w:r>
              <w:rPr>
                <w:rFonts w:hint="eastAsia" w:ascii="仿宋_GB2312" w:eastAsia="仿宋_GB2312"/>
                <w:color w:val="auto"/>
                <w:sz w:val="18"/>
                <w:szCs w:val="18"/>
              </w:rPr>
              <w:t>■便民服务站</w:t>
            </w:r>
          </w:p>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■公示栏</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14</w:t>
            </w:r>
          </w:p>
        </w:tc>
        <w:tc>
          <w:tcPr>
            <w:tcW w:w="900" w:type="dxa"/>
            <w:vMerge w:val="continue"/>
            <w:noWrap w:val="0"/>
            <w:vAlign w:val="center"/>
          </w:tcPr>
          <w:p>
            <w:pPr>
              <w:spacing w:line="240" w:lineRule="exact"/>
              <w:jc w:val="cente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黑名单管理</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列入或撤销纳入安全生产黑名单管理的企业信息，具体企业名称、证照编号、经营地址、负责人姓名等</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《政府信息公开条例》、《社会信用体系建设规划纲要（2014-2020年）》</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r>
              <w:rPr>
                <w:rFonts w:hint="eastAsia" w:ascii="仿宋_GB2312" w:eastAsia="仿宋_GB2312"/>
                <w:color w:val="auto"/>
                <w:sz w:val="18"/>
                <w:szCs w:val="18"/>
              </w:rPr>
              <w:br w:type="textWrapping"/>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15</w:t>
            </w:r>
          </w:p>
        </w:tc>
        <w:tc>
          <w:tcPr>
            <w:tcW w:w="900" w:type="dxa"/>
            <w:vMerge w:val="continue"/>
            <w:noWrap w:val="0"/>
            <w:vAlign w:val="center"/>
          </w:tcPr>
          <w:p>
            <w:pPr>
              <w:spacing w:line="240" w:lineRule="exact"/>
              <w:jc w:val="cente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事故通报</w:t>
            </w:r>
          </w:p>
        </w:tc>
        <w:tc>
          <w:tcPr>
            <w:tcW w:w="2520" w:type="dxa"/>
            <w:noWrap w:val="0"/>
            <w:vAlign w:val="center"/>
          </w:tcPr>
          <w:p>
            <w:pPr>
              <w:spacing w:line="240" w:lineRule="exact"/>
              <w:jc w:val="left"/>
              <w:rPr>
                <w:rFonts w:hint="eastAsia" w:ascii="仿宋_GB2312" w:hAnsi="宋体" w:eastAsia="仿宋_GB2312" w:cs="宋体"/>
                <w:bCs/>
                <w:color w:val="auto"/>
                <w:sz w:val="18"/>
                <w:szCs w:val="18"/>
              </w:rPr>
            </w:pPr>
            <w:r>
              <w:rPr>
                <w:rFonts w:hint="eastAsia" w:ascii="仿宋_GB2312" w:eastAsia="仿宋_GB2312"/>
                <w:bCs/>
                <w:color w:val="auto"/>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《安全生产法》、《政府信息公开条例》、《中共中央 国务院关于推进安全生产领域改革发展的意见》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按照中央有关要求公开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16</w:t>
            </w:r>
          </w:p>
        </w:tc>
        <w:tc>
          <w:tcPr>
            <w:tcW w:w="900" w:type="dxa"/>
            <w:vMerge w:val="continue"/>
            <w:noWrap w:val="0"/>
            <w:vAlign w:val="center"/>
          </w:tcPr>
          <w:p>
            <w:pP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动态信息</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业务工作动态、安全生产执法检查动态</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《政府信息公开条例》、《中共中央 国务院关于推进安全生产领域改革发展的意见》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■发布会</w:t>
            </w:r>
            <w:r>
              <w:rPr>
                <w:rFonts w:hint="eastAsia" w:ascii="仿宋_GB2312" w:eastAsia="仿宋_GB2312"/>
                <w:color w:val="auto"/>
                <w:sz w:val="18"/>
                <w:szCs w:val="18"/>
              </w:rPr>
              <w:br w:type="textWrapping"/>
            </w:r>
            <w:r>
              <w:rPr>
                <w:rFonts w:hint="eastAsia" w:ascii="仿宋_GB2312" w:eastAsia="仿宋_GB2312"/>
                <w:color w:val="auto"/>
                <w:sz w:val="18"/>
                <w:szCs w:val="18"/>
              </w:rPr>
              <w:t>■广播电视   ■纸质媒体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■其他</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17</w:t>
            </w:r>
          </w:p>
        </w:tc>
        <w:tc>
          <w:tcPr>
            <w:tcW w:w="90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安全生产预警提示信息</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气象及灾害预警信息            不同时段、不同领域安全生产提示信息</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《政府信息公开条例》、《中共中央 国务院关于推进安全生产领域改革发展的意见》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信息形成后及时公开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■发布会</w:t>
            </w:r>
            <w:r>
              <w:rPr>
                <w:rFonts w:hint="eastAsia" w:ascii="仿宋_GB2312" w:eastAsia="仿宋_GB2312"/>
                <w:color w:val="auto"/>
                <w:sz w:val="18"/>
                <w:szCs w:val="18"/>
              </w:rPr>
              <w:br w:type="textWrapping"/>
            </w:r>
            <w:r>
              <w:rPr>
                <w:rFonts w:hint="eastAsia" w:ascii="仿宋_GB2312" w:eastAsia="仿宋_GB2312"/>
                <w:color w:val="auto"/>
                <w:sz w:val="18"/>
                <w:szCs w:val="18"/>
              </w:rPr>
              <w:t>■广播电视   ■纸质媒体</w:t>
            </w:r>
          </w:p>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■便民服务站 ■入户/现场</w:t>
            </w:r>
            <w:r>
              <w:rPr>
                <w:rFonts w:hint="eastAsia" w:ascii="仿宋_GB2312" w:eastAsia="仿宋_GB2312"/>
                <w:color w:val="auto"/>
                <w:sz w:val="18"/>
                <w:szCs w:val="18"/>
              </w:rPr>
              <w:br w:type="textWrapping"/>
            </w:r>
            <w:r>
              <w:rPr>
                <w:rFonts w:hint="eastAsia" w:ascii="仿宋_GB2312" w:eastAsia="仿宋_GB2312"/>
                <w:color w:val="auto"/>
                <w:sz w:val="18"/>
                <w:szCs w:val="18"/>
              </w:rPr>
              <w:t>■社区/企事业单位、村公示栏（电子屏）</w:t>
            </w:r>
            <w:r>
              <w:rPr>
                <w:rFonts w:hint="eastAsia" w:ascii="仿宋_GB2312" w:eastAsia="仿宋_GB2312"/>
                <w:color w:val="auto"/>
                <w:sz w:val="18"/>
                <w:szCs w:val="18"/>
              </w:rPr>
              <w:br w:type="textWrapping"/>
            </w:r>
            <w:r>
              <w:rPr>
                <w:rFonts w:hint="eastAsia" w:ascii="仿宋_GB2312" w:eastAsia="仿宋_GB2312"/>
                <w:color w:val="auto"/>
                <w:sz w:val="18"/>
                <w:szCs w:val="18"/>
              </w:rPr>
              <w:t>■精准推送   ■其他</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18</w:t>
            </w:r>
          </w:p>
        </w:tc>
        <w:tc>
          <w:tcPr>
            <w:tcW w:w="900" w:type="dxa"/>
            <w:vMerge w:val="restart"/>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公共</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服务</w:t>
            </w: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政务公开目录</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政务公开事项的索引、名称、内容概述、生成日期等</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《政府信息公开条例》、《中共中央 国务院关于推进安全生产领域改革发展的意见》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19</w:t>
            </w:r>
          </w:p>
        </w:tc>
        <w:tc>
          <w:tcPr>
            <w:tcW w:w="900" w:type="dxa"/>
            <w:vMerge w:val="continue"/>
            <w:noWrap w:val="0"/>
            <w:vAlign w:val="center"/>
          </w:tcPr>
          <w:p>
            <w:pPr>
              <w:jc w:val="cente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政务公开标准</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政府信息公开指南等流程性信息</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20</w:t>
            </w:r>
          </w:p>
        </w:tc>
        <w:tc>
          <w:tcPr>
            <w:tcW w:w="900" w:type="dxa"/>
            <w:vMerge w:val="continue"/>
            <w:noWrap w:val="0"/>
            <w:vAlign w:val="center"/>
          </w:tcPr>
          <w:p>
            <w:pPr>
              <w:jc w:val="cente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权力清单及责任清单</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同级政府审批通过的行政执法主体信息和行政许可、行政处罚、行政强制、行政检查、行政确认、行政奖励及其他行政职权等行政执法职权职责清单</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《政府信息公开条例》、《中共中央 国务院关于推进安全生产领域改革发展的意见》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信息形成或者变更20个工作日内，如有更新，及时公开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21</w:t>
            </w:r>
          </w:p>
        </w:tc>
        <w:tc>
          <w:tcPr>
            <w:tcW w:w="900" w:type="dxa"/>
            <w:vMerge w:val="continue"/>
            <w:noWrap w:val="0"/>
            <w:vAlign w:val="center"/>
          </w:tcPr>
          <w:p>
            <w:pP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主要业务办事指南</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主要业务工作的办事依据、程序、时限，办事时间、地点、部门、联系方式及相关办理结果</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《政府信息公开条例》、《中共中央 国务院关于推进安全生产领域改革发展的意见》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信息形成或者变更之日起20个工作日内</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22</w:t>
            </w:r>
          </w:p>
        </w:tc>
        <w:tc>
          <w:tcPr>
            <w:tcW w:w="900" w:type="dxa"/>
            <w:vMerge w:val="continue"/>
            <w:noWrap w:val="0"/>
            <w:vAlign w:val="center"/>
          </w:tcPr>
          <w:p>
            <w:pP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年度报告</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政府信息公开年度报告及相关统计报表</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每年1月31日前</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23</w:t>
            </w:r>
          </w:p>
        </w:tc>
        <w:tc>
          <w:tcPr>
            <w:tcW w:w="900" w:type="dxa"/>
            <w:vMerge w:val="restart"/>
            <w:noWrap w:val="0"/>
            <w:vAlign w:val="center"/>
          </w:tcPr>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重点</w:t>
            </w:r>
          </w:p>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领域</w:t>
            </w:r>
          </w:p>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信息</w:t>
            </w:r>
          </w:p>
          <w:p>
            <w:pPr>
              <w:spacing w:line="240" w:lineRule="exact"/>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公开</w:t>
            </w: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财政资金信息</w:t>
            </w:r>
          </w:p>
        </w:tc>
        <w:tc>
          <w:tcPr>
            <w:tcW w:w="2520" w:type="dxa"/>
            <w:noWrap w:val="0"/>
            <w:vAlign w:val="center"/>
          </w:tcPr>
          <w:p>
            <w:pPr>
              <w:spacing w:line="240" w:lineRule="exact"/>
              <w:rPr>
                <w:rFonts w:hint="eastAsia" w:ascii="仿宋_GB2312" w:eastAsia="仿宋_GB2312"/>
                <w:bCs/>
                <w:color w:val="auto"/>
                <w:sz w:val="18"/>
                <w:szCs w:val="18"/>
              </w:rPr>
            </w:pPr>
            <w:r>
              <w:rPr>
                <w:rFonts w:hint="eastAsia" w:ascii="仿宋_GB2312" w:eastAsia="仿宋_GB2312"/>
                <w:bCs/>
                <w:color w:val="auto"/>
                <w:sz w:val="18"/>
                <w:szCs w:val="18"/>
              </w:rPr>
              <w:t>预算、决算</w:t>
            </w:r>
          </w:p>
          <w:p>
            <w:pPr>
              <w:spacing w:line="240" w:lineRule="exact"/>
              <w:rPr>
                <w:rFonts w:hint="eastAsia" w:ascii="仿宋_GB2312" w:eastAsia="仿宋_GB2312"/>
                <w:bCs/>
                <w:color w:val="auto"/>
                <w:sz w:val="18"/>
                <w:szCs w:val="18"/>
              </w:rPr>
            </w:pPr>
            <w:r>
              <w:rPr>
                <w:rFonts w:hint="eastAsia" w:ascii="仿宋_GB2312" w:eastAsia="仿宋_GB2312"/>
                <w:bCs/>
                <w:color w:val="auto"/>
                <w:sz w:val="18"/>
                <w:szCs w:val="18"/>
              </w:rPr>
              <w:t xml:space="preserve"> “三公”经费</w:t>
            </w:r>
          </w:p>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安全生产专项资金使用等财政资金信息</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《政府信息公开条例》、《国务院关于深化预算管理制度改革的决定》、《国务院办公厅关于进一步推进预算公开工作意见的通知》</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按中央要求时限公开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24</w:t>
            </w:r>
          </w:p>
        </w:tc>
        <w:tc>
          <w:tcPr>
            <w:tcW w:w="900" w:type="dxa"/>
            <w:vMerge w:val="continue"/>
            <w:noWrap w:val="0"/>
            <w:vAlign w:val="center"/>
          </w:tcPr>
          <w:p>
            <w:pPr>
              <w:spacing w:line="240" w:lineRule="exact"/>
              <w:jc w:val="cente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政府采购信息</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本单位采购实施情况相关信息</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《政府信息公开条例》、《国务院关于深化预算管理制度改革的决定》、中办、国办印发《关于进一步推进预算公开工作的意见》的通知</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25</w:t>
            </w:r>
          </w:p>
        </w:tc>
        <w:tc>
          <w:tcPr>
            <w:tcW w:w="900" w:type="dxa"/>
            <w:vMerge w:val="continue"/>
            <w:noWrap w:val="0"/>
            <w:vAlign w:val="center"/>
          </w:tcPr>
          <w:p>
            <w:pPr>
              <w:spacing w:line="240" w:lineRule="exact"/>
              <w:jc w:val="center"/>
              <w:rPr>
                <w:rFonts w:hint="eastAsia" w:ascii="仿宋_GB2312" w:hAnsi="宋体" w:eastAsia="仿宋_GB2312" w:cs="宋体"/>
                <w:color w:val="auto"/>
                <w:sz w:val="18"/>
                <w:szCs w:val="18"/>
              </w:rPr>
            </w:pPr>
          </w:p>
        </w:tc>
        <w:tc>
          <w:tcPr>
            <w:tcW w:w="108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办事纪律和监督管理</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本单位的办事纪律,受理投诉、举报、信访的途径等内容</w:t>
            </w:r>
          </w:p>
        </w:tc>
        <w:tc>
          <w:tcPr>
            <w:tcW w:w="25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《政府信息公开条例》、《中共中央 国务院关于推进安全生产领域改革发展的意见》</w:t>
            </w:r>
          </w:p>
        </w:tc>
        <w:tc>
          <w:tcPr>
            <w:tcW w:w="18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spacing w:line="240" w:lineRule="exact"/>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40"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rPr>
              <w:t>2</w:t>
            </w:r>
            <w:r>
              <w:rPr>
                <w:rFonts w:hint="eastAsia" w:ascii="仿宋_GB2312" w:hAnsi="宋体" w:eastAsia="仿宋_GB2312" w:cs="宋体"/>
                <w:color w:val="auto"/>
                <w:sz w:val="18"/>
                <w:szCs w:val="18"/>
                <w:lang w:val="en-US" w:eastAsia="zh-CN"/>
              </w:rPr>
              <w:t>6</w:t>
            </w:r>
          </w:p>
        </w:tc>
        <w:tc>
          <w:tcPr>
            <w:tcW w:w="90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sz w:val="18"/>
                <w:szCs w:val="18"/>
              </w:rPr>
            </w:pPr>
          </w:p>
        </w:tc>
        <w:tc>
          <w:tcPr>
            <w:tcW w:w="108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pacing w:val="-11"/>
                <w:sz w:val="18"/>
                <w:szCs w:val="18"/>
              </w:rPr>
              <w:t>检查和巡查发现安全监管监察问题</w:t>
            </w:r>
          </w:p>
        </w:tc>
        <w:tc>
          <w:tcPr>
            <w:tcW w:w="25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检查和巡查发现的、并要求向社会公开的问题及整改落实情况</w:t>
            </w:r>
          </w:p>
        </w:tc>
        <w:tc>
          <w:tcPr>
            <w:tcW w:w="25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《政府信息公开条例》、《中共中央 国务院关于推进安全生产领域改革发展的意见》</w:t>
            </w:r>
          </w:p>
        </w:tc>
        <w:tc>
          <w:tcPr>
            <w:tcW w:w="180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rPr>
              <w:t>2</w:t>
            </w:r>
            <w:r>
              <w:rPr>
                <w:rFonts w:hint="eastAsia" w:ascii="仿宋_GB2312" w:hAnsi="宋体" w:eastAsia="仿宋_GB2312" w:cs="宋体"/>
                <w:color w:val="auto"/>
                <w:sz w:val="18"/>
                <w:szCs w:val="18"/>
                <w:lang w:val="en-US" w:eastAsia="zh-CN"/>
              </w:rPr>
              <w:t>7</w:t>
            </w:r>
          </w:p>
        </w:tc>
        <w:tc>
          <w:tcPr>
            <w:tcW w:w="90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sz w:val="18"/>
                <w:szCs w:val="18"/>
              </w:rPr>
            </w:pPr>
          </w:p>
        </w:tc>
        <w:tc>
          <w:tcPr>
            <w:tcW w:w="108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建议提案办理</w:t>
            </w:r>
          </w:p>
        </w:tc>
        <w:tc>
          <w:tcPr>
            <w:tcW w:w="25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bCs/>
                <w:color w:val="auto"/>
                <w:sz w:val="18"/>
                <w:szCs w:val="18"/>
              </w:rPr>
            </w:pPr>
            <w:r>
              <w:rPr>
                <w:rFonts w:hint="eastAsia" w:ascii="仿宋_GB2312" w:eastAsia="仿宋_GB2312"/>
                <w:bCs/>
                <w:color w:val="auto"/>
                <w:sz w:val="18"/>
                <w:szCs w:val="18"/>
              </w:rPr>
              <w:t xml:space="preserve">办理制度与推进情况            </w:t>
            </w:r>
          </w:p>
          <w:p>
            <w:pPr>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bCs/>
                <w:color w:val="auto"/>
                <w:sz w:val="18"/>
                <w:szCs w:val="18"/>
              </w:rPr>
            </w:pPr>
            <w:r>
              <w:rPr>
                <w:rFonts w:hint="eastAsia" w:ascii="仿宋_GB2312" w:eastAsia="仿宋_GB2312"/>
                <w:bCs/>
                <w:color w:val="auto"/>
                <w:sz w:val="18"/>
                <w:szCs w:val="18"/>
              </w:rPr>
              <w:t xml:space="preserve">人大代表建议办理              </w:t>
            </w:r>
          </w:p>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政协委员提案办理</w:t>
            </w:r>
          </w:p>
        </w:tc>
        <w:tc>
          <w:tcPr>
            <w:tcW w:w="25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《政府信息公开条例》、《国务院办公厅关于做好全国人大代表建议和全国政协委员提案办理结果公开工作的通知》</w:t>
            </w:r>
          </w:p>
        </w:tc>
        <w:tc>
          <w:tcPr>
            <w:tcW w:w="180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按照中央有关要求公开</w:t>
            </w:r>
          </w:p>
        </w:tc>
        <w:tc>
          <w:tcPr>
            <w:tcW w:w="90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noWrap w:val="0"/>
            <w:vAlign w:val="center"/>
          </w:tcPr>
          <w:p>
            <w:pPr>
              <w:spacing w:line="240" w:lineRule="exact"/>
              <w:jc w:val="left"/>
              <w:rPr>
                <w:rFonts w:hint="eastAsia" w:ascii="仿宋_GB2312" w:hAnsi="宋体" w:eastAsia="仿宋_GB2312" w:cs="宋体"/>
                <w:bCs/>
                <w:color w:val="auto"/>
                <w:sz w:val="18"/>
                <w:szCs w:val="18"/>
              </w:rPr>
            </w:pPr>
            <w:r>
              <w:rPr>
                <w:rFonts w:hint="eastAsia" w:ascii="仿宋_GB2312" w:eastAsia="仿宋_GB2312"/>
                <w:color w:val="auto"/>
                <w:sz w:val="18"/>
                <w:szCs w:val="18"/>
              </w:rPr>
              <w:t>■政府网站   ■公开查阅点 ■政务服务中心</w:t>
            </w:r>
            <w:r>
              <w:rPr>
                <w:rFonts w:hint="eastAsia" w:ascii="仿宋_GB2312" w:eastAsia="仿宋_GB2312"/>
                <w:color w:val="auto"/>
                <w:sz w:val="18"/>
                <w:szCs w:val="18"/>
              </w:rPr>
              <w:br w:type="textWrapping"/>
            </w:r>
            <w:r>
              <w:rPr>
                <w:rFonts w:hint="eastAsia" w:ascii="仿宋_GB2312" w:eastAsia="仿宋_GB2312"/>
                <w:color w:val="auto"/>
                <w:sz w:val="18"/>
                <w:szCs w:val="18"/>
              </w:rPr>
              <w:t>■便民服务站</w:t>
            </w:r>
          </w:p>
        </w:tc>
        <w:tc>
          <w:tcPr>
            <w:tcW w:w="664"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bCs/>
                <w:color w:val="auto"/>
                <w:sz w:val="18"/>
                <w:szCs w:val="18"/>
              </w:rPr>
            </w:pPr>
            <w:r>
              <w:rPr>
                <w:rFonts w:hint="eastAsia" w:ascii="仿宋_GB2312" w:eastAsia="仿宋_GB2312"/>
                <w:bCs/>
                <w:color w:val="auto"/>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A79CE"/>
    <w:rsid w:val="663A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2020-12-10T10:08:00Z</dcterms:created>
  <dc:creator>波菊</dc:creator>
  <cp:lastModifiedBy>波菊</cp:lastModifiedBy>
  <dcterms:modified xsi:type="dcterms:W3CDTF">2020-12-10T10:08:48Z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