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方正小标宋简体" w:hAnsi="方正小标宋简体" w:eastAsia="方正小标宋简体" w:cs="方正小标宋简体"/>
        </w:rPr>
      </w:pPr>
      <w:bookmarkStart w:id="0" w:name="_GoBack"/>
      <w:bookmarkEnd w:id="0"/>
      <w:r>
        <w:rPr>
          <w:rFonts w:hint="eastAsia" w:ascii="方正小标宋简体" w:hAnsi="方正小标宋简体" w:eastAsia="方正小标宋简体" w:cs="方正小标宋简体"/>
          <w:lang w:eastAsia="zh-CN"/>
        </w:rPr>
        <w:t>灌阳</w:t>
      </w:r>
      <w:r>
        <w:rPr>
          <w:rFonts w:hint="eastAsia" w:ascii="方正小标宋简体" w:hAnsi="方正小标宋简体" w:eastAsia="方正小标宋简体" w:cs="方正小标宋简体"/>
        </w:rPr>
        <w:t>县应急管理局安全生产领域基层政务公开标准目录</w:t>
      </w:r>
    </w:p>
    <w:tbl>
      <w:tblPr>
        <w:tblStyle w:val="9"/>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043"/>
        <w:gridCol w:w="2277"/>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0" w:type="dxa"/>
            <w:vMerge w:val="restart"/>
            <w:vAlign w:val="center"/>
          </w:tcPr>
          <w:p>
            <w:pPr>
              <w:widowControl/>
              <w:jc w:val="center"/>
              <w:rPr>
                <w:rFonts w:ascii="仿宋_GB2312" w:hAnsi="仿宋_GB2312" w:eastAsia="仿宋_GB2312" w:cs="仿宋_GB2312"/>
                <w:b/>
                <w:bCs/>
                <w:color w:val="000000"/>
                <w:kern w:val="0"/>
                <w:sz w:val="24"/>
                <w:szCs w:val="24"/>
              </w:rPr>
            </w:pPr>
            <w:r>
              <w:rPr>
                <w:rFonts w:hint="eastAsia" w:ascii="方正小标宋简体" w:hAnsi="方正小标宋简体" w:eastAsia="方正小标宋简体" w:cs="方正小标宋简体"/>
                <w:b/>
                <w:bCs/>
                <w:sz w:val="44"/>
                <w:szCs w:val="44"/>
              </w:rPr>
              <w:br w:type="page"/>
            </w:r>
            <w:r>
              <w:rPr>
                <w:rFonts w:hint="eastAsia" w:ascii="仿宋_GB2312" w:hAnsi="仿宋_GB2312" w:eastAsia="仿宋_GB2312" w:cs="仿宋_GB2312"/>
                <w:b/>
                <w:bCs/>
                <w:color w:val="000000"/>
                <w:kern w:val="0"/>
                <w:sz w:val="24"/>
                <w:szCs w:val="24"/>
              </w:rPr>
              <w:t>序号</w:t>
            </w:r>
          </w:p>
        </w:tc>
        <w:tc>
          <w:tcPr>
            <w:tcW w:w="1980" w:type="dxa"/>
            <w:gridSpan w:val="2"/>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公开事项</w:t>
            </w:r>
          </w:p>
        </w:tc>
        <w:tc>
          <w:tcPr>
            <w:tcW w:w="2520" w:type="dxa"/>
            <w:vMerge w:val="restart"/>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公开内容（要素）</w:t>
            </w:r>
          </w:p>
        </w:tc>
        <w:tc>
          <w:tcPr>
            <w:tcW w:w="2043" w:type="dxa"/>
            <w:vMerge w:val="restart"/>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公开依据</w:t>
            </w:r>
          </w:p>
        </w:tc>
        <w:tc>
          <w:tcPr>
            <w:tcW w:w="2277" w:type="dxa"/>
            <w:vMerge w:val="restart"/>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公开时限</w:t>
            </w:r>
          </w:p>
        </w:tc>
        <w:tc>
          <w:tcPr>
            <w:tcW w:w="900" w:type="dxa"/>
            <w:vMerge w:val="restart"/>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公开主体</w:t>
            </w:r>
          </w:p>
        </w:tc>
        <w:tc>
          <w:tcPr>
            <w:tcW w:w="1496" w:type="dxa"/>
            <w:vMerge w:val="restart"/>
            <w:vAlign w:val="center"/>
          </w:tcPr>
          <w:p>
            <w:pPr>
              <w:widowControl/>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公开渠道和载体</w:t>
            </w:r>
          </w:p>
        </w:tc>
        <w:tc>
          <w:tcPr>
            <w:tcW w:w="1384" w:type="dxa"/>
            <w:gridSpan w:val="2"/>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公开对象</w:t>
            </w:r>
          </w:p>
        </w:tc>
        <w:tc>
          <w:tcPr>
            <w:tcW w:w="1440" w:type="dxa"/>
            <w:gridSpan w:val="2"/>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公开方式</w:t>
            </w:r>
          </w:p>
        </w:tc>
        <w:tc>
          <w:tcPr>
            <w:tcW w:w="1080" w:type="dxa"/>
            <w:gridSpan w:val="2"/>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40" w:type="dxa"/>
            <w:vMerge w:val="continue"/>
            <w:vAlign w:val="center"/>
          </w:tcPr>
          <w:p>
            <w:pPr>
              <w:widowControl/>
              <w:jc w:val="center"/>
              <w:rPr>
                <w:rFonts w:ascii="仿宋_GB2312" w:hAnsi="仿宋_GB2312" w:eastAsia="仿宋_GB2312" w:cs="仿宋_GB2312"/>
                <w:b/>
                <w:bCs/>
                <w:color w:val="000000"/>
                <w:kern w:val="0"/>
                <w:sz w:val="24"/>
                <w:szCs w:val="24"/>
              </w:rPr>
            </w:pPr>
          </w:p>
        </w:tc>
        <w:tc>
          <w:tcPr>
            <w:tcW w:w="900" w:type="dxa"/>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一级事项</w:t>
            </w:r>
          </w:p>
        </w:tc>
        <w:tc>
          <w:tcPr>
            <w:tcW w:w="1080" w:type="dxa"/>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二级事项</w:t>
            </w:r>
          </w:p>
        </w:tc>
        <w:tc>
          <w:tcPr>
            <w:tcW w:w="2520" w:type="dxa"/>
            <w:vMerge w:val="continue"/>
            <w:vAlign w:val="center"/>
          </w:tcPr>
          <w:p>
            <w:pPr>
              <w:widowControl/>
              <w:jc w:val="center"/>
              <w:rPr>
                <w:rFonts w:ascii="仿宋_GB2312" w:hAnsi="仿宋_GB2312" w:eastAsia="仿宋_GB2312" w:cs="仿宋_GB2312"/>
                <w:b/>
                <w:bCs/>
                <w:color w:val="000000"/>
                <w:kern w:val="0"/>
                <w:sz w:val="24"/>
                <w:szCs w:val="24"/>
              </w:rPr>
            </w:pPr>
          </w:p>
        </w:tc>
        <w:tc>
          <w:tcPr>
            <w:tcW w:w="2043" w:type="dxa"/>
            <w:vMerge w:val="continue"/>
            <w:vAlign w:val="center"/>
          </w:tcPr>
          <w:p>
            <w:pPr>
              <w:widowControl/>
              <w:jc w:val="center"/>
              <w:rPr>
                <w:rFonts w:ascii="仿宋_GB2312" w:hAnsi="仿宋_GB2312" w:eastAsia="仿宋_GB2312" w:cs="仿宋_GB2312"/>
                <w:b/>
                <w:bCs/>
                <w:color w:val="000000"/>
                <w:kern w:val="0"/>
                <w:sz w:val="24"/>
                <w:szCs w:val="24"/>
              </w:rPr>
            </w:pPr>
          </w:p>
        </w:tc>
        <w:tc>
          <w:tcPr>
            <w:tcW w:w="2277" w:type="dxa"/>
            <w:vMerge w:val="continue"/>
            <w:vAlign w:val="center"/>
          </w:tcPr>
          <w:p>
            <w:pPr>
              <w:widowControl/>
              <w:jc w:val="center"/>
              <w:rPr>
                <w:rFonts w:ascii="仿宋_GB2312" w:hAnsi="仿宋_GB2312" w:eastAsia="仿宋_GB2312" w:cs="仿宋_GB2312"/>
                <w:b/>
                <w:bCs/>
                <w:color w:val="000000"/>
                <w:kern w:val="0"/>
                <w:sz w:val="24"/>
                <w:szCs w:val="24"/>
              </w:rPr>
            </w:pPr>
          </w:p>
        </w:tc>
        <w:tc>
          <w:tcPr>
            <w:tcW w:w="900" w:type="dxa"/>
            <w:vMerge w:val="continue"/>
            <w:vAlign w:val="center"/>
          </w:tcPr>
          <w:p>
            <w:pPr>
              <w:widowControl/>
              <w:jc w:val="center"/>
              <w:rPr>
                <w:rFonts w:ascii="仿宋_GB2312" w:hAnsi="仿宋_GB2312" w:eastAsia="仿宋_GB2312" w:cs="仿宋_GB2312"/>
                <w:b/>
                <w:bCs/>
                <w:color w:val="000000"/>
                <w:kern w:val="0"/>
                <w:sz w:val="24"/>
                <w:szCs w:val="24"/>
              </w:rPr>
            </w:pPr>
          </w:p>
        </w:tc>
        <w:tc>
          <w:tcPr>
            <w:tcW w:w="1496" w:type="dxa"/>
            <w:vMerge w:val="continue"/>
            <w:vAlign w:val="center"/>
          </w:tcPr>
          <w:p>
            <w:pPr>
              <w:widowControl/>
              <w:jc w:val="center"/>
              <w:rPr>
                <w:rFonts w:ascii="仿宋_GB2312" w:hAnsi="仿宋_GB2312" w:eastAsia="仿宋_GB2312" w:cs="仿宋_GB2312"/>
                <w:b/>
                <w:bCs/>
                <w:kern w:val="0"/>
                <w:sz w:val="24"/>
                <w:szCs w:val="24"/>
              </w:rPr>
            </w:pPr>
          </w:p>
        </w:tc>
        <w:tc>
          <w:tcPr>
            <w:tcW w:w="664" w:type="dxa"/>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全社会</w:t>
            </w:r>
          </w:p>
        </w:tc>
        <w:tc>
          <w:tcPr>
            <w:tcW w:w="720" w:type="dxa"/>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特定群众</w:t>
            </w:r>
          </w:p>
        </w:tc>
        <w:tc>
          <w:tcPr>
            <w:tcW w:w="720" w:type="dxa"/>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主动</w:t>
            </w:r>
          </w:p>
        </w:tc>
        <w:tc>
          <w:tcPr>
            <w:tcW w:w="720" w:type="dxa"/>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依申请公开</w:t>
            </w:r>
          </w:p>
        </w:tc>
        <w:tc>
          <w:tcPr>
            <w:tcW w:w="540" w:type="dxa"/>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县级</w:t>
            </w:r>
          </w:p>
        </w:tc>
        <w:tc>
          <w:tcPr>
            <w:tcW w:w="540" w:type="dxa"/>
            <w:vAlign w:val="center"/>
          </w:tcPr>
          <w:p>
            <w:pPr>
              <w:widowControl/>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Merge w:val="continue"/>
            <w:vAlign w:val="center"/>
          </w:tcPr>
          <w:p>
            <w:pPr>
              <w:spacing w:line="240" w:lineRule="exact"/>
              <w:jc w:val="center"/>
              <w:rPr>
                <w:rFonts w:ascii="仿宋_GB2312" w:eastAsia="仿宋_GB2312"/>
                <w:sz w:val="18"/>
                <w:szCs w:val="18"/>
              </w:rPr>
            </w:pP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Merge w:val="continue"/>
            <w:vAlign w:val="center"/>
          </w:tcPr>
          <w:p>
            <w:pPr>
              <w:spacing w:line="240" w:lineRule="exact"/>
              <w:jc w:val="center"/>
              <w:rPr>
                <w:rFonts w:ascii="仿宋_GB2312" w:eastAsia="仿宋_GB2312"/>
                <w:sz w:val="18"/>
                <w:szCs w:val="18"/>
              </w:rPr>
            </w:pP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Merge w:val="continue"/>
            <w:vAlign w:val="center"/>
          </w:tcPr>
          <w:p>
            <w:pPr>
              <w:spacing w:line="240" w:lineRule="exact"/>
              <w:jc w:val="center"/>
              <w:rPr>
                <w:rFonts w:ascii="仿宋_GB2312" w:eastAsia="仿宋_GB2312"/>
                <w:sz w:val="18"/>
                <w:szCs w:val="18"/>
              </w:rPr>
            </w:pP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043" w:type="dxa"/>
          </w:tcPr>
          <w:p>
            <w:pPr>
              <w:jc w:val="center"/>
            </w:pPr>
            <w:r>
              <w:rPr>
                <w:rFonts w:hint="eastAsia" w:ascii="仿宋_GB2312" w:eastAsia="仿宋_GB2312"/>
                <w:bCs/>
                <w:color w:val="000000"/>
                <w:sz w:val="18"/>
                <w:szCs w:val="18"/>
              </w:rPr>
              <w:t>《政府信息公开条例》、《关于全面推进政务公开工作的意见》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☑广播电视</w:t>
            </w:r>
          </w:p>
          <w:p>
            <w:pPr>
              <w:spacing w:line="240" w:lineRule="exact"/>
              <w:jc w:val="center"/>
              <w:rPr>
                <w:rFonts w:ascii="仿宋_GB2312" w:eastAsia="仿宋_GB2312"/>
                <w:sz w:val="18"/>
                <w:szCs w:val="18"/>
              </w:rPr>
            </w:pPr>
            <w:r>
              <w:rPr>
                <w:rFonts w:hint="eastAsia" w:ascii="仿宋_GB2312" w:eastAsia="仿宋_GB2312"/>
                <w:sz w:val="18"/>
                <w:szCs w:val="18"/>
              </w:rPr>
              <w:t>☑公开查阅点 ☑政务服务中</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043" w:type="dxa"/>
          </w:tcPr>
          <w:p>
            <w:pPr>
              <w:jc w:val="center"/>
            </w:pPr>
            <w:r>
              <w:rPr>
                <w:rFonts w:hint="eastAsia" w:ascii="仿宋_GB2312" w:eastAsia="仿宋_GB2312"/>
                <w:bCs/>
                <w:color w:val="000000"/>
                <w:sz w:val="18"/>
                <w:szCs w:val="18"/>
              </w:rPr>
              <w:t>《政府信息公开条例》、《关于全面推进政务公开工作的意见》</w:t>
            </w:r>
          </w:p>
        </w:tc>
        <w:tc>
          <w:tcPr>
            <w:tcW w:w="2277"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☑便民服务站</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043" w:type="dxa"/>
          </w:tcPr>
          <w:p>
            <w:pPr>
              <w:jc w:val="center"/>
            </w:pPr>
            <w:r>
              <w:rPr>
                <w:rFonts w:hint="eastAsia" w:ascii="仿宋_GB2312" w:eastAsia="仿宋_GB2312"/>
                <w:bCs/>
                <w:color w:val="000000"/>
                <w:sz w:val="18"/>
                <w:szCs w:val="18"/>
              </w:rPr>
              <w:t>《政府信息公开条例》、《关于全面推进政务公开工作的意见》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  ☑公开查阅点</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ascii="Segoe UI Symbol" w:hAnsi="Segoe UI Symbol" w:eastAsia="仿宋_GB2312" w:cs="Segoe UI Symbol"/>
                <w:sz w:val="18"/>
                <w:szCs w:val="18"/>
              </w:rPr>
              <w:t>☑</w:t>
            </w:r>
            <w:r>
              <w:rPr>
                <w:rFonts w:hint="eastAsia" w:ascii="微软雅黑" w:hAnsi="微软雅黑" w:eastAsia="微软雅黑" w:cs="微软雅黑"/>
                <w:sz w:val="18"/>
                <w:szCs w:val="18"/>
              </w:rPr>
              <w:t>政府网站</w:t>
            </w:r>
            <w:r>
              <w:rPr>
                <w:rFonts w:hint="eastAsia" w:ascii="仿宋_GB2312" w:eastAsia="仿宋_GB2312"/>
                <w:sz w:val="18"/>
                <w:szCs w:val="18"/>
              </w:rPr>
              <w:t xml:space="preserve">     </w:t>
            </w:r>
            <w:r>
              <w:rPr>
                <w:rFonts w:ascii="Segoe UI Symbol" w:hAnsi="Segoe UI Symbol" w:eastAsia="仿宋_GB2312" w:cs="Segoe UI Symbol"/>
                <w:sz w:val="18"/>
                <w:szCs w:val="18"/>
              </w:rPr>
              <w:t>☑</w:t>
            </w:r>
            <w:r>
              <w:rPr>
                <w:rFonts w:hint="eastAsia" w:ascii="微软雅黑" w:hAnsi="微软雅黑" w:eastAsia="微软雅黑" w:cs="微软雅黑"/>
                <w:sz w:val="18"/>
                <w:szCs w:val="18"/>
              </w:rPr>
              <w:t>广播电视</w:t>
            </w:r>
            <w:r>
              <w:rPr>
                <w:rFonts w:hint="eastAsia" w:ascii="仿宋_GB2312" w:eastAsia="仿宋_GB2312"/>
                <w:sz w:val="18"/>
                <w:szCs w:val="18"/>
              </w:rPr>
              <w:t xml:space="preserve">   </w:t>
            </w:r>
            <w:r>
              <w:rPr>
                <w:rFonts w:ascii="Segoe UI Symbol" w:hAnsi="Segoe UI Symbol" w:eastAsia="仿宋_GB2312" w:cs="Segoe UI Symbol"/>
                <w:sz w:val="18"/>
                <w:szCs w:val="18"/>
              </w:rPr>
              <w:t>☑</w:t>
            </w:r>
            <w:r>
              <w:rPr>
                <w:rFonts w:hint="eastAsia" w:ascii="微软雅黑" w:hAnsi="微软雅黑" w:eastAsia="微软雅黑" w:cs="微软雅黑"/>
                <w:sz w:val="18"/>
                <w:szCs w:val="18"/>
              </w:rPr>
              <w:t>公开查阅</w:t>
            </w:r>
            <w:r>
              <w:rPr>
                <w:rFonts w:hint="eastAsia" w:ascii="仿宋_GB2312" w:eastAsia="仿宋_GB2312"/>
                <w:sz w:val="18"/>
                <w:szCs w:val="18"/>
              </w:rPr>
              <w:t>点</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承担处置主责、非敏感的应急信息，包括事故灾害类预警信息、事故信息、事故后采取的应急处置措施和应对结果等</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ascii="Segoe UI Symbol" w:hAnsi="Segoe UI Symbol" w:eastAsia="仿宋_GB2312" w:cs="Segoe UI Symbol"/>
                <w:sz w:val="18"/>
                <w:szCs w:val="18"/>
              </w:rPr>
              <w:t>☑</w:t>
            </w:r>
            <w:r>
              <w:rPr>
                <w:rFonts w:hint="eastAsia" w:ascii="微软雅黑" w:hAnsi="微软雅黑" w:eastAsia="微软雅黑" w:cs="微软雅黑"/>
                <w:sz w:val="18"/>
                <w:szCs w:val="18"/>
              </w:rPr>
              <w:t>政府网站</w:t>
            </w:r>
            <w:r>
              <w:rPr>
                <w:rFonts w:hint="eastAsia" w:ascii="仿宋_GB2312" w:eastAsia="仿宋_GB2312"/>
                <w:sz w:val="18"/>
                <w:szCs w:val="18"/>
              </w:rPr>
              <w:t xml:space="preserve">     </w:t>
            </w:r>
            <w:r>
              <w:rPr>
                <w:rFonts w:ascii="Segoe UI Symbol" w:hAnsi="Segoe UI Symbol" w:eastAsia="仿宋_GB2312" w:cs="Segoe UI Symbol"/>
                <w:sz w:val="18"/>
                <w:szCs w:val="18"/>
              </w:rPr>
              <w:t>☑</w:t>
            </w:r>
            <w:r>
              <w:rPr>
                <w:rFonts w:hint="eastAsia" w:ascii="微软雅黑" w:hAnsi="微软雅黑" w:eastAsia="微软雅黑" w:cs="微软雅黑"/>
                <w:sz w:val="18"/>
                <w:szCs w:val="18"/>
              </w:rPr>
              <w:t>公开查阅点</w:t>
            </w:r>
            <w:r>
              <w:rPr>
                <w:rFonts w:hint="eastAsia" w:ascii="仿宋_GB2312" w:eastAsia="仿宋_GB2312"/>
                <w:sz w:val="18"/>
                <w:szCs w:val="18"/>
              </w:rPr>
              <w:t xml:space="preserve"> </w:t>
            </w:r>
            <w:r>
              <w:rPr>
                <w:rFonts w:ascii="Segoe UI Symbol" w:hAnsi="Segoe UI Symbol" w:eastAsia="仿宋_GB2312" w:cs="Segoe UI Symbol"/>
                <w:sz w:val="18"/>
                <w:szCs w:val="18"/>
              </w:rPr>
              <w:t>☑</w:t>
            </w:r>
            <w:r>
              <w:rPr>
                <w:rFonts w:hint="eastAsia" w:ascii="微软雅黑" w:hAnsi="微软雅黑" w:eastAsia="微软雅黑" w:cs="微软雅黑"/>
                <w:sz w:val="18"/>
                <w:szCs w:val="18"/>
              </w:rPr>
              <w:t>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04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2277"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☑广播电视   ☑其他</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04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 xml:space="preserve">☑政府网站   ☑广播电视   </w:t>
            </w:r>
          </w:p>
          <w:p>
            <w:pPr>
              <w:spacing w:line="240" w:lineRule="exact"/>
              <w:jc w:val="center"/>
              <w:rPr>
                <w:rFonts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04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2277"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2277"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04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pPr>
              <w:jc w:val="center"/>
              <w:rPr>
                <w:rFonts w:ascii="仿宋_GB2312" w:eastAsia="仿宋_GB2312"/>
                <w:bCs/>
                <w:sz w:val="18"/>
                <w:szCs w:val="18"/>
              </w:rPr>
            </w:pPr>
            <w:r>
              <w:rPr>
                <w:rFonts w:hint="eastAsia" w:ascii="仿宋_GB2312" w:eastAsia="仿宋_GB2312"/>
                <w:bCs/>
                <w:sz w:val="18"/>
                <w:szCs w:val="18"/>
              </w:rPr>
              <w:t>预算、决算</w:t>
            </w:r>
          </w:p>
          <w:p>
            <w:pPr>
              <w:jc w:val="center"/>
              <w:rPr>
                <w:rFonts w:ascii="仿宋_GB2312" w:eastAsia="仿宋_GB2312"/>
                <w:bCs/>
                <w:sz w:val="18"/>
                <w:szCs w:val="18"/>
              </w:rPr>
            </w:pPr>
            <w:r>
              <w:rPr>
                <w:rFonts w:hint="eastAsia" w:ascii="仿宋_GB2312" w:eastAsia="仿宋_GB2312"/>
                <w:bCs/>
                <w:sz w:val="18"/>
                <w:szCs w:val="18"/>
              </w:rPr>
              <w:t>“三公”经费</w:t>
            </w:r>
          </w:p>
          <w:p>
            <w:pPr>
              <w:jc w:val="cente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04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2277"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04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2277"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2277"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2277"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04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2277"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eastAsia="zh-CN"/>
              </w:rPr>
              <w:t>灌阳</w:t>
            </w:r>
            <w:r>
              <w:rPr>
                <w:rFonts w:hint="eastAsia" w:ascii="仿宋_GB2312" w:eastAsia="仿宋_GB2312"/>
                <w:bCs/>
                <w:sz w:val="18"/>
                <w:szCs w:val="18"/>
              </w:rPr>
              <w:t>县应急管理局</w:t>
            </w:r>
          </w:p>
        </w:tc>
        <w:tc>
          <w:tcPr>
            <w:tcW w:w="1496"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☑政府网站   ☑政务服务中心</w:t>
            </w:r>
          </w:p>
        </w:tc>
        <w:tc>
          <w:tcPr>
            <w:tcW w:w="664"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color w:val="000000"/>
                <w:sz w:val="18"/>
                <w:szCs w:val="18"/>
              </w:rPr>
            </w:pP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r>
    </w:tbl>
    <w:p>
      <w:pPr>
        <w:pStyle w:val="2"/>
        <w:spacing w:before="0" w:after="0"/>
        <w:jc w:val="center"/>
        <w:rPr>
          <w:rFonts w:ascii="方正小标宋简体" w:hAnsi="方正小标宋简体" w:eastAsia="方正小标宋简体" w:cs="方正小标宋简体"/>
          <w:b w:val="0"/>
          <w:bCs w:val="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C5"/>
    <w:rsid w:val="000C49EE"/>
    <w:rsid w:val="001365D0"/>
    <w:rsid w:val="001E6A25"/>
    <w:rsid w:val="002E754A"/>
    <w:rsid w:val="003B43DA"/>
    <w:rsid w:val="006F55F5"/>
    <w:rsid w:val="0073211B"/>
    <w:rsid w:val="00736838"/>
    <w:rsid w:val="00832A8A"/>
    <w:rsid w:val="0095129A"/>
    <w:rsid w:val="00964A16"/>
    <w:rsid w:val="00A7418B"/>
    <w:rsid w:val="00D17BF9"/>
    <w:rsid w:val="00E413C5"/>
    <w:rsid w:val="00FD017D"/>
    <w:rsid w:val="652B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iPriority w:val="0"/>
    <w:pPr>
      <w:jc w:val="left"/>
    </w:pPr>
  </w:style>
  <w:style w:type="paragraph" w:styleId="4">
    <w:name w:val="Balloon Text"/>
    <w:basedOn w:val="1"/>
    <w:link w:val="21"/>
    <w:semiHidden/>
    <w:uiPriority w:val="0"/>
    <w:rPr>
      <w:sz w:val="18"/>
      <w:szCs w:val="18"/>
    </w:r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20"/>
    <w:semiHidden/>
    <w:uiPriority w:val="0"/>
    <w:rPr>
      <w:b/>
      <w:bCs/>
    </w:rPr>
  </w:style>
  <w:style w:type="table" w:styleId="10">
    <w:name w:val="Table Grid"/>
    <w:basedOn w:val="9"/>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basedOn w:val="11"/>
    <w:qFormat/>
    <w:uiPriority w:val="0"/>
    <w:rPr>
      <w:color w:val="0000FF"/>
      <w:u w:val="single"/>
    </w:rPr>
  </w:style>
  <w:style w:type="character" w:styleId="14">
    <w:name w:val="annotation reference"/>
    <w:basedOn w:val="11"/>
    <w:semiHidden/>
    <w:uiPriority w:val="0"/>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标题 1 字符"/>
    <w:basedOn w:val="11"/>
    <w:link w:val="2"/>
    <w:qFormat/>
    <w:uiPriority w:val="0"/>
    <w:rPr>
      <w:rFonts w:ascii="Calibri" w:hAnsi="Calibri" w:eastAsia="宋体" w:cs="Times New Roman"/>
      <w:b/>
      <w:bCs/>
      <w:kern w:val="44"/>
      <w:sz w:val="44"/>
      <w:szCs w:val="44"/>
    </w:rPr>
  </w:style>
  <w:style w:type="paragraph" w:customStyle="1" w:styleId="18">
    <w:name w:val="列出段落"/>
    <w:basedOn w:val="1"/>
    <w:qFormat/>
    <w:uiPriority w:val="0"/>
    <w:pPr>
      <w:ind w:firstLine="420" w:firstLineChars="200"/>
    </w:pPr>
    <w:rPr>
      <w:rFonts w:ascii="等线" w:hAnsi="等线" w:eastAsia="等线"/>
    </w:rPr>
  </w:style>
  <w:style w:type="character" w:customStyle="1" w:styleId="19">
    <w:name w:val="批注文字 字符"/>
    <w:basedOn w:val="11"/>
    <w:link w:val="3"/>
    <w:semiHidden/>
    <w:uiPriority w:val="0"/>
    <w:rPr>
      <w:rFonts w:ascii="Calibri" w:hAnsi="Calibri" w:eastAsia="宋体" w:cs="Times New Roman"/>
    </w:rPr>
  </w:style>
  <w:style w:type="character" w:customStyle="1" w:styleId="20">
    <w:name w:val="批注主题 字符"/>
    <w:basedOn w:val="19"/>
    <w:link w:val="8"/>
    <w:semiHidden/>
    <w:uiPriority w:val="0"/>
    <w:rPr>
      <w:rFonts w:ascii="Calibri" w:hAnsi="Calibri" w:eastAsia="宋体" w:cs="Times New Roman"/>
      <w:b/>
      <w:bCs/>
    </w:rPr>
  </w:style>
  <w:style w:type="character" w:customStyle="1" w:styleId="21">
    <w:name w:val="批注框文本 字符"/>
    <w:basedOn w:val="11"/>
    <w:link w:val="4"/>
    <w:semiHidden/>
    <w:uiPriority w:val="0"/>
    <w:rPr>
      <w:rFonts w:ascii="Calibri" w:hAnsi="Calibri" w:eastAsia="宋体" w:cs="Times New Roman"/>
      <w:sz w:val="18"/>
      <w:szCs w:val="18"/>
    </w:rPr>
  </w:style>
  <w:style w:type="paragraph" w:customStyle="1" w:styleId="22">
    <w:name w:val="列出段落1"/>
    <w:basedOn w:val="1"/>
    <w:uiPriority w:val="0"/>
    <w:pPr>
      <w:ind w:firstLine="420" w:firstLineChars="200"/>
    </w:pPr>
  </w:style>
  <w:style w:type="character" w:customStyle="1" w:styleId="23">
    <w:name w:val="font41"/>
    <w:basedOn w:val="11"/>
    <w:qFormat/>
    <w:uiPriority w:val="0"/>
    <w:rPr>
      <w:rFonts w:hint="eastAsia" w:ascii="仿宋_GB2312" w:eastAsia="仿宋_GB2312" w:cs="仿宋_GB2312"/>
      <w:color w:val="000000"/>
      <w:sz w:val="18"/>
      <w:szCs w:val="18"/>
      <w:u w:val="none"/>
    </w:rPr>
  </w:style>
  <w:style w:type="character" w:customStyle="1" w:styleId="24">
    <w:name w:val="font61"/>
    <w:basedOn w:val="11"/>
    <w:qFormat/>
    <w:uiPriority w:val="0"/>
    <w:rPr>
      <w:rFonts w:hint="eastAsia" w:ascii="宋体" w:hAnsi="宋体" w:eastAsia="宋体" w:cs="宋体"/>
      <w:color w:val="000000"/>
      <w:sz w:val="18"/>
      <w:szCs w:val="18"/>
      <w:u w:val="none"/>
    </w:rPr>
  </w:style>
  <w:style w:type="character" w:customStyle="1" w:styleId="25">
    <w:name w:val="font51"/>
    <w:basedOn w:val="11"/>
    <w:uiPriority w:val="0"/>
    <w:rPr>
      <w:rFonts w:hint="eastAsia" w:ascii="宋体" w:hAnsi="宋体" w:eastAsia="宋体" w:cs="宋体"/>
      <w:color w:val="000000"/>
      <w:sz w:val="18"/>
      <w:szCs w:val="18"/>
      <w:u w:val="none"/>
    </w:rPr>
  </w:style>
  <w:style w:type="character" w:customStyle="1" w:styleId="26">
    <w:name w:val="font11"/>
    <w:basedOn w:val="11"/>
    <w:uiPriority w:val="0"/>
    <w:rPr>
      <w:rFonts w:hint="eastAsia" w:ascii="仿宋" w:hAnsi="仿宋" w:eastAsia="仿宋" w:cs="仿宋"/>
      <w:color w:val="000000"/>
      <w:sz w:val="22"/>
      <w:szCs w:val="22"/>
      <w:u w:val="none"/>
    </w:rPr>
  </w:style>
  <w:style w:type="character" w:customStyle="1" w:styleId="27">
    <w:name w:val="font21"/>
    <w:basedOn w:val="11"/>
    <w:uiPriority w:val="0"/>
    <w:rPr>
      <w:rFonts w:hint="eastAsia" w:ascii="仿宋" w:hAnsi="仿宋" w:eastAsia="仿宋" w:cs="仿宋"/>
      <w:color w:val="000000"/>
      <w:sz w:val="18"/>
      <w:szCs w:val="18"/>
      <w:u w:val="none"/>
    </w:rPr>
  </w:style>
  <w:style w:type="character" w:customStyle="1" w:styleId="28">
    <w:name w:val="font31"/>
    <w:basedOn w:val="11"/>
    <w:uiPriority w:val="0"/>
    <w:rPr>
      <w:rFonts w:hint="eastAsia" w:ascii="仿宋" w:hAnsi="仿宋" w:eastAsia="仿宋" w:cs="仿宋"/>
      <w:color w:val="000000"/>
      <w:sz w:val="22"/>
      <w:szCs w:val="22"/>
      <w:u w:val="none"/>
    </w:rPr>
  </w:style>
  <w:style w:type="character" w:customStyle="1" w:styleId="29">
    <w:name w:val="font01"/>
    <w:basedOn w:val="11"/>
    <w:uiPriority w:val="0"/>
    <w:rPr>
      <w:rFonts w:hint="eastAsia" w:ascii="仿宋" w:hAnsi="仿宋" w:eastAsia="仿宋" w:cs="仿宋"/>
      <w:color w:val="000000"/>
      <w:sz w:val="18"/>
      <w:szCs w:val="18"/>
      <w:u w:val="non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582</Words>
  <Characters>3320</Characters>
  <Lines>27</Lines>
  <Paragraphs>7</Paragraphs>
  <TotalTime>10</TotalTime>
  <ScaleCrop>false</ScaleCrop>
  <LinksUpToDate>false</LinksUpToDate>
  <CharactersWithSpaces>3895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2020-11-09T02:30:00Z</dcterms:created>
  <dc:creator>全州县应急局</dc:creator>
  <cp:lastModifiedBy>Administrator</cp:lastModifiedBy>
  <cp:lastPrinted>2020-11-03T02:30:00Z</cp:lastPrinted>
  <dcterms:modified xsi:type="dcterms:W3CDTF">2020-12-16T08:02:42Z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