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44"/>
          <w:szCs w:val="44"/>
          <w:lang w:val="en-US" w:eastAsia="zh-CN"/>
        </w:rPr>
      </w:pPr>
      <w:bookmarkStart w:id="0" w:name="_Toc24724704"/>
      <w:r>
        <w:rPr>
          <w:rFonts w:hint="eastAsia" w:ascii="方正小标宋_GBK" w:hAnsi="方正小标宋_GBK" w:eastAsia="方正小标宋_GBK"/>
          <w:b w:val="0"/>
          <w:bCs w:val="0"/>
          <w:sz w:val="44"/>
          <w:szCs w:val="44"/>
          <w:u w:val="none"/>
          <w:lang w:val="en-US" w:eastAsia="zh-CN"/>
        </w:rPr>
        <w:t>平乐县应急管理局</w:t>
      </w:r>
      <w:r>
        <w:rPr>
          <w:rFonts w:hint="eastAsia" w:ascii="方正小标宋_GBK" w:hAnsi="方正小标宋_GBK" w:eastAsia="方正小标宋_GBK"/>
          <w:b w:val="0"/>
          <w:bCs w:val="0"/>
          <w:sz w:val="44"/>
          <w:szCs w:val="44"/>
        </w:rPr>
        <w:t>基层政务公开标准目录</w:t>
      </w:r>
      <w:bookmarkEnd w:id="0"/>
    </w:p>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sz w:val="28"/>
          <w:szCs w:val="28"/>
          <w:lang w:val="en-US" w:eastAsia="zh-CN"/>
        </w:rPr>
      </w:pPr>
      <w:r>
        <w:rPr>
          <w:rFonts w:hint="eastAsia"/>
          <w:sz w:val="28"/>
          <w:szCs w:val="28"/>
          <w:lang w:val="en-US" w:eastAsia="zh-CN"/>
        </w:rPr>
        <w:t>编制单位：平乐县应急管理局</w:t>
      </w:r>
    </w:p>
    <w:p>
      <w:pPr>
        <w:pStyle w:val="2"/>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0"/>
        <w:rPr>
          <w:rFonts w:hint="eastAsia"/>
          <w:sz w:val="28"/>
          <w:szCs w:val="28"/>
          <w:lang w:val="en-US" w:eastAsia="zh-CN"/>
        </w:rPr>
      </w:pPr>
      <w:bookmarkStart w:id="1" w:name="_Toc24724725"/>
      <w:r>
        <w:rPr>
          <w:rFonts w:hint="eastAsia" w:ascii="方正小标宋_GBK" w:hAnsi="方正小标宋_GBK" w:eastAsia="方正小标宋_GBK"/>
          <w:b w:val="0"/>
          <w:bCs w:val="0"/>
          <w:sz w:val="30"/>
        </w:rPr>
        <w:t>（二十二）安全生产领域基层政务公开标准目录</w:t>
      </w:r>
      <w:bookmarkEnd w:id="1"/>
    </w:p>
    <w:tbl>
      <w:tblPr>
        <w:tblStyle w:val="4"/>
        <w:tblW w:w="1575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1910"/>
        <w:gridCol w:w="2183"/>
        <w:gridCol w:w="1833"/>
        <w:gridCol w:w="1442"/>
        <w:gridCol w:w="1975"/>
        <w:gridCol w:w="683"/>
        <w:gridCol w:w="800"/>
        <w:gridCol w:w="534"/>
        <w:gridCol w:w="783"/>
        <w:gridCol w:w="60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Merge w:val="restart"/>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olor w:val="000000"/>
                <w:kern w:val="0"/>
                <w:sz w:val="22"/>
              </w:rPr>
            </w:pPr>
            <w:r>
              <w:rPr>
                <w:rFonts w:hint="default" w:ascii="Times New Roman" w:hAnsi="宋体"/>
                <w:color w:val="000000"/>
                <w:kern w:val="0"/>
                <w:sz w:val="22"/>
              </w:rPr>
              <w:t>序号</w:t>
            </w:r>
          </w:p>
        </w:tc>
        <w:tc>
          <w:tcPr>
            <w:tcW w:w="1800"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公开事项</w:t>
            </w:r>
          </w:p>
        </w:tc>
        <w:tc>
          <w:tcPr>
            <w:tcW w:w="1910" w:type="dxa"/>
            <w:vMerge w:val="restart"/>
            <w:vAlign w:val="center"/>
          </w:tcPr>
          <w:p>
            <w:pPr>
              <w:keepNext w:val="0"/>
              <w:keepLines w:val="0"/>
              <w:widowControl/>
              <w:suppressLineNumbers w:val="0"/>
              <w:spacing w:before="0" w:beforeAutospacing="0" w:after="0" w:afterAutospacing="0" w:line="240" w:lineRule="atLeast"/>
              <w:ind w:left="0" w:right="0"/>
              <w:rPr>
                <w:rFonts w:hint="default"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83" w:type="dxa"/>
            <w:vMerge w:val="restart"/>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公开依据</w:t>
            </w:r>
          </w:p>
        </w:tc>
        <w:tc>
          <w:tcPr>
            <w:tcW w:w="1833" w:type="dxa"/>
            <w:vMerge w:val="restart"/>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公开时限</w:t>
            </w:r>
          </w:p>
        </w:tc>
        <w:tc>
          <w:tcPr>
            <w:tcW w:w="1442" w:type="dxa"/>
            <w:vMerge w:val="restart"/>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公开主体</w:t>
            </w:r>
          </w:p>
        </w:tc>
        <w:tc>
          <w:tcPr>
            <w:tcW w:w="1975" w:type="dxa"/>
            <w:vMerge w:val="restart"/>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kern w:val="0"/>
                <w:sz w:val="22"/>
              </w:rPr>
            </w:pPr>
            <w:r>
              <w:rPr>
                <w:rFonts w:hint="eastAsia" w:ascii="黑体" w:hAnsi="宋体" w:eastAsia="黑体" w:cs="宋体"/>
                <w:kern w:val="0"/>
                <w:sz w:val="22"/>
              </w:rPr>
              <w:t>公开渠道和载体</w:t>
            </w:r>
          </w:p>
        </w:tc>
        <w:tc>
          <w:tcPr>
            <w:tcW w:w="1483"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公开对象</w:t>
            </w:r>
          </w:p>
        </w:tc>
        <w:tc>
          <w:tcPr>
            <w:tcW w:w="1317"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公开方式</w:t>
            </w:r>
          </w:p>
        </w:tc>
        <w:tc>
          <w:tcPr>
            <w:tcW w:w="1267"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Merge w:val="continue"/>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olor w:val="000000"/>
                <w:kern w:val="0"/>
                <w:sz w:val="22"/>
              </w:rPr>
            </w:pPr>
          </w:p>
        </w:tc>
        <w:tc>
          <w:tcPr>
            <w:tcW w:w="900" w:type="dxa"/>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二级事项</w:t>
            </w:r>
          </w:p>
        </w:tc>
        <w:tc>
          <w:tcPr>
            <w:tcW w:w="1910" w:type="dxa"/>
            <w:vMerge w:val="continue"/>
            <w:vAlign w:val="center"/>
          </w:tcPr>
          <w:p>
            <w:pPr>
              <w:keepNext w:val="0"/>
              <w:keepLines w:val="0"/>
              <w:widowControl/>
              <w:suppressLineNumbers w:val="0"/>
              <w:spacing w:before="0" w:beforeAutospacing="0" w:after="0" w:afterAutospacing="0" w:line="240" w:lineRule="atLeast"/>
              <w:ind w:left="0" w:right="0"/>
              <w:rPr>
                <w:rFonts w:hint="default" w:ascii="黑体" w:hAnsi="宋体" w:eastAsia="黑体" w:cs="宋体"/>
                <w:color w:val="000000"/>
                <w:kern w:val="0"/>
                <w:sz w:val="22"/>
              </w:rPr>
            </w:pPr>
          </w:p>
        </w:tc>
        <w:tc>
          <w:tcPr>
            <w:tcW w:w="2183" w:type="dxa"/>
            <w:vMerge w:val="continue"/>
            <w:vAlign w:val="center"/>
          </w:tcPr>
          <w:p>
            <w:pPr>
              <w:keepNext w:val="0"/>
              <w:keepLines w:val="0"/>
              <w:widowControl/>
              <w:suppressLineNumbers w:val="0"/>
              <w:spacing w:before="0" w:beforeAutospacing="0" w:after="0" w:afterAutospacing="0" w:line="240" w:lineRule="atLeast"/>
              <w:ind w:left="0" w:right="0"/>
              <w:jc w:val="left"/>
              <w:rPr>
                <w:rFonts w:hint="default" w:ascii="黑体" w:hAnsi="宋体" w:eastAsia="黑体" w:cs="宋体"/>
                <w:color w:val="000000"/>
                <w:kern w:val="0"/>
                <w:sz w:val="22"/>
              </w:rPr>
            </w:pPr>
          </w:p>
        </w:tc>
        <w:tc>
          <w:tcPr>
            <w:tcW w:w="1833" w:type="dxa"/>
            <w:vMerge w:val="continue"/>
            <w:vAlign w:val="center"/>
          </w:tcPr>
          <w:p>
            <w:pPr>
              <w:keepNext w:val="0"/>
              <w:keepLines w:val="0"/>
              <w:widowControl/>
              <w:suppressLineNumbers w:val="0"/>
              <w:spacing w:before="0" w:beforeAutospacing="0" w:after="0" w:afterAutospacing="0" w:line="240" w:lineRule="atLeast"/>
              <w:ind w:left="0" w:right="0"/>
              <w:jc w:val="left"/>
              <w:rPr>
                <w:rFonts w:hint="default" w:ascii="黑体" w:hAnsi="宋体" w:eastAsia="黑体" w:cs="宋体"/>
                <w:color w:val="000000"/>
                <w:kern w:val="0"/>
                <w:sz w:val="22"/>
              </w:rPr>
            </w:pPr>
          </w:p>
        </w:tc>
        <w:tc>
          <w:tcPr>
            <w:tcW w:w="1442" w:type="dxa"/>
            <w:vMerge w:val="continue"/>
            <w:vAlign w:val="center"/>
          </w:tcPr>
          <w:p>
            <w:pPr>
              <w:keepNext w:val="0"/>
              <w:keepLines w:val="0"/>
              <w:widowControl/>
              <w:suppressLineNumbers w:val="0"/>
              <w:spacing w:before="0" w:beforeAutospacing="0" w:after="0" w:afterAutospacing="0" w:line="240" w:lineRule="atLeast"/>
              <w:ind w:left="0" w:right="0"/>
              <w:jc w:val="left"/>
              <w:rPr>
                <w:rFonts w:hint="default" w:ascii="黑体" w:hAnsi="宋体" w:eastAsia="黑体" w:cs="宋体"/>
                <w:color w:val="000000"/>
                <w:kern w:val="0"/>
                <w:sz w:val="22"/>
              </w:rPr>
            </w:pPr>
          </w:p>
        </w:tc>
        <w:tc>
          <w:tcPr>
            <w:tcW w:w="1975" w:type="dxa"/>
            <w:vMerge w:val="continue"/>
            <w:vAlign w:val="center"/>
          </w:tcPr>
          <w:p>
            <w:pPr>
              <w:keepNext w:val="0"/>
              <w:keepLines w:val="0"/>
              <w:widowControl/>
              <w:suppressLineNumbers w:val="0"/>
              <w:spacing w:before="0" w:beforeAutospacing="0" w:after="0" w:afterAutospacing="0" w:line="240" w:lineRule="atLeast"/>
              <w:ind w:left="0" w:right="0"/>
              <w:jc w:val="left"/>
              <w:rPr>
                <w:rFonts w:hint="default" w:ascii="黑体" w:hAnsi="宋体" w:eastAsia="黑体" w:cs="宋体"/>
                <w:kern w:val="0"/>
                <w:sz w:val="22"/>
              </w:rPr>
            </w:pPr>
          </w:p>
        </w:tc>
        <w:tc>
          <w:tcPr>
            <w:tcW w:w="683" w:type="dxa"/>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全社会</w:t>
            </w:r>
          </w:p>
        </w:tc>
        <w:tc>
          <w:tcPr>
            <w:tcW w:w="800" w:type="dxa"/>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特定群众</w:t>
            </w:r>
          </w:p>
        </w:tc>
        <w:tc>
          <w:tcPr>
            <w:tcW w:w="534" w:type="dxa"/>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主动</w:t>
            </w:r>
          </w:p>
        </w:tc>
        <w:tc>
          <w:tcPr>
            <w:tcW w:w="783" w:type="dxa"/>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00" w:type="dxa"/>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县级</w:t>
            </w:r>
          </w:p>
        </w:tc>
        <w:tc>
          <w:tcPr>
            <w:tcW w:w="667" w:type="dxa"/>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02" w:hRule="atLeas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仿宋_GB2312" w:hAnsi="宋体" w:eastAsia="仿宋_GB2312"/>
                <w:color w:val="000000"/>
                <w:sz w:val="18"/>
                <w:szCs w:val="18"/>
              </w:rPr>
            </w:pPr>
            <w:r>
              <w:rPr>
                <w:rFonts w:hint="default" w:ascii="仿宋_GB2312" w:hAnsi="宋体" w:eastAsia="仿宋_GB2312"/>
                <w:color w:val="000000"/>
                <w:sz w:val="18"/>
                <w:szCs w:val="18"/>
              </w:rPr>
              <w:t>1</w:t>
            </w:r>
          </w:p>
        </w:tc>
        <w:tc>
          <w:tcPr>
            <w:tcW w:w="900" w:type="dxa"/>
            <w:vMerge w:val="restart"/>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rPr>
            </w:pPr>
            <w:r>
              <w:rPr>
                <w:rFonts w:hint="eastAsia" w:ascii="仿宋_GB2312" w:hAnsi="宋体" w:eastAsia="仿宋_GB2312" w:cs="宋体"/>
                <w:color w:val="000000"/>
                <w:sz w:val="18"/>
                <w:szCs w:val="18"/>
              </w:rPr>
              <w:t>文件</w:t>
            </w: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法律法规</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与安全生产有关的法律、法规</w:t>
            </w:r>
          </w:p>
        </w:tc>
        <w:tc>
          <w:tcPr>
            <w:tcW w:w="21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《政府信息公开条例》</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信息形成或变更之日起20个工作日内</w:t>
            </w:r>
          </w:p>
        </w:tc>
        <w:tc>
          <w:tcPr>
            <w:tcW w:w="1442"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仿宋_GB2312" w:hAnsi="宋体" w:eastAsia="仿宋_GB2312"/>
                <w:color w:val="000000"/>
                <w:sz w:val="18"/>
                <w:szCs w:val="18"/>
              </w:rPr>
            </w:pPr>
            <w:r>
              <w:rPr>
                <w:rFonts w:hint="default" w:ascii="仿宋_GB2312" w:hAnsi="宋体" w:eastAsia="仿宋_GB2312"/>
                <w:color w:val="000000"/>
                <w:sz w:val="18"/>
                <w:szCs w:val="18"/>
              </w:rPr>
              <w:t>2</w:t>
            </w:r>
          </w:p>
        </w:tc>
        <w:tc>
          <w:tcPr>
            <w:tcW w:w="900" w:type="dxa"/>
            <w:vMerge w:val="continue"/>
            <w:vAlign w:val="center"/>
          </w:tcPr>
          <w:p>
            <w:pPr>
              <w:keepNext w:val="0"/>
              <w:keepLines w:val="0"/>
              <w:widowControl/>
              <w:suppressLineNumbers w:val="0"/>
              <w:spacing w:before="0" w:beforeAutospacing="0" w:after="0" w:afterAutospacing="0" w:line="240" w:lineRule="atLeast"/>
              <w:ind w:left="0" w:right="0"/>
              <w:textAlignment w:val="center"/>
              <w:rPr>
                <w:rFonts w:hint="eastAsia" w:ascii="仿宋_GB2312" w:hAnsi="宋体" w:eastAsia="仿宋_GB2312"/>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部门和地方规章</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与安全生产有关的部门和地方规章</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eastAsia" w:ascii="仿宋_GB2312" w:eastAsia="仿宋_GB2312"/>
                <w:bCs/>
                <w:color w:val="000000"/>
                <w:sz w:val="18"/>
                <w:szCs w:val="18"/>
              </w:rPr>
              <w:t>《政府信息公开条例》</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信息形成或变更之日起20个工作日内</w:t>
            </w:r>
          </w:p>
        </w:tc>
        <w:tc>
          <w:tcPr>
            <w:tcW w:w="1442"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仿宋_GB2312" w:hAnsi="宋体" w:eastAsia="仿宋_GB2312"/>
                <w:color w:val="000000"/>
                <w:sz w:val="18"/>
                <w:szCs w:val="18"/>
              </w:rPr>
            </w:pPr>
            <w:r>
              <w:rPr>
                <w:rFonts w:hint="default" w:ascii="仿宋_GB2312" w:hAnsi="宋体" w:eastAsia="仿宋_GB2312"/>
                <w:color w:val="000000"/>
                <w:sz w:val="18"/>
                <w:szCs w:val="18"/>
              </w:rPr>
              <w:t>3</w:t>
            </w:r>
          </w:p>
        </w:tc>
        <w:tc>
          <w:tcPr>
            <w:tcW w:w="900" w:type="dxa"/>
            <w:vMerge w:val="continue"/>
            <w:vAlign w:val="center"/>
          </w:tcPr>
          <w:p>
            <w:pPr>
              <w:keepNext w:val="0"/>
              <w:keepLines w:val="0"/>
              <w:widowControl/>
              <w:suppressLineNumbers w:val="0"/>
              <w:spacing w:before="0" w:beforeAutospacing="0" w:after="0" w:afterAutospacing="0" w:line="240" w:lineRule="atLeast"/>
              <w:ind w:left="0" w:right="0"/>
              <w:textAlignment w:val="center"/>
              <w:rPr>
                <w:rFonts w:hint="eastAsia" w:ascii="仿宋_GB2312" w:hAnsi="宋体" w:eastAsia="仿宋_GB2312"/>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其他政策文件</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1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《政府信息公开条例》</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信息形成或变更之日起20个工作日内</w:t>
            </w:r>
          </w:p>
        </w:tc>
        <w:tc>
          <w:tcPr>
            <w:tcW w:w="1442"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仿宋_GB2312" w:hAnsi="宋体" w:eastAsia="仿宋_GB2312"/>
                <w:color w:val="000000"/>
                <w:sz w:val="18"/>
                <w:szCs w:val="18"/>
              </w:rPr>
            </w:pPr>
            <w:r>
              <w:rPr>
                <w:rFonts w:hint="default" w:ascii="仿宋_GB2312" w:hAnsi="宋体" w:eastAsia="仿宋_GB2312"/>
                <w:color w:val="000000"/>
                <w:sz w:val="18"/>
                <w:szCs w:val="18"/>
              </w:rPr>
              <w:t>4</w:t>
            </w:r>
          </w:p>
        </w:tc>
        <w:tc>
          <w:tcPr>
            <w:tcW w:w="900" w:type="dxa"/>
            <w:vMerge w:val="continue"/>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标准</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安全生产领域有关的国家标准、行业标准、地方标准等</w:t>
            </w:r>
          </w:p>
        </w:tc>
        <w:tc>
          <w:tcPr>
            <w:tcW w:w="21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《政府信息公开条例》</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信息形成或变更之日起20个工作日内</w:t>
            </w:r>
          </w:p>
        </w:tc>
        <w:tc>
          <w:tcPr>
            <w:tcW w:w="1442"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900" w:type="dxa"/>
            <w:vMerge w:val="restart"/>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rPr>
            </w:pPr>
            <w:r>
              <w:rPr>
                <w:rFonts w:hint="eastAsia" w:ascii="仿宋_GB2312" w:hAnsi="宋体" w:eastAsia="仿宋_GB2312" w:cs="宋体"/>
                <w:color w:val="000000"/>
                <w:sz w:val="18"/>
                <w:szCs w:val="18"/>
              </w:rPr>
              <w:t>文件</w:t>
            </w: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重大决策草案</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1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default" w:ascii="Times New Roman" w:hAnsi="Times New Roman" w:eastAsia="仿宋_GB2312"/>
                <w:bCs/>
                <w:color w:val="000000"/>
                <w:sz w:val="18"/>
                <w:szCs w:val="18"/>
              </w:rPr>
              <w:t>《政府信息公开条例》、《关于全面推进政务公开工作的意见》（中办发〔2016〕8号）</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按进展情况及时公开</w:t>
            </w:r>
          </w:p>
        </w:tc>
        <w:tc>
          <w:tcPr>
            <w:tcW w:w="1442"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w:t>
            </w:r>
          </w:p>
        </w:tc>
        <w:tc>
          <w:tcPr>
            <w:tcW w:w="900" w:type="dxa"/>
            <w:vMerge w:val="continue"/>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重大政策解读及回应</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183" w:type="dxa"/>
            <w:vAlign w:val="top"/>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default" w:ascii="Times New Roman" w:hAnsi="Times New Roman" w:eastAsia="仿宋_GB2312"/>
                <w:bCs/>
                <w:color w:val="000000"/>
                <w:sz w:val="18"/>
                <w:szCs w:val="18"/>
              </w:rPr>
              <w:t>《政府信息公开条例》、《关于全面推进政务公开工作的意见》（中办发〔2016〕8号）</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重大决策作出后及时公开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900" w:type="dxa"/>
            <w:vMerge w:val="continue"/>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重要会议</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183" w:type="dxa"/>
            <w:vAlign w:val="top"/>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default" w:ascii="Times New Roman" w:hAnsi="Times New Roman" w:eastAsia="仿宋_GB2312"/>
                <w:bCs/>
                <w:color w:val="000000"/>
                <w:sz w:val="18"/>
                <w:szCs w:val="18"/>
              </w:rPr>
              <w:t>《政府信息公开条例》、《关于全面推进政务公开工作的意见》（中办发〔2016〕8号）</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提前一周发通知邀请</w:t>
            </w:r>
          </w:p>
        </w:tc>
        <w:tc>
          <w:tcPr>
            <w:tcW w:w="1442"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leftChars="0" w:right="0" w:rightChars="0"/>
              <w:rPr>
                <w:rFonts w:hint="eastAsia" w:ascii="仿宋_GB2312" w:hAnsi="宋体" w:eastAsia="仿宋_GB2312"/>
                <w:color w:val="000000"/>
                <w:sz w:val="18"/>
                <w:szCs w:val="18"/>
              </w:rPr>
            </w:pPr>
            <w:r>
              <w:rPr>
                <w:rFonts w:hint="eastAsia" w:ascii="仿宋_GB2312" w:eastAsia="仿宋_GB2312"/>
                <w:bCs/>
                <w:color w:val="FF0000"/>
                <w:sz w:val="18"/>
                <w:szCs w:val="18"/>
              </w:rPr>
              <w:t>√</w:t>
            </w:r>
            <w:bookmarkStart w:id="3" w:name="_GoBack"/>
            <w:bookmarkEnd w:id="3"/>
          </w:p>
        </w:tc>
        <w:tc>
          <w:tcPr>
            <w:tcW w:w="800" w:type="dxa"/>
            <w:vAlign w:val="center"/>
          </w:tcPr>
          <w:p>
            <w:pPr>
              <w:keepNext w:val="0"/>
              <w:keepLines w:val="0"/>
              <w:suppressLineNumbers w:val="0"/>
              <w:spacing w:before="0" w:beforeAutospacing="0" w:after="0" w:afterAutospacing="0"/>
              <w:ind w:left="0" w:leftChars="0" w:right="0" w:rightChars="0"/>
              <w:rPr>
                <w:rFonts w:hint="eastAsia" w:ascii="仿宋_GB2312" w:hAnsi="宋体" w:eastAsia="仿宋_GB2312"/>
                <w:color w:val="FF0000"/>
                <w:sz w:val="18"/>
                <w:szCs w:val="18"/>
              </w:rPr>
            </w:pPr>
          </w:p>
        </w:tc>
        <w:tc>
          <w:tcPr>
            <w:tcW w:w="534" w:type="dxa"/>
            <w:vAlign w:val="center"/>
          </w:tcPr>
          <w:p>
            <w:pPr>
              <w:keepNext w:val="0"/>
              <w:keepLines w:val="0"/>
              <w:suppressLineNumbers w:val="0"/>
              <w:spacing w:before="0" w:beforeAutospacing="0" w:after="0" w:afterAutospacing="0"/>
              <w:ind w:left="0" w:leftChars="0" w:right="0" w:rightChars="0"/>
              <w:rPr>
                <w:rFonts w:hint="eastAsia" w:ascii="仿宋_GB2312" w:hAnsi="宋体" w:eastAsia="仿宋_GB2312"/>
                <w:color w:val="FF0000"/>
                <w:sz w:val="18"/>
                <w:szCs w:val="18"/>
              </w:rPr>
            </w:pPr>
            <w:r>
              <w:rPr>
                <w:rFonts w:hint="eastAsia" w:ascii="仿宋_GB2312" w:eastAsia="仿宋_GB2312"/>
                <w:bCs/>
                <w:color w:val="FF0000"/>
                <w:sz w:val="18"/>
                <w:szCs w:val="18"/>
              </w:rPr>
              <w:t>　√</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FF0000"/>
                <w:sz w:val="18"/>
                <w:szCs w:val="18"/>
              </w:rPr>
            </w:pPr>
            <w:r>
              <w:rPr>
                <w:rFonts w:hint="eastAsia" w:ascii="仿宋_GB2312" w:eastAsia="仿宋_GB2312"/>
                <w:bCs/>
                <w:color w:val="FF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8</w:t>
            </w:r>
          </w:p>
        </w:tc>
        <w:tc>
          <w:tcPr>
            <w:tcW w:w="900" w:type="dxa"/>
            <w:vMerge w:val="continue"/>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征集采纳社会公众意见情况</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183" w:type="dxa"/>
            <w:vAlign w:val="top"/>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default" w:ascii="Times New Roman" w:hAnsi="Times New Roman" w:eastAsia="仿宋_GB2312"/>
                <w:bCs/>
                <w:color w:val="000000"/>
                <w:sz w:val="18"/>
                <w:szCs w:val="18"/>
              </w:rPr>
              <w:t>《政府信息公开条例》、《关于全面推进政务公开工作的意见》（中办发〔2016〕8号）</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征求意见时对外公布的时限内公开</w:t>
            </w:r>
          </w:p>
        </w:tc>
        <w:tc>
          <w:tcPr>
            <w:tcW w:w="1442"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9</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rPr>
            </w:pPr>
            <w:r>
              <w:rPr>
                <w:rFonts w:hint="eastAsia" w:ascii="仿宋_GB2312" w:hAnsi="宋体" w:eastAsia="仿宋_GB2312" w:cs="宋体"/>
                <w:color w:val="000000"/>
                <w:sz w:val="18"/>
                <w:szCs w:val="18"/>
              </w:rPr>
              <w:t>行政</w:t>
            </w: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行政许可</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1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default" w:ascii="Times New Roman" w:hAnsi="Times New Roman" w:eastAsia="仿宋_GB2312"/>
                <w:bCs/>
                <w:color w:val="000000"/>
                <w:sz w:val="18"/>
                <w:szCs w:val="18"/>
              </w:rPr>
              <w:t>《政府信息公开条例》、《关于推进安全生产领域改革发展的意见》（中发〔2016〕32号）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信息形成或变更之日起20个工作日内</w:t>
            </w:r>
          </w:p>
        </w:tc>
        <w:tc>
          <w:tcPr>
            <w:tcW w:w="1442"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900" w:type="dxa"/>
            <w:vMerge w:val="restart"/>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rPr>
            </w:pPr>
            <w:r>
              <w:rPr>
                <w:rFonts w:hint="eastAsia" w:ascii="仿宋_GB2312" w:hAnsi="宋体" w:eastAsia="仿宋_GB2312" w:cs="宋体"/>
                <w:color w:val="000000"/>
                <w:sz w:val="18"/>
                <w:szCs w:val="18"/>
              </w:rPr>
              <w:t>行政</w:t>
            </w: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行政处罚</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1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default" w:ascii="Times New Roman" w:hAnsi="Times New Roman" w:eastAsia="仿宋_GB2312"/>
                <w:bCs/>
                <w:color w:val="000000"/>
                <w:sz w:val="18"/>
                <w:szCs w:val="18"/>
              </w:rPr>
              <w:t>《政府信息公开条例》、《关于推进安全生产领域改革发展的意见》（中发〔2016〕32号）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信息形成或变更之日起20个工作日内</w:t>
            </w:r>
          </w:p>
        </w:tc>
        <w:tc>
          <w:tcPr>
            <w:tcW w:w="1442"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11</w:t>
            </w:r>
          </w:p>
        </w:tc>
        <w:tc>
          <w:tcPr>
            <w:tcW w:w="900" w:type="dxa"/>
            <w:vMerge w:val="continue"/>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仿宋_GB2312" w:hAnsi="宋体" w:eastAsia="仿宋_GB2312"/>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行政强制</w:t>
            </w:r>
          </w:p>
        </w:tc>
        <w:tc>
          <w:tcPr>
            <w:tcW w:w="191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办理行政强制的依据、条件、程序</w:t>
            </w:r>
          </w:p>
        </w:tc>
        <w:tc>
          <w:tcPr>
            <w:tcW w:w="21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default" w:ascii="Times New Roman" w:hAnsi="Times New Roman" w:eastAsia="仿宋_GB2312"/>
                <w:bCs/>
                <w:color w:val="000000"/>
                <w:sz w:val="18"/>
                <w:szCs w:val="18"/>
              </w:rPr>
              <w:t>《政府信息公开条例》、《突发事件应对法》、《突发事件应急预案管理办法》（国办发〔2013〕101号）、《中共中央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信息形成或变更之日起20个工作日内</w:t>
            </w:r>
          </w:p>
        </w:tc>
        <w:tc>
          <w:tcPr>
            <w:tcW w:w="1442"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lang w:val="en-US" w:eastAsia="zh-CN"/>
              </w:rPr>
            </w:pPr>
            <w:r>
              <w:rPr>
                <w:rFonts w:hint="eastAsia" w:ascii="仿宋_GB2312" w:hAnsi="宋体" w:eastAsia="仿宋_GB2312" w:cs="宋体"/>
                <w:color w:val="000000"/>
                <w:sz w:val="18"/>
                <w:szCs w:val="18"/>
              </w:rPr>
              <w:t>12</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rPr>
            </w:pPr>
            <w:r>
              <w:rPr>
                <w:rFonts w:hint="eastAsia" w:ascii="仿宋_GB2312" w:hAnsi="宋体" w:eastAsia="仿宋_GB2312" w:cs="宋体"/>
                <w:color w:val="000000"/>
                <w:sz w:val="18"/>
                <w:szCs w:val="18"/>
              </w:rPr>
              <w:t>管理</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隐患管理</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color w:val="000000"/>
                <w:sz w:val="18"/>
                <w:szCs w:val="18"/>
              </w:rPr>
            </w:pPr>
            <w:r>
              <w:rPr>
                <w:rFonts w:hint="default" w:ascii="Times New Roman" w:hAnsi="Times New Roman" w:eastAsia="仿宋_GB2312"/>
                <w:bCs/>
                <w:color w:val="000000"/>
                <w:sz w:val="18"/>
                <w:szCs w:val="18"/>
              </w:rPr>
              <w:t>《安全生产法》、《政府信息公开条例》、《中共中央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按进展情况及时公开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lang w:val="en-US" w:eastAsia="zh-CN"/>
              </w:rPr>
            </w:pPr>
            <w:r>
              <w:rPr>
                <w:rFonts w:hint="eastAsia" w:ascii="仿宋_GB2312" w:hAnsi="宋体" w:eastAsia="仿宋_GB2312" w:cs="宋体"/>
                <w:color w:val="000000"/>
                <w:sz w:val="18"/>
                <w:szCs w:val="18"/>
              </w:rPr>
              <w:t>13</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rPr>
            </w:pPr>
            <w:r>
              <w:rPr>
                <w:rFonts w:hint="eastAsia" w:ascii="仿宋_GB2312" w:hAnsi="宋体" w:eastAsia="仿宋_GB2312" w:cs="宋体"/>
                <w:color w:val="000000"/>
                <w:sz w:val="18"/>
                <w:szCs w:val="18"/>
              </w:rPr>
              <w:t>管理</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应急管理</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color w:val="000000"/>
                <w:sz w:val="18"/>
                <w:szCs w:val="18"/>
              </w:rPr>
            </w:pPr>
            <w:r>
              <w:rPr>
                <w:rFonts w:hint="default" w:ascii="Times New Roman" w:hAnsi="Times New Roman" w:eastAsia="仿宋_GB2312"/>
                <w:bCs/>
                <w:color w:val="000000"/>
                <w:sz w:val="18"/>
                <w:szCs w:val="18"/>
              </w:rPr>
              <w:t>《政府信息公开条例》、《突发事件应对法》、《关于全面加强政务公开工作的意见》</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按进展情况及时公开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3" w:hRule="atLeas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lang w:val="en-US" w:eastAsia="zh-CN"/>
              </w:rPr>
            </w:pPr>
            <w:r>
              <w:rPr>
                <w:rFonts w:hint="eastAsia" w:ascii="仿宋_GB2312" w:hAnsi="宋体" w:eastAsia="仿宋_GB2312" w:cs="宋体"/>
                <w:color w:val="000000"/>
                <w:sz w:val="18"/>
                <w:szCs w:val="18"/>
              </w:rPr>
              <w:t>14</w:t>
            </w:r>
          </w:p>
        </w:tc>
        <w:tc>
          <w:tcPr>
            <w:tcW w:w="900"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黑名单管理</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color w:val="000000"/>
                <w:sz w:val="18"/>
                <w:szCs w:val="18"/>
              </w:rPr>
            </w:pPr>
            <w:r>
              <w:rPr>
                <w:rFonts w:hint="default" w:ascii="Times New Roman" w:hAnsi="Times New Roman" w:eastAsia="仿宋_GB2312"/>
                <w:bCs/>
                <w:color w:val="000000"/>
                <w:sz w:val="18"/>
                <w:szCs w:val="18"/>
              </w:rPr>
              <w:t>《政府信息公开条例》、《社会信用体系建设规划纲要（2014-2020年）》(国发〔2014〕21号)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信息形成或变更之日起20个工作日内</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lang w:val="en-US" w:eastAsia="zh-CN"/>
              </w:rPr>
            </w:pPr>
            <w:r>
              <w:rPr>
                <w:rFonts w:hint="eastAsia" w:ascii="仿宋_GB2312" w:hAnsi="宋体" w:eastAsia="仿宋_GB2312" w:cs="宋体"/>
                <w:color w:val="000000"/>
                <w:sz w:val="18"/>
                <w:szCs w:val="18"/>
              </w:rPr>
              <w:t>15</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keepNext w:val="0"/>
              <w:keepLines w:val="0"/>
              <w:suppressLineNumbers w:val="0"/>
              <w:spacing w:before="0" w:beforeAutospacing="0" w:after="0" w:afterAutospacing="0"/>
              <w:ind w:left="0" w:right="0"/>
              <w:jc w:val="center"/>
              <w:rPr>
                <w:rFonts w:hint="eastAsia" w:ascii="仿宋_GB2312" w:hAnsi="宋体" w:eastAsia="仿宋_GB2312"/>
                <w:color w:val="000000"/>
                <w:sz w:val="18"/>
                <w:szCs w:val="18"/>
              </w:rPr>
            </w:pPr>
            <w:r>
              <w:rPr>
                <w:rFonts w:hint="eastAsia" w:ascii="仿宋_GB2312" w:hAnsi="宋体" w:eastAsia="仿宋_GB2312" w:cs="宋体"/>
                <w:color w:val="000000"/>
                <w:sz w:val="18"/>
                <w:szCs w:val="18"/>
              </w:rPr>
              <w:t>管理</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事故通报</w:t>
            </w:r>
          </w:p>
        </w:tc>
        <w:tc>
          <w:tcPr>
            <w:tcW w:w="1910" w:type="dxa"/>
            <w:vAlign w:val="center"/>
          </w:tcPr>
          <w:p>
            <w:pPr>
              <w:keepNext w:val="0"/>
              <w:keepLines w:val="0"/>
              <w:suppressLineNumbers w:val="0"/>
              <w:spacing w:before="0" w:beforeAutospacing="0" w:after="0" w:afterAutospacing="0"/>
              <w:ind w:left="0" w:right="0"/>
              <w:jc w:val="left"/>
              <w:rPr>
                <w:rFonts w:hint="eastAsia" w:ascii="仿宋_GB2312" w:eastAsia="仿宋_GB2312"/>
                <w:bCs/>
                <w:color w:val="000000"/>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color w:val="000000"/>
                <w:sz w:val="18"/>
                <w:szCs w:val="18"/>
              </w:rPr>
            </w:pPr>
            <w:r>
              <w:rPr>
                <w:rFonts w:hint="default" w:ascii="Times New Roman" w:hAnsi="Times New Roman" w:eastAsia="仿宋_GB2312"/>
                <w:bCs/>
                <w:color w:val="000000"/>
                <w:sz w:val="18"/>
                <w:szCs w:val="18"/>
              </w:rPr>
              <w:t>《安全生产法》、《政府信息公开条例》、《中共中央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按照中央有关要求公开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动态信息</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业务工作动态、安全生产执法检查动态</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color w:val="000000"/>
                <w:sz w:val="18"/>
                <w:szCs w:val="18"/>
              </w:rPr>
            </w:pPr>
            <w:r>
              <w:rPr>
                <w:rFonts w:hint="default" w:ascii="Times New Roman" w:hAnsi="Times New Roman" w:eastAsia="仿宋_GB2312"/>
                <w:bCs/>
                <w:sz w:val="18"/>
                <w:szCs w:val="18"/>
              </w:rPr>
              <w:t>《政府信息公开条例》、《中共中央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按进展情况及时公开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安全生产预警提示信息</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气象及灾害预警信息            不同时段、不同领域安全生产提示信息</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color w:val="000000"/>
                <w:sz w:val="18"/>
                <w:szCs w:val="18"/>
              </w:rPr>
            </w:pPr>
            <w:r>
              <w:rPr>
                <w:rFonts w:hint="default" w:ascii="Times New Roman" w:hAnsi="Times New Roman" w:eastAsia="仿宋_GB2312"/>
                <w:bCs/>
                <w:sz w:val="18"/>
                <w:szCs w:val="18"/>
              </w:rPr>
              <w:t>《政府信息公开条例》、《中共中央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信息形成后及时公开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政务公开目录</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政务公开事项的索引、名称、内容概述、生成日期等</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color w:val="000000"/>
                <w:sz w:val="18"/>
                <w:szCs w:val="18"/>
              </w:rPr>
            </w:pPr>
            <w:r>
              <w:rPr>
                <w:rFonts w:hint="default" w:ascii="Times New Roman" w:hAnsi="Times New Roman" w:eastAsia="仿宋_GB2312"/>
                <w:bCs/>
                <w:sz w:val="18"/>
                <w:szCs w:val="18"/>
              </w:rPr>
              <w:t>《政府信息公开条例》、《中共中央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按进展情况及时公开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政务公开标准</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政府信息公开指南等流程性信息</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color w:val="000000"/>
                <w:sz w:val="18"/>
                <w:szCs w:val="18"/>
              </w:rPr>
              <w:t>《政府信息公开条例》</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按进展情况及时公开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权力清单及责任清单</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color w:val="000000"/>
                <w:sz w:val="18"/>
                <w:szCs w:val="18"/>
              </w:rPr>
              <w:t>《政府信息公开条例》、《中共中央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信息形成或者变更20个工作日内，如有更新，及时公开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主要业务办事指南</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color w:val="000000"/>
                <w:sz w:val="18"/>
                <w:szCs w:val="18"/>
              </w:rPr>
              <w:t>《政府信息公开条例》、《中共中央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信息形成或者变更之日起20个工作日内</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年度报告</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政府信息公开年度报告及相关统计报表</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sz w:val="18"/>
                <w:szCs w:val="18"/>
              </w:rPr>
              <w:t>《政府信息公开条例》</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每年1月31日前</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财政资金信息</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预算、决算</w:t>
            </w:r>
          </w:p>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 xml:space="preserve"> “三公”经费</w:t>
            </w:r>
          </w:p>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安全生产专项资金使用等财政资金信息</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sz w:val="18"/>
                <w:szCs w:val="18"/>
              </w:rPr>
              <w:t>《政府信息公开条例》、《国务院关于深化预算管理制度改革的决定》（国发〔2014〕45号）、《国务院办公厅关于进一步推进预算公开工作意见的通知》（中办发〔2016〕13号）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按中央要求时限公开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政府采购信息</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本单位采购实施情况相关信息</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sz w:val="18"/>
                <w:szCs w:val="18"/>
              </w:rPr>
              <w:t>《政府信息公开条例》、《国务院关于深化预算管理制度改革的决定》（国发〔2014〕45号）、中办、国办印发《关于进一步推进预算公开工作的意见》的通知（中办发〔2016〕13号）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按进展情况及时公开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办事纪律和监督管理</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本单位的办事纪律,受理投诉、举报、信访的途径等内容</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color w:val="000000"/>
                <w:sz w:val="18"/>
                <w:szCs w:val="18"/>
              </w:rPr>
              <w:t>《政府信息公开条例》、《中共中央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按进展情况及时公开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重大工程项目信息</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项目名称、执行措施、责任分工、取得成效、后续举措等</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color w:val="000000"/>
                <w:sz w:val="18"/>
                <w:szCs w:val="18"/>
              </w:rPr>
              <w:t>《政府信息公开条例》、《国务院办公厅关于推进重大建设项目批准和实施领域政府信息公开的意见》（国办发〔2017〕94号）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按照中央有关要求公开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vAlign w:val="center"/>
          </w:tcPr>
          <w:p>
            <w:pPr>
              <w:keepNext w:val="0"/>
              <w:keepLines w:val="0"/>
              <w:suppressLineNumbers w:val="0"/>
              <w:spacing w:before="0" w:beforeAutospacing="0" w:after="0" w:afterAutospacing="0"/>
              <w:ind w:left="0" w:right="0"/>
              <w:rPr>
                <w:rFonts w:hint="eastAsia" w:ascii="仿宋_GB2312" w:hAnsi="宋体" w:eastAsia="仿宋_GB2312" w:cs="宋体"/>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检查和巡查发现安全监管监察问题</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检查和巡查发现的、并要求向社会公开的问题及整改落实情况</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color w:val="000000"/>
                <w:sz w:val="18"/>
                <w:szCs w:val="18"/>
              </w:rPr>
              <w:t>《政府信息公开条例》、《中共中央 国务院关于推进安全生产领域改革发展的意见》（中发〔2016〕32号）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按进展情况及时公开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vAlign w:val="center"/>
          </w:tcPr>
          <w:p>
            <w:pPr>
              <w:keepNext w:val="0"/>
              <w:keepLines w:val="0"/>
              <w:suppressLineNumbers w:val="0"/>
              <w:spacing w:before="0" w:beforeAutospacing="0" w:after="0" w:afterAutospacing="0"/>
              <w:ind w:left="0" w:right="0"/>
              <w:rPr>
                <w:rFonts w:hint="eastAsia" w:ascii="仿宋_GB2312" w:hAnsi="宋体" w:eastAsia="仿宋_GB2312" w:cs="宋体"/>
                <w:color w:val="000000"/>
                <w:sz w:val="18"/>
                <w:szCs w:val="18"/>
              </w:rPr>
            </w:pPr>
          </w:p>
        </w:tc>
        <w:tc>
          <w:tcPr>
            <w:tcW w:w="9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建议提案办理</w:t>
            </w:r>
          </w:p>
        </w:tc>
        <w:tc>
          <w:tcPr>
            <w:tcW w:w="1910" w:type="dxa"/>
            <w:vAlign w:val="center"/>
          </w:tcPr>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keepNext w:val="0"/>
              <w:keepLines w:val="0"/>
              <w:suppressLineNumbers w:val="0"/>
              <w:spacing w:before="0" w:beforeAutospacing="0" w:after="0" w:afterAutospacing="0"/>
              <w:ind w:left="0" w:right="0"/>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政协委员提案办理</w:t>
            </w:r>
          </w:p>
        </w:tc>
        <w:tc>
          <w:tcPr>
            <w:tcW w:w="2183" w:type="dxa"/>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18"/>
                <w:szCs w:val="18"/>
              </w:rPr>
            </w:pPr>
            <w:r>
              <w:rPr>
                <w:rFonts w:hint="default" w:ascii="Times New Roman" w:hAnsi="Times New Roman" w:eastAsia="仿宋_GB2312"/>
                <w:bCs/>
                <w:color w:val="000000"/>
                <w:sz w:val="18"/>
                <w:szCs w:val="18"/>
              </w:rPr>
              <w:t>《政府信息公开条例》、《国务院办公厅关于做好全国人大代表建议和全国政协委员提案办理结果公开工作的通知》（国办发〔2014〕46号）</w:t>
            </w:r>
          </w:p>
        </w:tc>
        <w:tc>
          <w:tcPr>
            <w:tcW w:w="183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按照中央有关要求公开</w:t>
            </w:r>
          </w:p>
        </w:tc>
        <w:tc>
          <w:tcPr>
            <w:tcW w:w="1442"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sz w:val="18"/>
                <w:szCs w:val="18"/>
                <w:lang w:val="en-US" w:eastAsia="zh-CN"/>
              </w:rPr>
              <w:t>平乐县应急管理局</w:t>
            </w:r>
          </w:p>
        </w:tc>
        <w:tc>
          <w:tcPr>
            <w:tcW w:w="1975" w:type="dxa"/>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r>
              <w:rPr>
                <w:rFonts w:hint="default" w:ascii="Times New Roman" w:hAnsi="Times New Roman" w:eastAsia="宋体" w:cs="Times New Roman"/>
                <w:kern w:val="2"/>
                <w:sz w:val="21"/>
                <w:szCs w:val="24"/>
                <w:lang w:val="en-US" w:eastAsia="zh-CN" w:bidi="ar"/>
              </w:rPr>
              <w:t xml:space="preserve"> </w:t>
            </w:r>
          </w:p>
        </w:tc>
        <w:tc>
          <w:tcPr>
            <w:tcW w:w="6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8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c>
          <w:tcPr>
            <w:tcW w:w="534"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783"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c>
          <w:tcPr>
            <w:tcW w:w="600"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sz w:val="18"/>
                <w:szCs w:val="18"/>
              </w:rPr>
              <w:t>√</w:t>
            </w:r>
          </w:p>
        </w:tc>
        <w:tc>
          <w:tcPr>
            <w:tcW w:w="667" w:type="dxa"/>
            <w:vAlign w:val="center"/>
          </w:tcPr>
          <w:p>
            <w:pPr>
              <w:keepNext w:val="0"/>
              <w:keepLines w:val="0"/>
              <w:suppressLineNumbers w:val="0"/>
              <w:spacing w:before="0" w:beforeAutospacing="0" w:after="0" w:afterAutospacing="0"/>
              <w:ind w:left="0" w:right="0"/>
              <w:rPr>
                <w:rFonts w:hint="eastAsia" w:ascii="仿宋_GB2312" w:eastAsia="仿宋_GB2312"/>
                <w:bCs/>
                <w:sz w:val="18"/>
                <w:szCs w:val="18"/>
              </w:rPr>
            </w:pPr>
            <w:r>
              <w:rPr>
                <w:rFonts w:hint="eastAsia" w:ascii="仿宋_GB2312" w:eastAsia="仿宋_GB2312"/>
                <w:bCs/>
                <w:color w:val="000000"/>
                <w:sz w:val="18"/>
                <w:szCs w:val="18"/>
              </w:rPr>
              <w:t>　</w:t>
            </w:r>
          </w:p>
        </w:tc>
      </w:tr>
    </w:tbl>
    <w:p>
      <w:pPr>
        <w:pStyle w:val="2"/>
        <w:jc w:val="center"/>
        <w:rPr>
          <w:rFonts w:hint="eastAsia" w:ascii="方正小标宋_GBK" w:hAnsi="方正小标宋_GBK" w:eastAsia="方正小标宋_GBK"/>
          <w:b w:val="0"/>
          <w:bCs w:val="0"/>
          <w:sz w:val="30"/>
        </w:rPr>
      </w:pPr>
      <w:bookmarkStart w:id="2" w:name="_Toc24724726"/>
      <w:r>
        <w:rPr>
          <w:rFonts w:hint="eastAsia" w:ascii="方正小标宋_GBK" w:hAnsi="方正小标宋_GBK" w:eastAsia="方正小标宋_GBK"/>
          <w:b w:val="0"/>
          <w:bCs w:val="0"/>
          <w:sz w:val="30"/>
        </w:rPr>
        <w:t>（二十三）救灾生产领域基层政务公开标准目录</w:t>
      </w:r>
      <w:bookmarkEnd w:id="2"/>
    </w:p>
    <w:tbl>
      <w:tblPr>
        <w:tblStyle w:val="4"/>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Layout w:type="fixed"/>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Layout w:type="fixed"/>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837"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exact"/>
              <w:ind w:left="0" w:right="0"/>
              <w:jc w:val="left"/>
              <w:rPr>
                <w:rFonts w:hint="eastAsia"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宋体"/>
                <w:color w:val="000000"/>
                <w:sz w:val="18"/>
                <w:szCs w:val="18"/>
              </w:rPr>
            </w:pPr>
            <w:r>
              <w:rPr>
                <w:rFonts w:hint="default" w:ascii="Times New Roman" w:hAnsi="Times New Roman" w:eastAsia="仿宋_GB2312"/>
                <w:color w:val="000000"/>
                <w:sz w:val="18"/>
                <w:szCs w:val="18"/>
              </w:rPr>
              <w:t>《政府信息公开条例》、《关于全面推进政务公开工作的意见》（中办发〔2016〕8号</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《政府信息公开条例》、《国务院办公厅关于在政务公开工作中进一步做好政务舆情回应的通知》（国办发〔2016〕61号）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《政府信息公开条例》、《关于全面推进政务公开工作的意见》（中办发〔2016〕8号）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《政府信息公开条例》、《关于全面推进政务公开工作的意见》（中办发〔2016〕8号）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default" w:ascii="仿宋_GB2312" w:hAnsi="宋体" w:eastAsia="仿宋_GB2312" w:cs="宋体"/>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sz w:val="18"/>
                <w:szCs w:val="18"/>
              </w:rPr>
            </w:pPr>
            <w:r>
              <w:rPr>
                <w:rFonts w:hint="default" w:ascii="Times New Roman" w:hAnsi="Times New Roman" w:eastAsia="仿宋_GB2312"/>
                <w:sz w:val="18"/>
                <w:szCs w:val="18"/>
              </w:rPr>
              <w:t>《政府信息公开条例》、《社会救助暂行办法》（国令第649号）、《国家综合防灾减灾规划（2016-2020年）》（国办发〔2016〕104号）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 w:val="18"/>
                <w:szCs w:val="18"/>
              </w:rPr>
            </w:pPr>
            <w:r>
              <w:rPr>
                <w:rFonts w:hint="eastAsia" w:ascii="仿宋_GB2312" w:eastAsia="仿宋_GB2312"/>
                <w:sz w:val="18"/>
                <w:szCs w:val="18"/>
              </w:rPr>
              <w:t>灾害</w:t>
            </w:r>
          </w:p>
          <w:p>
            <w:pPr>
              <w:keepNext w:val="0"/>
              <w:keepLines w:val="0"/>
              <w:suppressLineNumbers w:val="0"/>
              <w:spacing w:before="0" w:beforeAutospacing="0" w:after="0" w:afterAutospacing="0"/>
              <w:ind w:left="0" w:right="0"/>
              <w:jc w:val="center"/>
              <w:rPr>
                <w:rFonts w:hint="default"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790"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 w:val="18"/>
                <w:szCs w:val="18"/>
              </w:rPr>
            </w:pPr>
            <w:r>
              <w:rPr>
                <w:rFonts w:hint="eastAsia" w:ascii="仿宋_GB2312" w:eastAsia="仿宋_GB2312"/>
                <w:sz w:val="18"/>
                <w:szCs w:val="18"/>
              </w:rPr>
              <w:t>灾害</w:t>
            </w:r>
          </w:p>
          <w:p>
            <w:pPr>
              <w:keepNext w:val="0"/>
              <w:keepLines w:val="0"/>
              <w:suppressLineNumbers w:val="0"/>
              <w:spacing w:before="0" w:beforeAutospacing="0" w:after="0" w:afterAutospacing="0"/>
              <w:ind w:left="0" w:right="0"/>
              <w:jc w:val="center"/>
              <w:rPr>
                <w:rFonts w:hint="default"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841"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 w:val="18"/>
                <w:szCs w:val="18"/>
              </w:rPr>
            </w:pPr>
            <w:r>
              <w:rPr>
                <w:rFonts w:hint="eastAsia" w:ascii="仿宋_GB2312" w:eastAsia="仿宋_GB2312"/>
                <w:sz w:val="18"/>
                <w:szCs w:val="18"/>
              </w:rPr>
              <w:t>灾后</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Times New Roman" w:hAnsi="Times New Roman" w:eastAsia="仿宋_GB2312"/>
                <w:color w:val="000000"/>
                <w:sz w:val="18"/>
                <w:szCs w:val="18"/>
              </w:rPr>
            </w:pPr>
            <w:r>
              <w:rPr>
                <w:rFonts w:hint="default"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 w:val="18"/>
                <w:szCs w:val="18"/>
              </w:rPr>
            </w:pPr>
            <w:r>
              <w:rPr>
                <w:rFonts w:hint="eastAsia" w:ascii="仿宋_GB2312" w:eastAsia="仿宋_GB2312"/>
                <w:sz w:val="18"/>
                <w:szCs w:val="18"/>
              </w:rPr>
              <w:t>款物</w:t>
            </w:r>
          </w:p>
          <w:p>
            <w:pPr>
              <w:keepNext w:val="0"/>
              <w:keepLines w:val="0"/>
              <w:suppressLineNumbers w:val="0"/>
              <w:spacing w:before="0" w:beforeAutospacing="0" w:after="0" w:afterAutospacing="0"/>
              <w:ind w:left="0" w:right="0"/>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 w:val="18"/>
                <w:szCs w:val="18"/>
              </w:rPr>
            </w:pPr>
            <w:r>
              <w:rPr>
                <w:rFonts w:hint="eastAsia" w:ascii="仿宋_GB2312" w:eastAsia="仿宋_GB2312"/>
                <w:sz w:val="18"/>
                <w:szCs w:val="18"/>
              </w:rPr>
              <w:t>款物</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FF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FF0000"/>
                <w:sz w:val="18"/>
                <w:szCs w:val="18"/>
              </w:rPr>
            </w:pPr>
            <w:r>
              <w:rPr>
                <w:rFonts w:hint="eastAsia"/>
                <w:sz w:val="18"/>
                <w:szCs w:val="18"/>
                <w:lang w:val="en-US" w:eastAsia="zh-CN"/>
              </w:rPr>
              <w:t>平乐县应急管理局</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仿宋_GB2312" w:eastAsia="仿宋_GB2312"/>
                <w:sz w:val="18"/>
                <w:szCs w:val="18"/>
              </w:rPr>
            </w:pPr>
            <w:r>
              <w:rPr>
                <w:rFonts w:hint="eastAsia" w:ascii="仿宋_GB2312" w:hAnsi="宋体" w:eastAsia="仿宋_GB2312"/>
                <w:color w:val="000000"/>
                <w:sz w:val="18"/>
                <w:szCs w:val="18"/>
              </w:rPr>
              <w:t>■</w:t>
            </w:r>
            <w:r>
              <w:rPr>
                <w:rFonts w:hint="eastAsia" w:ascii="Times New Roman" w:hAnsi="Times New Roman" w:eastAsia="宋体" w:cs="宋体"/>
                <w:kern w:val="2"/>
                <w:sz w:val="21"/>
                <w:szCs w:val="24"/>
                <w:lang w:val="en-US" w:eastAsia="zh-CN" w:bidi="ar"/>
              </w:rPr>
              <w:t>政府网站</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sz w:val="18"/>
                <w:szCs w:val="18"/>
              </w:rPr>
            </w:pPr>
            <w:r>
              <w:rPr>
                <w:rFonts w:hint="eastAsia" w:ascii="仿宋_GB2312" w:eastAsia="仿宋_GB2312"/>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568F9"/>
    <w:rsid w:val="03550F44"/>
    <w:rsid w:val="0AE16F92"/>
    <w:rsid w:val="0AEF357E"/>
    <w:rsid w:val="0F834F89"/>
    <w:rsid w:val="160568F9"/>
    <w:rsid w:val="18CD2CA7"/>
    <w:rsid w:val="1A9A1244"/>
    <w:rsid w:val="213A6C19"/>
    <w:rsid w:val="254E0E66"/>
    <w:rsid w:val="27F20DC5"/>
    <w:rsid w:val="36402000"/>
    <w:rsid w:val="41FD11CE"/>
    <w:rsid w:val="46462249"/>
    <w:rsid w:val="4D793EFF"/>
    <w:rsid w:val="50952BBF"/>
    <w:rsid w:val="526B7B4A"/>
    <w:rsid w:val="5663039D"/>
    <w:rsid w:val="640B1705"/>
    <w:rsid w:val="665E7C06"/>
    <w:rsid w:val="67A26F98"/>
    <w:rsid w:val="692D4521"/>
    <w:rsid w:val="7B8F64EF"/>
    <w:rsid w:val="7DD152F9"/>
    <w:rsid w:val="7E45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character" w:customStyle="1" w:styleId="5">
    <w:name w:val="15"/>
    <w:basedOn w:val="3"/>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平乐县</Company>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2020-10-18T08:24:00Z</dcterms:created>
  <dc:creator>Administrator</dc:creator>
  <cp:lastModifiedBy>Administrator</cp:lastModifiedBy>
  <cp:lastPrinted>2020-11-03T01:08:00Z</cp:lastPrinted>
  <dcterms:modified xsi:type="dcterms:W3CDTF">2020-11-18T07:34:48Z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