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jc w:val="center"/>
        <w:rPr>
          <w:rFonts w:hint="eastAsia" w:ascii="方正小标宋简体" w:hAnsi="华文中宋" w:eastAsia="方正小标宋简体"/>
          <w:spacing w:val="20"/>
          <w:sz w:val="48"/>
          <w:szCs w:val="48"/>
        </w:rPr>
      </w:pPr>
      <w:r>
        <w:rPr>
          <w:rFonts w:hint="eastAsia" w:ascii="方正小标宋简体" w:hAnsi="华文中宋" w:eastAsia="方正小标宋简体"/>
          <w:spacing w:val="20"/>
          <w:sz w:val="48"/>
          <w:szCs w:val="48"/>
          <w:lang w:val="en-US" w:eastAsia="zh-CN"/>
        </w:rPr>
        <w:t>巴马瑶族自治县</w:t>
      </w:r>
      <w:r>
        <w:rPr>
          <w:rFonts w:hint="eastAsia" w:ascii="方正小标宋简体" w:hAnsi="华文中宋" w:eastAsia="方正小标宋简体"/>
          <w:spacing w:val="20"/>
          <w:sz w:val="48"/>
          <w:szCs w:val="48"/>
        </w:rPr>
        <w:t>安全生产、救灾领域基层政务公开标准目录</w:t>
      </w:r>
    </w:p>
    <w:p>
      <w:pPr>
        <w:jc w:val="center"/>
        <w:rPr>
          <w:rFonts w:hint="eastAsia" w:ascii="Times New Roman" w:hAnsi="Times New Roman" w:eastAsia="华文中宋"/>
          <w:sz w:val="48"/>
          <w:szCs w:val="48"/>
        </w:rPr>
      </w:pPr>
    </w:p>
    <w:p>
      <w:pPr>
        <w:spacing w:line="1520" w:lineRule="exact"/>
        <w:jc w:val="center"/>
        <w:rPr>
          <w:rFonts w:hint="eastAsia" w:ascii="方正小标宋简体" w:hAnsi="华文中宋" w:eastAsia="方正小标宋简体"/>
          <w:spacing w:val="20"/>
          <w:sz w:val="48"/>
          <w:szCs w:val="48"/>
        </w:rPr>
      </w:pPr>
      <w:r>
        <w:rPr>
          <w:rFonts w:hint="eastAsia" w:ascii="方正小标宋简体" w:hAnsi="华文中宋" w:eastAsia="方正小标宋简体"/>
          <w:spacing w:val="20"/>
          <w:sz w:val="48"/>
          <w:szCs w:val="48"/>
        </w:rPr>
        <w:t>（</w:t>
      </w:r>
      <w:r>
        <w:rPr>
          <w:rFonts w:hint="eastAsia" w:ascii="方正小标宋简体" w:hAnsi="华文中宋" w:eastAsia="方正小标宋简体"/>
          <w:spacing w:val="20"/>
          <w:sz w:val="48"/>
          <w:szCs w:val="48"/>
          <w:lang w:val="en-US" w:eastAsia="zh-CN"/>
        </w:rPr>
        <w:t>巴马瑶族自治县</w:t>
      </w:r>
      <w:r>
        <w:rPr>
          <w:rFonts w:hint="eastAsia" w:ascii="方正小标宋简体" w:hAnsi="华文中宋" w:eastAsia="方正小标宋简体"/>
          <w:spacing w:val="20"/>
          <w:sz w:val="48"/>
          <w:szCs w:val="48"/>
        </w:rPr>
        <w:t>应急管理局）</w:t>
      </w:r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52"/>
          <w:szCs w:val="52"/>
        </w:rPr>
      </w:pPr>
    </w:p>
    <w:p>
      <w:pPr>
        <w:wordWrap w:val="0"/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hint="eastAsia" w:ascii="Times New Roman" w:hAnsi="华文中宋" w:eastAsia="华文中宋"/>
          <w:sz w:val="48"/>
          <w:szCs w:val="48"/>
        </w:rPr>
      </w:pPr>
    </w:p>
    <w:p>
      <w:pPr>
        <w:jc w:val="center"/>
        <w:rPr>
          <w:rFonts w:hint="eastAsia" w:ascii="Times New Roman" w:hAnsi="华文中宋" w:eastAsia="华文中宋"/>
          <w:sz w:val="48"/>
          <w:szCs w:val="48"/>
        </w:rPr>
      </w:pPr>
    </w:p>
    <w:p>
      <w:pPr>
        <w:jc w:val="center"/>
        <w:rPr>
          <w:rFonts w:hint="eastAsia" w:ascii="Times New Roman" w:hAnsi="华文中宋" w:eastAsia="华文中宋"/>
          <w:sz w:val="48"/>
          <w:szCs w:val="48"/>
        </w:rPr>
      </w:pPr>
    </w:p>
    <w:tbl>
      <w:tblPr>
        <w:tblStyle w:val="3"/>
        <w:tblW w:w="15087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50"/>
        <w:gridCol w:w="1607"/>
        <w:gridCol w:w="2743"/>
        <w:gridCol w:w="1987"/>
        <w:gridCol w:w="1759"/>
        <w:gridCol w:w="1134"/>
        <w:gridCol w:w="1134"/>
        <w:gridCol w:w="709"/>
        <w:gridCol w:w="708"/>
        <w:gridCol w:w="709"/>
        <w:gridCol w:w="68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2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2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政策文件及解读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本单位应主动公开的政策性文件及解读。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■图书馆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■档案馆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政务事项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目录清单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本单位权责清单、市场准入负面清单、中介服务事项清单等各类清单。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及时更新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■广西数字政务一体化平台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权责相关文件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权责事项取消、下放、承接等动态调整相关文件。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ind w:firstLine="360" w:firstLineChars="200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及时更新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■广西数字政务一体化平台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权力运行流程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本单位行政许可、行政征收、行政给付、行政确认、行政奖励、行政裁决及其他行政权力事项。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ind w:firstLine="360" w:firstLineChars="200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及时更新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■广西数字政务一体化平台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网上办事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服务事项需提供办事指南；办事指南中重点要素类别（包括事项名称、设定依据、申请条件、办理材料、办理地点、办理机构、收费标准、办理时间、联系电话、办理流程）；办理材料格式要求，如说明原件/复印件、纸质版/电子版、份数，申请表等；单位名称、咨询电话、投诉电话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及时更新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■广西数字政务一体化平台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政府信息公开目录、年报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本领域本年度政府信息公开目录、信息公开年报。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信息产生或变更之日起3个工作日内发布。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部门动态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单位工作动态、公告、公示。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ind w:firstLine="360" w:firstLineChars="200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信息形成之日起1个工作日内发布。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■图书馆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■档案馆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本单位机构设置、主要职责、办公地址、联系方式、单位负责人信息等。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ind w:firstLine="360" w:firstLineChars="200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信息产生或变更之日起3个工作日内发布。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人事信息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本单位人事任免、任前公示、招考招录等人事信息。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信息产生之日起3个工作日内发布。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发展规划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中长期规划及其解读信息、中长期规划执行进程情况以及本单位年度工作计划、年度计划实施进展情况。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文件正式印发后20日内发布。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■图书馆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■档案馆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行政执法信息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“双公示”、“双随机”相关信息。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行政处罚文件；行政许可和行政处罚等信用信息；本单位“双随机、一公开”工作的开展情况。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《行政处罚法》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双公示信息自作出行政决定之日起7个工作日内公开；双随机信息形成或变更之日起3个工作日内公开。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  <w:t>巴马瑶族自治县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first"/>
      <w:pgSz w:w="16839" w:h="11907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4CD4"/>
    <w:rsid w:val="19C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2020-12-17T09:01:00Z</dcterms:created>
  <dc:creator>butterfly</dc:creator>
  <cp:lastModifiedBy>butterfly</cp:lastModifiedBy>
  <dcterms:modified xsi:type="dcterms:W3CDTF">2020-12-17T09:10:57Z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