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tbl>
      <w:tblPr>
        <w:tblStyle w:val="3"/>
        <w:tblW w:w="15154" w:type="dxa"/>
        <w:tblInd w:w="0" w:type="dxa"/>
        <w:tblLayout w:type="fixed"/>
        <w:tblCellMar>
          <w:top w:w="0" w:type="dxa"/>
          <w:left w:w="0" w:type="dxa"/>
          <w:bottom w:w="0" w:type="dxa"/>
          <w:right w:w="0" w:type="dxa"/>
        </w:tblCellMar>
      </w:tblPr>
      <w:tblGrid>
        <w:gridCol w:w="1150"/>
        <w:gridCol w:w="267"/>
        <w:gridCol w:w="705"/>
        <w:gridCol w:w="2073"/>
        <w:gridCol w:w="1539"/>
        <w:gridCol w:w="1224"/>
        <w:gridCol w:w="1580"/>
        <w:gridCol w:w="2683"/>
        <w:gridCol w:w="509"/>
        <w:gridCol w:w="397"/>
        <w:gridCol w:w="386"/>
        <w:gridCol w:w="408"/>
        <w:gridCol w:w="374"/>
        <w:gridCol w:w="374"/>
        <w:gridCol w:w="571"/>
        <w:gridCol w:w="914"/>
      </w:tblGrid>
      <w:tr>
        <w:tblPrEx>
          <w:tblCellMar>
            <w:top w:w="0" w:type="dxa"/>
            <w:left w:w="0" w:type="dxa"/>
            <w:bottom w:w="0" w:type="dxa"/>
            <w:right w:w="0" w:type="dxa"/>
          </w:tblCellMar>
        </w:tblPrEx>
        <w:trPr>
          <w:trHeight w:val="596" w:hRule="atLeast"/>
        </w:trPr>
        <w:tc>
          <w:tcPr>
            <w:tcW w:w="15154" w:type="dxa"/>
            <w:gridSpan w:val="16"/>
            <w:tcBorders>
              <w:top w:val="nil"/>
              <w:left w:val="nil"/>
              <w:bottom w:val="nil"/>
              <w:right w:val="nil"/>
            </w:tcBorders>
            <w:noWrap w:val="0"/>
            <w:tcMar>
              <w:top w:w="15" w:type="dxa"/>
              <w:left w:w="15" w:type="dxa"/>
              <w:right w:w="15" w:type="dxa"/>
            </w:tcMar>
            <w:vAlign w:val="center"/>
          </w:tcPr>
          <w:p>
            <w:pPr>
              <w:jc w:val="center"/>
              <w:rPr>
                <w:rFonts w:ascii="仿宋" w:hAnsi="仿宋" w:eastAsia="仿宋" w:cs="仿宋"/>
                <w:bCs/>
                <w:sz w:val="18"/>
                <w:szCs w:val="18"/>
              </w:rPr>
            </w:pPr>
            <w:r>
              <w:rPr>
                <w:rFonts w:hint="eastAsia" w:ascii="方正小标宋简体" w:hAnsi="方正小标宋简体" w:eastAsia="方正小标宋简体" w:cs="方正小标宋简体"/>
                <w:bCs/>
                <w:kern w:val="0"/>
                <w:sz w:val="44"/>
                <w:szCs w:val="44"/>
                <w:lang w:val="en-US" w:eastAsia="zh-CN" w:bidi="ar"/>
              </w:rPr>
              <w:t>凤山县应急管理局</w:t>
            </w:r>
            <w:r>
              <w:rPr>
                <w:rFonts w:hint="eastAsia" w:ascii="方正小标宋简体" w:hAnsi="方正小标宋简体" w:eastAsia="方正小标宋简体" w:cs="方正小标宋简体"/>
                <w:bCs/>
                <w:kern w:val="0"/>
                <w:sz w:val="44"/>
                <w:szCs w:val="44"/>
                <w:lang w:bidi="ar"/>
              </w:rPr>
              <w:t>安全生产领域基层政务公开标准目录</w:t>
            </w:r>
          </w:p>
        </w:tc>
      </w:tr>
      <w:tr>
        <w:tblPrEx>
          <w:tblCellMar>
            <w:top w:w="0" w:type="dxa"/>
            <w:left w:w="0" w:type="dxa"/>
            <w:bottom w:w="0" w:type="dxa"/>
            <w:right w:w="0" w:type="dxa"/>
          </w:tblCellMar>
        </w:tblPrEx>
        <w:trPr>
          <w:trHeight w:val="639" w:hRule="atLeast"/>
        </w:trPr>
        <w:tc>
          <w:tcPr>
            <w:tcW w:w="21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公开事项</w:t>
            </w:r>
          </w:p>
        </w:tc>
        <w:tc>
          <w:tcPr>
            <w:tcW w:w="20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公开内容</w:t>
            </w:r>
          </w:p>
        </w:tc>
        <w:tc>
          <w:tcPr>
            <w:tcW w:w="15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公开依据</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公开时限</w:t>
            </w:r>
          </w:p>
        </w:tc>
        <w:tc>
          <w:tcPr>
            <w:tcW w:w="15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公开主体</w:t>
            </w:r>
          </w:p>
        </w:tc>
        <w:tc>
          <w:tcPr>
            <w:tcW w:w="2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公开渠道和载体</w:t>
            </w:r>
          </w:p>
        </w:tc>
        <w:tc>
          <w:tcPr>
            <w:tcW w:w="9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公开对象</w:t>
            </w:r>
          </w:p>
        </w:tc>
        <w:tc>
          <w:tcPr>
            <w:tcW w:w="7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公开方式</w:t>
            </w:r>
          </w:p>
        </w:tc>
        <w:tc>
          <w:tcPr>
            <w:tcW w:w="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公开层级</w:t>
            </w:r>
          </w:p>
        </w:tc>
        <w:tc>
          <w:tcPr>
            <w:tcW w:w="57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责任指导处室</w:t>
            </w:r>
          </w:p>
        </w:tc>
        <w:tc>
          <w:tcPr>
            <w:tcW w:w="9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kern w:val="0"/>
                <w:szCs w:val="21"/>
                <w:lang w:bidi="ar"/>
              </w:rPr>
            </w:pPr>
            <w:r>
              <w:rPr>
                <w:rFonts w:hint="eastAsia" w:ascii="黑体" w:hAnsi="黑体" w:eastAsia="黑体" w:cs="黑体"/>
                <w:bCs/>
                <w:kern w:val="0"/>
                <w:szCs w:val="21"/>
                <w:lang w:bidi="ar"/>
              </w:rPr>
              <w:t>参考样式</w:t>
            </w:r>
          </w:p>
        </w:tc>
      </w:tr>
      <w:tr>
        <w:tblPrEx>
          <w:tblCellMar>
            <w:top w:w="0" w:type="dxa"/>
            <w:left w:w="0" w:type="dxa"/>
            <w:bottom w:w="0" w:type="dxa"/>
            <w:right w:w="0" w:type="dxa"/>
          </w:tblCellMar>
        </w:tblPrEx>
        <w:trPr>
          <w:trHeight w:val="1252"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一级事项</w:t>
            </w:r>
          </w:p>
        </w:tc>
        <w:tc>
          <w:tcPr>
            <w:tcW w:w="9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二级事项</w:t>
            </w:r>
          </w:p>
        </w:tc>
        <w:tc>
          <w:tcPr>
            <w:tcW w:w="20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5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全社会</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特定群体</w:t>
            </w: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主动</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依申请</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县级</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乡级</w:t>
            </w:r>
          </w:p>
        </w:tc>
        <w:tc>
          <w:tcPr>
            <w:tcW w:w="57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p>
        </w:tc>
        <w:tc>
          <w:tcPr>
            <w:tcW w:w="9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p>
        </w:tc>
      </w:tr>
      <w:tr>
        <w:tblPrEx>
          <w:tblCellMar>
            <w:top w:w="0" w:type="dxa"/>
            <w:left w:w="0" w:type="dxa"/>
            <w:bottom w:w="0" w:type="dxa"/>
            <w:right w:w="0" w:type="dxa"/>
          </w:tblCellMar>
        </w:tblPrEx>
        <w:trPr>
          <w:trHeight w:val="1014"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政策文件</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法律法规</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与安全生产有关的法律、法规</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val="en-US" w:eastAsia="zh-CN" w:bidi="ar"/>
              </w:rPr>
              <w:t>凤山县应急管理局</w:t>
            </w:r>
          </w:p>
        </w:tc>
        <w:tc>
          <w:tcPr>
            <w:tcW w:w="2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                          □社区/企事业单位、村公示栏（电子屏）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val="en-US" w:eastAsia="zh-CN" w:bidi="ar"/>
              </w:rPr>
              <w:t>执法大队</w:t>
            </w:r>
            <w:bookmarkStart w:id="0" w:name="_GoBack"/>
            <w:bookmarkEnd w:id="0"/>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_GB2312" w:hAnsi="宋体" w:eastAsia="仿宋_GB2312" w:cs="仿宋_GB2312"/>
                <w:bCs/>
                <w:color w:val="000000"/>
                <w:kern w:val="0"/>
                <w:sz w:val="18"/>
                <w:szCs w:val="18"/>
                <w:lang w:bidi="ar"/>
              </w:rPr>
              <w:t>1.国家法律法规见</w:t>
            </w:r>
            <w:r>
              <w:rPr>
                <w:rFonts w:hint="eastAsia" w:ascii="仿宋_GB2312" w:hAnsi="宋体" w:eastAsia="仿宋_GB2312" w:cs="仿宋_GB2312"/>
                <w:bCs/>
                <w:color w:val="000000"/>
                <w:kern w:val="0"/>
                <w:sz w:val="18"/>
                <w:szCs w:val="18"/>
                <w:lang w:eastAsia="zh-CN" w:bidi="ar"/>
              </w:rPr>
              <w:t>参考</w:t>
            </w:r>
            <w:r>
              <w:rPr>
                <w:rFonts w:hint="eastAsia" w:ascii="仿宋_GB2312" w:hAnsi="宋体" w:eastAsia="仿宋_GB2312" w:cs="仿宋_GB2312"/>
                <w:bCs/>
                <w:color w:val="000000"/>
                <w:kern w:val="0"/>
                <w:sz w:val="18"/>
                <w:szCs w:val="18"/>
                <w:lang w:bidi="ar"/>
              </w:rPr>
              <w:t>附件1；2.市级以下法律法规由县乡自行公开。</w:t>
            </w:r>
          </w:p>
        </w:tc>
      </w:tr>
      <w:tr>
        <w:tblPrEx>
          <w:tblCellMar>
            <w:top w:w="0" w:type="dxa"/>
            <w:left w:w="0" w:type="dxa"/>
            <w:bottom w:w="0" w:type="dxa"/>
            <w:right w:w="0" w:type="dxa"/>
          </w:tblCellMar>
        </w:tblPrEx>
        <w:trPr>
          <w:trHeight w:val="99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部门和地方规章</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与安全生产有关的部门和地方规章</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val="en-US" w:eastAsia="zh-CN" w:bidi="ar"/>
              </w:rPr>
              <w:t>执法大队</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1304"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其他政策文件</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其他可以公开的与安全生产有关的政策文件，包括改革方案、发展规划、专项规划、工作计划等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val="en-US" w:eastAsia="zh-CN"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1038"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标准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安全生产领域有关的国家标准、行业标准、地方标准等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val="en-US" w:eastAsia="zh-CN"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重大决策草案</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涉及管理相对人切身利益、需社会广泛知晓的重要改革方案等重大决策，决策前向社会公开决策草案、决策依据</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val="en-US" w:eastAsia="zh-CN"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政策文件</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重大政策解读及回应</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有关重大政策的解读与回应，安全生产相关热点问题的解读与回应</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《中华人民共和国政府信息公开条例》(国务院令第711号）、中办国办《关于全面推进政务公开工作的意见》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重大决策作出后及时公开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广播电视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重要会议</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通过会议讨论作出重要改革方案等重大决策时，经党组研究认为有必要公开讨论决策过程的会议</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提前一周发通知邀请</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征集采纳社会公众意见情况</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重大决策草案公布后征集到的社会公众意见情况、采纳与否情况及理由等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征求意见时对外公布的时限内公开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val="en-US" w:eastAsia="zh-CN" w:bidi="ar"/>
              </w:rPr>
              <w:t>局办公室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同上</w:t>
            </w:r>
          </w:p>
        </w:tc>
      </w:tr>
      <w:tr>
        <w:tblPrEx>
          <w:tblCellMar>
            <w:top w:w="0" w:type="dxa"/>
            <w:left w:w="0" w:type="dxa"/>
            <w:bottom w:w="0" w:type="dxa"/>
            <w:right w:w="0" w:type="dxa"/>
          </w:tblCellMar>
        </w:tblPrEx>
        <w:trPr>
          <w:trHeight w:val="2480"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依法行政</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行政许可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办理行政许可和其他对外管理服务事项的依据、条件、程序</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val="en-US" w:eastAsia="zh-CN" w:bidi="ar"/>
              </w:rPr>
              <w:t>局办公室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附件2</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依法行政</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行政处罚</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办理行政处罚的依据、条件、程序以及本级行政机关认为具有一定社会影响的行政处罚决定</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附件3</w:t>
            </w:r>
          </w:p>
        </w:tc>
      </w:tr>
      <w:tr>
        <w:tblPrEx>
          <w:tblCellMar>
            <w:top w:w="0" w:type="dxa"/>
            <w:left w:w="0" w:type="dxa"/>
            <w:bottom w:w="0" w:type="dxa"/>
            <w:right w:w="0" w:type="dxa"/>
          </w:tblCellMar>
        </w:tblPrEx>
        <w:trPr>
          <w:trHeight w:val="3708"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行政强制</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办理行政强制的依据、条件、程序</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《中华人民共和国政府信息公开条例》(国务院令第711号）《中华人民共和国突发事件应对法》、《突发事件应急预案管理办法》、《中共中央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附件4</w:t>
            </w:r>
          </w:p>
        </w:tc>
      </w:tr>
      <w:tr>
        <w:tblPrEx>
          <w:tblCellMar>
            <w:top w:w="0" w:type="dxa"/>
            <w:left w:w="0" w:type="dxa"/>
            <w:bottom w:w="0" w:type="dxa"/>
            <w:right w:w="0" w:type="dxa"/>
          </w:tblCellMar>
        </w:tblPrEx>
        <w:trPr>
          <w:trHeight w:val="3708"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隐患管理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重大隐患排查、挂牌督办及其整改情况，安全生产举报电话等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《安全生产法》、《中华人民共和国政府信息公开条例》(国务院令第711号）、《中共中央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附件5</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应急管理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 xml:space="preserve">承担处置主责、非敏感的应急信息，包括事故灾害类预警信息、事故信息、事故后采取的应急处置措施和应对结果等  </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《中华人民共和国政府信息公开条例》(国务院令第711号），《中华人民共和国突发事件应对法》，中央办公厅、国务院办公厅《关于全面加强政务公开工作的意见》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指挥中心、危化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附件6</w:t>
            </w:r>
          </w:p>
        </w:tc>
      </w:tr>
      <w:tr>
        <w:tblPrEx>
          <w:tblCellMar>
            <w:top w:w="0" w:type="dxa"/>
            <w:left w:w="0" w:type="dxa"/>
            <w:bottom w:w="0" w:type="dxa"/>
            <w:right w:w="0" w:type="dxa"/>
          </w:tblCellMar>
        </w:tblPrEx>
        <w:trPr>
          <w:trHeight w:val="2173"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联合惩戒管理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列入或撤销纳入安全生产失信/联合惩戒名单管理的企业信息，具体企业名称、证照编号、经营地址、负责人姓名等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《中华人民共和国政府信息公开条例》（国务院令第711号）、《社会信用体系建设规划纲要（2014-2020年）》</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 w:val="18"/>
                <w:szCs w:val="18"/>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附件7</w:t>
            </w:r>
          </w:p>
        </w:tc>
      </w:tr>
      <w:tr>
        <w:tblPrEx>
          <w:tblCellMar>
            <w:top w:w="0" w:type="dxa"/>
            <w:left w:w="0" w:type="dxa"/>
            <w:bottom w:w="0" w:type="dxa"/>
            <w:right w:w="0" w:type="dxa"/>
          </w:tblCellMar>
        </w:tblPrEx>
        <w:trPr>
          <w:trHeight w:val="4322"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事故通报</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《安全生产法》、《中华人民共和国政府信息公开条例》(国务院令第711号）、《中共中央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 w:val="18"/>
                <w:szCs w:val="18"/>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附件8</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动态信息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●业务工作动态           ●安全生产执法检查动态</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两微一端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广播电视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 xml:space="preserve">□精准推送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附件9</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安全生产预警提示信息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 xml:space="preserve">●气象及灾害预警信息           </w:t>
            </w:r>
          </w:p>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 xml:space="preserve"> ●不同时段、不同领域安全生产提示信息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信息形成后及时公开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两微一端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广播电视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便民服务站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精准推送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Cs/>
                <w:szCs w:val="21"/>
              </w:rPr>
            </w:pPr>
            <w:r>
              <w:rPr>
                <w:rFonts w:hint="eastAsia" w:ascii="仿宋" w:hAnsi="仿宋" w:eastAsia="仿宋" w:cs="仿宋"/>
                <w:bCs/>
                <w:kern w:val="0"/>
                <w:szCs w:val="21"/>
                <w:lang w:eastAsia="zh-CN" w:bidi="ar"/>
              </w:rPr>
              <w:t>指挥中心、</w:t>
            </w: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w:t>
            </w:r>
            <w:r>
              <w:rPr>
                <w:rFonts w:hint="eastAsia" w:ascii="仿宋" w:hAnsi="仿宋" w:eastAsia="仿宋" w:cs="仿宋"/>
                <w:bCs/>
                <w:kern w:val="0"/>
                <w:szCs w:val="21"/>
                <w:lang w:eastAsia="zh-CN" w:bidi="ar"/>
              </w:rPr>
              <w:t>救援大队</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附件10</w:t>
            </w:r>
          </w:p>
        </w:tc>
      </w:tr>
      <w:tr>
        <w:tblPrEx>
          <w:tblCellMar>
            <w:top w:w="0" w:type="dxa"/>
            <w:left w:w="0" w:type="dxa"/>
            <w:bottom w:w="0" w:type="dxa"/>
            <w:right w:w="0" w:type="dxa"/>
          </w:tblCellMar>
        </w:tblPrEx>
        <w:trPr>
          <w:trHeight w:val="2480"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公共服务</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政务公开目录</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政务公开事项的索引、名称、内容概述、生成日期等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附件11</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政务公开标准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政府信息公开指南等流程性信息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附件12</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权力清单及责任清单</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同级政府审批通过的行政执法主体信息和行政许可、行政处罚、行政强制、行政检查、行政确认、行政奖励及其他行政职权等行政执法职权职责清单</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信息形成或者变更20个工作日内，如有更新，及时公开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val="en-US" w:eastAsia="zh-CN" w:bidi="ar"/>
              </w:rPr>
              <w:t>局办公室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附件13</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主要业务办事指南</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主要业务工作的办事依据、程序、时限，办事时间、地点、部门、联系方式及相关办理结果</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信息形成或者变更之日起20个工作日内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Cs/>
                <w:szCs w:val="21"/>
                <w:lang w:val="en-US" w:eastAsia="zh-CN"/>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val="en-US" w:eastAsia="zh-CN"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附件14</w:t>
            </w:r>
          </w:p>
        </w:tc>
      </w:tr>
      <w:tr>
        <w:tblPrEx>
          <w:tblCellMar>
            <w:top w:w="0" w:type="dxa"/>
            <w:left w:w="0" w:type="dxa"/>
            <w:bottom w:w="0" w:type="dxa"/>
            <w:right w:w="0" w:type="dxa"/>
          </w:tblCellMar>
        </w:tblPrEx>
        <w:trPr>
          <w:trHeight w:val="2480"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公共服务</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年度报告</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政府信息公开年度报告及相关统计报表</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每年1月31日前</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附件15</w:t>
            </w:r>
          </w:p>
        </w:tc>
      </w:tr>
      <w:tr>
        <w:tblPrEx>
          <w:tblCellMar>
            <w:top w:w="0" w:type="dxa"/>
            <w:left w:w="0" w:type="dxa"/>
            <w:bottom w:w="0" w:type="dxa"/>
            <w:right w:w="0" w:type="dxa"/>
          </w:tblCellMar>
        </w:tblPrEx>
        <w:trPr>
          <w:trHeight w:val="2787" w:hRule="atLeast"/>
        </w:trPr>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重点领域信息公开</w:t>
            </w: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财政资金信息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●预算、决算                       ●“三公”经费                     ●安全生产专项资金使用等财政资金信息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《中华人民共和国政府信息公开条例》(国务院令第711号）、《国务院关于深化预算管理制度改革的决定》、《国务院办公厅关于进一步推进预算公开工作意见的通知》</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按中央要求时限公开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eastAsia="zh-CN" w:bidi="ar"/>
              </w:rPr>
              <w:t>参考</w:t>
            </w:r>
            <w:r>
              <w:rPr>
                <w:rFonts w:hint="eastAsia" w:ascii="仿宋" w:hAnsi="仿宋" w:eastAsia="仿宋" w:cs="仿宋"/>
                <w:bCs/>
                <w:kern w:val="0"/>
                <w:szCs w:val="21"/>
                <w:lang w:bidi="ar"/>
              </w:rPr>
              <w:t>附件16</w:t>
            </w:r>
          </w:p>
        </w:tc>
      </w:tr>
      <w:tr>
        <w:tblPrEx>
          <w:tblCellMar>
            <w:top w:w="0" w:type="dxa"/>
            <w:left w:w="0" w:type="dxa"/>
            <w:bottom w:w="0" w:type="dxa"/>
            <w:right w:w="0" w:type="dxa"/>
          </w:tblCellMar>
        </w:tblPrEx>
        <w:trPr>
          <w:trHeight w:val="3094" w:hRule="atLeast"/>
        </w:trPr>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政府采购信息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本单位采购实施情况相关信息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《中华人民共和国政府信息公开条例》(国务院令第711号）,《国务院关于深化预算管理制度改革的决定》(国发〔2014〕45号),中办、国办印发《关于进一步推进预算公开工作的意见》的通知</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left"/>
              <w:textAlignment w:val="center"/>
              <w:rPr>
                <w:rFonts w:ascii="仿宋" w:hAnsi="仿宋" w:eastAsia="仿宋" w:cs="仿宋"/>
                <w:bCs/>
                <w:kern w:val="0"/>
                <w:szCs w:val="21"/>
                <w:lang w:bidi="ar"/>
              </w:rPr>
            </w:pPr>
            <w:r>
              <w:rPr>
                <w:rFonts w:hint="eastAsia" w:ascii="仿宋" w:hAnsi="仿宋" w:eastAsia="仿宋" w:cs="仿宋"/>
                <w:bCs/>
                <w:kern w:val="0"/>
                <w:szCs w:val="21"/>
                <w:lang w:bidi="ar"/>
              </w:rPr>
              <w:t>附件16</w:t>
            </w:r>
          </w:p>
        </w:tc>
      </w:tr>
      <w:tr>
        <w:tblPrEx>
          <w:tblCellMar>
            <w:top w:w="0" w:type="dxa"/>
            <w:left w:w="0" w:type="dxa"/>
            <w:bottom w:w="0" w:type="dxa"/>
            <w:right w:w="0" w:type="dxa"/>
          </w:tblCellMar>
        </w:tblPrEx>
        <w:trPr>
          <w:trHeight w:val="2480"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重点领域信息公开</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办事纪律和监督管理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本单位的办事纪律,受理投诉、举报、信访的途径等内容</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left"/>
              <w:textAlignment w:val="center"/>
              <w:rPr>
                <w:rFonts w:ascii="仿宋" w:hAnsi="仿宋" w:eastAsia="仿宋" w:cs="仿宋"/>
                <w:bCs/>
                <w:kern w:val="0"/>
                <w:szCs w:val="21"/>
                <w:lang w:bidi="ar"/>
              </w:rPr>
            </w:pPr>
            <w:r>
              <w:rPr>
                <w:rFonts w:hint="eastAsia" w:ascii="仿宋" w:hAnsi="仿宋" w:eastAsia="仿宋" w:cs="仿宋"/>
                <w:bCs/>
                <w:kern w:val="0"/>
                <w:szCs w:val="21"/>
                <w:lang w:bidi="ar"/>
              </w:rPr>
              <w:t>附件17</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重大工程项目信息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项目名称、执行措施、责任分工、取得成效、后续举措等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《中华人民共和国政府信息公开条例》(国务院令第711号）、《国务院办公厅关于推进重大建设项目批准和实施领域政府信息公开的意见》（国办发〔2017〕94号）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left"/>
              <w:textAlignment w:val="center"/>
              <w:rPr>
                <w:rFonts w:ascii="仿宋" w:hAnsi="仿宋" w:eastAsia="仿宋" w:cs="仿宋"/>
                <w:bCs/>
                <w:kern w:val="0"/>
                <w:szCs w:val="21"/>
                <w:lang w:bidi="ar"/>
              </w:rPr>
            </w:pPr>
            <w:r>
              <w:rPr>
                <w:rFonts w:hint="eastAsia" w:ascii="仿宋" w:hAnsi="仿宋" w:eastAsia="仿宋" w:cs="仿宋"/>
                <w:bCs/>
                <w:kern w:val="0"/>
                <w:szCs w:val="21"/>
                <w:lang w:bidi="ar"/>
              </w:rPr>
              <w:t>附件16</w:t>
            </w:r>
          </w:p>
        </w:tc>
      </w:tr>
      <w:tr>
        <w:tblPrEx>
          <w:tblCellMar>
            <w:top w:w="0" w:type="dxa"/>
            <w:left w:w="0" w:type="dxa"/>
            <w:bottom w:w="0" w:type="dxa"/>
            <w:right w:w="0" w:type="dxa"/>
          </w:tblCellMar>
        </w:tblPrEx>
        <w:trPr>
          <w:trHeight w:val="355"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检查和巡查发现安全监管监察问题</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检查和巡查发现的、并要求向社会公开的问题及整改落实情况</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val="en-US" w:eastAsia="zh-CN" w:bidi="ar"/>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bidi="ar"/>
              </w:rPr>
              <w:t>附件18</w:t>
            </w:r>
          </w:p>
        </w:tc>
      </w:tr>
      <w:tr>
        <w:tblPrEx>
          <w:tblCellMar>
            <w:top w:w="0" w:type="dxa"/>
            <w:left w:w="0" w:type="dxa"/>
            <w:bottom w:w="0" w:type="dxa"/>
            <w:right w:w="0" w:type="dxa"/>
          </w:tblCellMar>
        </w:tblPrEx>
        <w:trPr>
          <w:trHeight w:val="4025"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建议提案办理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●办理制度与推进情况            ●人大代表建议办理              ●政协委员提案办理</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《中华人民共和国政府信息公开条例》(国务院令第711号）、《国务院办公厅关于做好全国人大代表建议和全国政协委员提案办理结果公开工作的通知》（国办发〔2014〕46号）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仿宋" w:hAnsi="仿宋" w:eastAsia="仿宋" w:cs="仿宋"/>
                <w:bCs/>
                <w:szCs w:val="21"/>
                <w:lang w:val="en-US" w:eastAsia="zh-CN"/>
              </w:rPr>
            </w:pPr>
            <w:r>
              <w:rPr>
                <w:rFonts w:hint="eastAsia" w:ascii="仿宋" w:hAnsi="仿宋" w:eastAsia="仿宋" w:cs="仿宋"/>
                <w:bCs/>
                <w:szCs w:val="21"/>
                <w:lang w:val="en-US" w:eastAsia="zh-CN"/>
              </w:rPr>
              <w:t>凤山县应急管理局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sym w:font="Wingdings 2" w:char="0052"/>
            </w: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 xml:space="preserve">公开查阅点 </w:t>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eastAsia="zh-CN" w:bidi="ar"/>
              </w:rPr>
              <w:t>□</w:t>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办公室危化</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、矿山工贸</w:t>
            </w:r>
            <w:r>
              <w:rPr>
                <w:rFonts w:hint="eastAsia" w:ascii="仿宋" w:hAnsi="仿宋" w:eastAsia="仿宋" w:cs="仿宋"/>
                <w:bCs/>
                <w:kern w:val="0"/>
                <w:szCs w:val="21"/>
                <w:lang w:eastAsia="zh-CN" w:bidi="ar"/>
              </w:rPr>
              <w:t>股</w:t>
            </w:r>
            <w:r>
              <w:rPr>
                <w:rFonts w:hint="eastAsia" w:ascii="仿宋" w:hAnsi="仿宋" w:eastAsia="仿宋" w:cs="仿宋"/>
                <w:bCs/>
                <w:kern w:val="0"/>
                <w:szCs w:val="21"/>
                <w:lang w:bidi="ar"/>
              </w:rPr>
              <w:t>、执法</w:t>
            </w:r>
            <w:r>
              <w:rPr>
                <w:rFonts w:hint="eastAsia" w:ascii="仿宋" w:hAnsi="仿宋" w:eastAsia="仿宋" w:cs="仿宋"/>
                <w:bCs/>
                <w:kern w:val="0"/>
                <w:szCs w:val="21"/>
                <w:lang w:eastAsia="zh-CN" w:bidi="ar"/>
              </w:rPr>
              <w:t>大队</w:t>
            </w:r>
            <w:r>
              <w:rPr>
                <w:rFonts w:hint="eastAsia" w:ascii="仿宋" w:hAnsi="仿宋" w:eastAsia="仿宋" w:cs="仿宋"/>
                <w:bCs/>
                <w:kern w:val="0"/>
                <w:szCs w:val="21"/>
                <w:lang w:bidi="ar"/>
              </w:rPr>
              <w:t>、协调</w:t>
            </w:r>
            <w:r>
              <w:rPr>
                <w:rFonts w:hint="eastAsia" w:ascii="仿宋" w:hAnsi="仿宋" w:eastAsia="仿宋" w:cs="仿宋"/>
                <w:bCs/>
                <w:kern w:val="0"/>
                <w:szCs w:val="21"/>
                <w:lang w:eastAsia="zh-CN" w:bidi="ar"/>
              </w:rPr>
              <w:t>股</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详见</w:t>
            </w:r>
          </w:p>
          <w:p>
            <w:pPr>
              <w:widowControl/>
              <w:jc w:val="center"/>
              <w:textAlignment w:val="center"/>
              <w:rPr>
                <w:rFonts w:ascii="仿宋" w:hAnsi="仿宋" w:eastAsia="仿宋" w:cs="仿宋"/>
                <w:bCs/>
                <w:kern w:val="0"/>
                <w:szCs w:val="21"/>
                <w:lang w:bidi="ar"/>
              </w:rPr>
            </w:pPr>
            <w:r>
              <w:rPr>
                <w:rFonts w:hint="eastAsia" w:ascii="仿宋" w:hAnsi="仿宋" w:eastAsia="仿宋" w:cs="仿宋"/>
                <w:bCs/>
                <w:kern w:val="0"/>
                <w:szCs w:val="21"/>
                <w:lang w:bidi="ar"/>
              </w:rPr>
              <w:t>附件19</w:t>
            </w:r>
          </w:p>
        </w:tc>
      </w:tr>
    </w:tbl>
    <w:p>
      <w:pPr>
        <w:rPr>
          <w:b/>
        </w:rPr>
      </w:pPr>
    </w:p>
    <w:p>
      <w:pPr>
        <w:rPr>
          <w:b/>
        </w:rPr>
      </w:pPr>
    </w:p>
    <w:p>
      <w:pPr>
        <w:rPr>
          <w:b/>
        </w:rPr>
      </w:pPr>
    </w:p>
    <w:p>
      <w:pPr>
        <w:rPr>
          <w:b/>
        </w:rPr>
      </w:pPr>
    </w:p>
    <w:p>
      <w:pPr>
        <w:rPr>
          <w:b/>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5262F"/>
    <w:rsid w:val="39D25EE0"/>
    <w:rsid w:val="401F25CC"/>
    <w:rsid w:val="57546041"/>
    <w:rsid w:val="7467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o</cp:lastModifiedBy>
  <dcterms:modified xsi:type="dcterms:W3CDTF">2020-12-17T10:18:55Z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