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center"/>
        <w:rPr>
          <w:rFonts w:hint="eastAsia" w:ascii="华文中宋" w:hAnsi="华文中宋" w:eastAsia="华文中宋"/>
          <w:spacing w:val="20"/>
          <w:sz w:val="48"/>
          <w:szCs w:val="48"/>
          <w:lang w:eastAsia="zh-CN"/>
        </w:rPr>
      </w:pPr>
    </w:p>
    <w:p>
      <w:pPr>
        <w:spacing w:line="1520" w:lineRule="exact"/>
        <w:jc w:val="center"/>
        <w:rPr>
          <w:rFonts w:hint="eastAsia" w:ascii="华文中宋" w:hAnsi="华文中宋" w:eastAsia="华文中宋"/>
          <w:spacing w:val="20"/>
          <w:sz w:val="48"/>
          <w:szCs w:val="48"/>
          <w:lang w:eastAsia="zh-CN"/>
        </w:rPr>
      </w:pPr>
    </w:p>
    <w:p>
      <w:pPr>
        <w:spacing w:line="1520" w:lineRule="exact"/>
        <w:jc w:val="center"/>
        <w:rPr>
          <w:rFonts w:hint="eastAsia" w:ascii="华文中宋" w:hAnsi="华文中宋" w:eastAsia="华文中宋"/>
          <w:spacing w:val="20"/>
          <w:sz w:val="48"/>
          <w:szCs w:val="48"/>
        </w:rPr>
      </w:pPr>
      <w:r>
        <w:rPr>
          <w:rFonts w:hint="eastAsia" w:ascii="华文中宋" w:hAnsi="华文中宋" w:eastAsia="华文中宋"/>
          <w:spacing w:val="20"/>
          <w:sz w:val="48"/>
          <w:szCs w:val="48"/>
          <w:lang w:eastAsia="zh-CN"/>
        </w:rPr>
        <w:t>救灾</w:t>
      </w:r>
      <w:r>
        <w:rPr>
          <w:rFonts w:hint="eastAsia" w:ascii="华文中宋" w:hAnsi="华文中宋" w:eastAsia="华文中宋"/>
          <w:spacing w:val="20"/>
          <w:sz w:val="48"/>
          <w:szCs w:val="48"/>
        </w:rPr>
        <w:t>领域</w:t>
      </w:r>
      <w:r>
        <w:rPr>
          <w:rFonts w:hint="eastAsia" w:ascii="华文中宋" w:hAnsi="华文中宋" w:eastAsia="华文中宋"/>
          <w:spacing w:val="20"/>
          <w:sz w:val="48"/>
          <w:szCs w:val="48"/>
          <w:lang w:eastAsia="zh-CN"/>
        </w:rPr>
        <w:t>基层政务</w:t>
      </w:r>
      <w:r>
        <w:rPr>
          <w:rFonts w:hint="eastAsia" w:ascii="华文中宋" w:hAnsi="华文中宋" w:eastAsia="华文中宋"/>
          <w:spacing w:val="20"/>
          <w:sz w:val="48"/>
          <w:szCs w:val="48"/>
        </w:rPr>
        <w:t>公开</w:t>
      </w:r>
      <w:r>
        <w:rPr>
          <w:rFonts w:hint="eastAsia" w:ascii="华文中宋" w:hAnsi="华文中宋" w:eastAsia="华文中宋"/>
          <w:spacing w:val="20"/>
          <w:sz w:val="48"/>
          <w:szCs w:val="48"/>
          <w:lang w:eastAsia="zh-CN"/>
        </w:rPr>
        <w:t>标准</w:t>
      </w:r>
      <w:r>
        <w:rPr>
          <w:rFonts w:hint="eastAsia" w:ascii="华文中宋" w:hAnsi="华文中宋" w:eastAsia="华文中宋"/>
          <w:spacing w:val="20"/>
          <w:sz w:val="48"/>
          <w:szCs w:val="48"/>
        </w:rPr>
        <w:t>目录</w:t>
      </w:r>
    </w:p>
    <w:p>
      <w:pPr>
        <w:spacing w:line="1520" w:lineRule="exact"/>
        <w:jc w:val="center"/>
        <w:rPr>
          <w:rFonts w:hint="eastAsia" w:ascii="华文中宋" w:hAnsi="华文中宋" w:eastAsia="华文中宋"/>
          <w:spacing w:val="20"/>
          <w:sz w:val="48"/>
          <w:szCs w:val="48"/>
          <w:lang w:val="en-US" w:eastAsia="zh-CN"/>
        </w:rPr>
      </w:pPr>
      <w:r>
        <w:rPr>
          <w:rFonts w:hint="eastAsia" w:ascii="华文中宋" w:hAnsi="华文中宋" w:eastAsia="华文中宋"/>
          <w:spacing w:val="20"/>
          <w:sz w:val="48"/>
          <w:szCs w:val="48"/>
          <w:lang w:val="en-US" w:eastAsia="zh-CN"/>
        </w:rPr>
        <w:t>（天峨县应急管理局）</w:t>
      </w:r>
    </w:p>
    <w:p>
      <w:pPr>
        <w:spacing w:line="1520" w:lineRule="exact"/>
        <w:jc w:val="both"/>
        <w:rPr>
          <w:rFonts w:hint="eastAsia" w:ascii="华文中宋" w:hAnsi="华文中宋" w:eastAsia="华文中宋"/>
          <w:spacing w:val="20"/>
          <w:sz w:val="48"/>
          <w:szCs w:val="48"/>
          <w:lang w:val="en-US" w:eastAsia="zh-CN"/>
        </w:rPr>
      </w:pPr>
    </w:p>
    <w:p>
      <w:pPr>
        <w:spacing w:line="1520" w:lineRule="exact"/>
        <w:jc w:val="both"/>
        <w:rPr>
          <w:rFonts w:hint="eastAsia" w:ascii="华文中宋" w:hAnsi="华文中宋" w:eastAsia="华文中宋"/>
          <w:spacing w:val="20"/>
          <w:sz w:val="48"/>
          <w:szCs w:val="48"/>
          <w:lang w:val="en-US" w:eastAsia="zh-CN"/>
        </w:rPr>
      </w:pPr>
    </w:p>
    <w:tbl>
      <w:tblPr>
        <w:tblStyle w:val="2"/>
        <w:tblW w:w="14894" w:type="dxa"/>
        <w:tblInd w:w="-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83"/>
        <w:gridCol w:w="1200"/>
        <w:gridCol w:w="3096"/>
        <w:gridCol w:w="1962"/>
        <w:gridCol w:w="1737"/>
        <w:gridCol w:w="1119"/>
        <w:gridCol w:w="1119"/>
        <w:gridCol w:w="700"/>
        <w:gridCol w:w="699"/>
        <w:gridCol w:w="700"/>
        <w:gridCol w:w="675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tblHeader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主动公开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tblHeader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重点领域信息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lang w:eastAsia="zh-CN"/>
              </w:rPr>
              <w:t>灾害救助需求和款物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受灾人员救助：受灾救助政策、办事指南、救助情况等信息。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信息形成之日起3个工作日内发布。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天峨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县应急管理局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tblHeader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灾害事故救援领域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自然灾害、重大事故灾难、公共卫生事件等突发事件的应急处置；自然灾害应急预案、应急处置与救援、预警防范、灾后恢复重建、舆情回应等信息；重大事故灾难应急预案、应急处置与救援、救助款物和捐赠款物、灾后恢复重建、舆情回应等信息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信息形成之日起3个工作日内发布。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天峨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县应急管理局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tblHeader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预警防范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气象、地震等单位发布的预警信息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天峨县应急管理局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tblHeader/>
        </w:trPr>
        <w:tc>
          <w:tcPr>
            <w:tcW w:w="4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动态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工作信息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防灾减灾救灾其他相关动态信息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按进展情况及时公开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天峨县应急管理局</w:t>
            </w:r>
            <w:bookmarkStart w:id="0" w:name="_GoBack"/>
            <w:bookmarkEnd w:id="0"/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E7F13"/>
    <w:rsid w:val="17D53727"/>
    <w:rsid w:val="2A2E7F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2020-11-18T06:54:00Z</dcterms:created>
  <dc:creator>NTKO</dc:creator>
  <cp:lastModifiedBy>NTKO</cp:lastModifiedBy>
  <dcterms:modified xsi:type="dcterms:W3CDTF">2020-11-18T07:20:27Z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