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方正小标宋_GBK" w:hAnsi="方正小标宋_GBK" w:eastAsia="方正小标宋_GBK"/>
          <w:b w:val="0"/>
          <w:bCs w:val="0"/>
          <w:sz w:val="30"/>
        </w:rPr>
      </w:pPr>
      <w:bookmarkStart w:id="0" w:name="_Toc24724725"/>
      <w:r>
        <w:rPr>
          <w:rFonts w:hint="eastAsia" w:ascii="方正小标宋_GBK" w:hAnsi="方正小标宋_GBK" w:eastAsia="方正小标宋_GBK"/>
          <w:b w:val="0"/>
          <w:bCs w:val="0"/>
          <w:sz w:val="30"/>
        </w:rPr>
        <w:t>（二十二）</w:t>
      </w:r>
      <w:bookmarkStart w:id="2" w:name="_GoBack"/>
      <w:r>
        <w:rPr>
          <w:rFonts w:hint="eastAsia" w:ascii="方正小标宋_GBK" w:hAnsi="方正小标宋_GBK" w:eastAsia="方正小标宋_GBK"/>
          <w:b w:val="0"/>
          <w:bCs w:val="0"/>
          <w:sz w:val="30"/>
        </w:rPr>
        <w:t>安全生产领域基层政务公开标准目录</w:t>
      </w:r>
      <w:bookmarkEnd w:id="2"/>
      <w:bookmarkEnd w:id="0"/>
    </w:p>
    <w:tbl>
      <w:tblPr>
        <w:tblStyle w:val="3"/>
        <w:tblW w:w="15660" w:type="dxa"/>
        <w:tblInd w:w="-8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77"/>
        <w:gridCol w:w="1203"/>
        <w:gridCol w:w="2520"/>
        <w:gridCol w:w="2367"/>
        <w:gridCol w:w="1785"/>
        <w:gridCol w:w="945"/>
        <w:gridCol w:w="1500"/>
        <w:gridCol w:w="675"/>
        <w:gridCol w:w="660"/>
        <w:gridCol w:w="615"/>
        <w:gridCol w:w="735"/>
        <w:gridCol w:w="57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540" w:type="dxa"/>
            <w:vMerge w:val="restart"/>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520"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367"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1785"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945" w:type="dxa"/>
            <w:vMerge w:val="restart"/>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500" w:type="dxa"/>
            <w:vMerge w:val="restart"/>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335"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350"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338" w:type="dxa"/>
            <w:gridSpan w:val="2"/>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540" w:type="dxa"/>
            <w:vMerge w:val="continue"/>
            <w:noWrap w:val="0"/>
            <w:vAlign w:val="center"/>
          </w:tcPr>
          <w:p>
            <w:pPr>
              <w:widowControl/>
              <w:jc w:val="center"/>
              <w:rPr>
                <w:rFonts w:hint="eastAsia" w:ascii="仿宋_GB2312" w:hAnsi="Times New Roman" w:eastAsia="仿宋_GB2312"/>
                <w:color w:val="000000"/>
                <w:kern w:val="0"/>
                <w:sz w:val="18"/>
                <w:szCs w:val="18"/>
              </w:rPr>
            </w:pPr>
          </w:p>
        </w:tc>
        <w:tc>
          <w:tcPr>
            <w:tcW w:w="777"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203"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520" w:type="dxa"/>
            <w:vMerge w:val="continue"/>
            <w:noWrap w:val="0"/>
            <w:vAlign w:val="center"/>
          </w:tcPr>
          <w:p>
            <w:pPr>
              <w:widowControl/>
              <w:jc w:val="left"/>
              <w:rPr>
                <w:rFonts w:hint="eastAsia" w:ascii="黑体" w:hAnsi="宋体" w:eastAsia="黑体" w:cs="宋体"/>
                <w:color w:val="000000"/>
                <w:kern w:val="0"/>
                <w:sz w:val="22"/>
              </w:rPr>
            </w:pPr>
          </w:p>
        </w:tc>
        <w:tc>
          <w:tcPr>
            <w:tcW w:w="2367" w:type="dxa"/>
            <w:vMerge w:val="continue"/>
            <w:noWrap w:val="0"/>
            <w:vAlign w:val="center"/>
          </w:tcPr>
          <w:p>
            <w:pPr>
              <w:widowControl/>
              <w:jc w:val="left"/>
              <w:rPr>
                <w:rFonts w:hint="eastAsia" w:ascii="黑体" w:hAnsi="宋体" w:eastAsia="黑体" w:cs="宋体"/>
                <w:color w:val="000000"/>
                <w:kern w:val="0"/>
                <w:sz w:val="22"/>
              </w:rPr>
            </w:pPr>
          </w:p>
        </w:tc>
        <w:tc>
          <w:tcPr>
            <w:tcW w:w="1785" w:type="dxa"/>
            <w:vMerge w:val="continue"/>
            <w:noWrap w:val="0"/>
            <w:vAlign w:val="center"/>
          </w:tcPr>
          <w:p>
            <w:pPr>
              <w:widowControl/>
              <w:jc w:val="left"/>
              <w:rPr>
                <w:rFonts w:hint="eastAsia" w:ascii="黑体" w:hAnsi="宋体" w:eastAsia="黑体" w:cs="宋体"/>
                <w:color w:val="000000"/>
                <w:kern w:val="0"/>
                <w:sz w:val="22"/>
              </w:rPr>
            </w:pPr>
          </w:p>
        </w:tc>
        <w:tc>
          <w:tcPr>
            <w:tcW w:w="945" w:type="dxa"/>
            <w:vMerge w:val="continue"/>
            <w:noWrap w:val="0"/>
            <w:vAlign w:val="center"/>
          </w:tcPr>
          <w:p>
            <w:pPr>
              <w:widowControl/>
              <w:jc w:val="center"/>
              <w:rPr>
                <w:rFonts w:hint="eastAsia" w:ascii="黑体" w:hAnsi="宋体" w:eastAsia="黑体" w:cs="宋体"/>
                <w:color w:val="000000"/>
                <w:kern w:val="0"/>
                <w:sz w:val="22"/>
              </w:rPr>
            </w:pPr>
          </w:p>
        </w:tc>
        <w:tc>
          <w:tcPr>
            <w:tcW w:w="1500" w:type="dxa"/>
            <w:vMerge w:val="continue"/>
            <w:noWrap w:val="0"/>
            <w:vAlign w:val="center"/>
          </w:tcPr>
          <w:p>
            <w:pPr>
              <w:widowControl/>
              <w:jc w:val="left"/>
              <w:rPr>
                <w:rFonts w:hint="eastAsia" w:ascii="黑体" w:hAnsi="宋体" w:eastAsia="黑体" w:cs="宋体"/>
                <w:kern w:val="0"/>
                <w:sz w:val="22"/>
              </w:rPr>
            </w:pPr>
          </w:p>
        </w:tc>
        <w:tc>
          <w:tcPr>
            <w:tcW w:w="675"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66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615"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35"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70"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768" w:type="dxa"/>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法律法规</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与安全生产有关的法律、法规</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vMerge w:val="restart"/>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部门和地方规章</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与安全生产有关的部门和地方规章</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vMerge w:val="continue"/>
            <w:noWrap w:val="0"/>
            <w:vAlign w:val="center"/>
          </w:tcPr>
          <w:p>
            <w:pPr>
              <w:spacing w:line="240" w:lineRule="exact"/>
              <w:jc w:val="left"/>
              <w:rPr>
                <w:rFonts w:hint="eastAsia" w:ascii="仿宋_GB2312" w:eastAsia="仿宋_GB2312"/>
                <w:sz w:val="18"/>
                <w:szCs w:val="18"/>
              </w:rPr>
            </w:pP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3</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其他政策文件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其他可以公开的与安全生产有关的政策文件，包括改革方案、发展规划、专项规划、工作计划等</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vMerge w:val="continue"/>
            <w:noWrap w:val="0"/>
            <w:vAlign w:val="center"/>
          </w:tcPr>
          <w:p>
            <w:pPr>
              <w:spacing w:line="240" w:lineRule="exact"/>
              <w:jc w:val="left"/>
              <w:rPr>
                <w:rFonts w:hint="eastAsia" w:ascii="仿宋_GB2312" w:eastAsia="仿宋_GB2312"/>
                <w:sz w:val="18"/>
                <w:szCs w:val="18"/>
              </w:rPr>
            </w:pP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4</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安全生产领域有关的国家标准、行业标准、地方标准等</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vMerge w:val="continue"/>
            <w:noWrap w:val="0"/>
            <w:vAlign w:val="center"/>
          </w:tcPr>
          <w:p>
            <w:pPr>
              <w:spacing w:line="240" w:lineRule="exact"/>
              <w:jc w:val="left"/>
              <w:rPr>
                <w:rFonts w:hint="eastAsia" w:ascii="仿宋_GB2312" w:eastAsia="仿宋_GB2312"/>
                <w:sz w:val="18"/>
                <w:szCs w:val="18"/>
              </w:rPr>
            </w:pP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5</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涉及管理相对人切身利益、需社会广泛知晓的重要改革方案等重大决策，决策前向社会公开决策草案、决策依据</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《政府信息公开条例》、《关于全面推进政务公开工作的意见》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5" w:type="dxa"/>
            <w:noWrap w:val="0"/>
            <w:vAlign w:val="center"/>
          </w:tcPr>
          <w:p>
            <w:pPr>
              <w:jc w:val="cente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■公开查阅点 </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6</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重大政策解读及回应</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有关重大政策的解读与回应，安全生产相关热点问题的解读与回应</w:t>
            </w:r>
          </w:p>
        </w:tc>
        <w:tc>
          <w:tcPr>
            <w:tcW w:w="2367" w:type="dxa"/>
            <w:noWrap w:val="0"/>
            <w:vAlign w:val="top"/>
          </w:tcPr>
          <w:p>
            <w:r>
              <w:rPr>
                <w:rFonts w:hint="eastAsia" w:ascii="仿宋_GB2312" w:eastAsia="仿宋_GB2312"/>
                <w:bCs/>
                <w:color w:val="000000"/>
                <w:sz w:val="18"/>
                <w:szCs w:val="18"/>
              </w:rPr>
              <w:t>《政府信息公开条例》、《关于全面推进政务公开工作的意见》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重大决策作出后及时公开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jc w:val="left"/>
              <w:rPr>
                <w:rFonts w:hint="eastAsia" w:ascii="仿宋_GB2312" w:eastAsia="仿宋_GB2312"/>
                <w:sz w:val="18"/>
                <w:szCs w:val="18"/>
                <w:lang w:eastAsia="zh-CN"/>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w:t>
            </w:r>
            <w:r>
              <w:rPr>
                <w:rFonts w:hint="eastAsia" w:ascii="仿宋_GB2312" w:eastAsia="仿宋_GB2312"/>
                <w:sz w:val="18"/>
                <w:szCs w:val="18"/>
                <w:lang w:eastAsia="zh-CN"/>
              </w:rPr>
              <w:t>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0"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7</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重要会议</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通过会议讨论作出重要改革方案等重大决策时，经党组研究认为有必要公开讨论决策过程的会议</w:t>
            </w:r>
          </w:p>
        </w:tc>
        <w:tc>
          <w:tcPr>
            <w:tcW w:w="2367" w:type="dxa"/>
            <w:noWrap w:val="0"/>
            <w:vAlign w:val="top"/>
          </w:tcPr>
          <w:p>
            <w:r>
              <w:rPr>
                <w:rFonts w:hint="eastAsia" w:ascii="仿宋_GB2312" w:eastAsia="仿宋_GB2312"/>
                <w:bCs/>
                <w:color w:val="000000"/>
                <w:sz w:val="18"/>
                <w:szCs w:val="18"/>
              </w:rPr>
              <w:t>《政府信息公开条例》、《关于全面推进政务公开工作的意见》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提前一周发通知邀请</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■便民服务站</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8</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征集采纳社会公众意见情况</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重大决策草案公布后征集到的社会公众意见情况、采纳与否情况及理由等</w:t>
            </w:r>
          </w:p>
        </w:tc>
        <w:tc>
          <w:tcPr>
            <w:tcW w:w="2367" w:type="dxa"/>
            <w:noWrap w:val="0"/>
            <w:vAlign w:val="top"/>
          </w:tcPr>
          <w:p>
            <w:r>
              <w:rPr>
                <w:rFonts w:hint="eastAsia" w:ascii="仿宋_GB2312" w:eastAsia="仿宋_GB2312"/>
                <w:bCs/>
                <w:color w:val="000000"/>
                <w:sz w:val="18"/>
                <w:szCs w:val="18"/>
              </w:rPr>
              <w:t>《政府信息公开条例》、《关于全面推进政务公开工作的意见》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征求意见时对外公布的时限内公开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■公开查阅点 </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77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行政许可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办理行政许可和其他对外管理服务事项的依据、条件、程序</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■两微一端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依法</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行政处罚</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办理行政处罚的依据、条件、程序以及本级行政机关认为具有一定社会影响的行政处罚决定</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行政强制</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办理行政强制的依据、条件、程序</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《政府信息公开条例》、《突发事件应对法》、《突发事件应急预案管理办法》、《中共中央 国务院关于推进安全生产领域改革发展的意见》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77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隐患管理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重大隐患排查、挂牌督办及其整改情况，安全生产举报电话等</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■广播电视   ■公开查阅点</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应急管理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xml:space="preserve">承担处置主责、非敏感的应急信息，包括事故灾害类预警信息、事故信息、事故后采取的应急处置措施和应对结果等  </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《政府信息公开条例》、《突发事件应对法》、《关于全面加强政务公开工作的意见》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p>
            <w:pPr>
              <w:spacing w:line="240" w:lineRule="exact"/>
              <w:jc w:val="left"/>
              <w:rPr>
                <w:rFonts w:hint="eastAsia" w:ascii="仿宋_GB2312" w:eastAsia="仿宋_GB2312"/>
                <w:sz w:val="18"/>
                <w:szCs w:val="18"/>
              </w:rPr>
            </w:pPr>
            <w:r>
              <w:rPr>
                <w:rFonts w:hint="eastAsia" w:ascii="仿宋_GB2312" w:eastAsia="仿宋_GB2312"/>
                <w:sz w:val="18"/>
                <w:szCs w:val="18"/>
              </w:rPr>
              <w:t>■公示栏</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黑名单管理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列入或撤销纳入安全生产黑名单管理的企业信息，具体企业名称、证照编号、经营地址、负责人姓名等</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《政府信息公开条例》、《社会信用体系建设规划纲要（2014-2020年）》</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信息形成或变更之日起20个工作日内</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r>
              <w:rPr>
                <w:rFonts w:hint="eastAsia" w:ascii="仿宋_GB2312" w:eastAsia="仿宋_GB2312"/>
                <w:sz w:val="18"/>
                <w:szCs w:val="18"/>
              </w:rPr>
              <w:br w:type="textWrapping"/>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事故通报</w:t>
            </w:r>
          </w:p>
        </w:tc>
        <w:tc>
          <w:tcPr>
            <w:tcW w:w="2520" w:type="dxa"/>
            <w:noWrap w:val="0"/>
            <w:vAlign w:val="center"/>
          </w:tcPr>
          <w:p>
            <w:pPr>
              <w:jc w:val="left"/>
              <w:rPr>
                <w:rFonts w:hint="eastAsia" w:ascii="仿宋_GB2312" w:hAnsi="宋体" w:eastAsia="仿宋_GB2312" w:cs="宋体"/>
                <w:bCs/>
                <w:sz w:val="18"/>
                <w:szCs w:val="18"/>
              </w:rPr>
            </w:pPr>
            <w:r>
              <w:rPr>
                <w:rFonts w:hint="eastAsia" w:ascii="仿宋_GB2312" w:eastAsia="仿宋_GB2312"/>
                <w:bCs/>
                <w:sz w:val="18"/>
                <w:szCs w:val="18"/>
              </w:rPr>
              <w:t>1、事故信息:本部门接报查实的各类生产安全事故情况（事故发生时间、地点、伤亡情况、简要经过）                         2、典型事故通报:各类典型安全生产事故情况通报，主要包括发生时间、地点、起因、经过、结果、相关领导批示情况、预防性措施建议等内容                       3、事故调查报告：依照事故调查处理权限，经批复的生产安全事故调查报告，依法应当保密的除外</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《安全生产法》、《政府信息公开条例》、《中共中央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动态信息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业务工作动态、安全生产执法检查动态</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■其他</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77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行政</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安全生产预警提示信息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气象及灾害预警信息            不同时段、不同领域安全生产提示信息</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信息形成后及时公开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■两微一端   ■发布会</w:t>
            </w:r>
            <w:r>
              <w:rPr>
                <w:rFonts w:hint="eastAsia" w:ascii="仿宋_GB2312" w:eastAsia="仿宋_GB2312"/>
                <w:sz w:val="18"/>
                <w:szCs w:val="18"/>
              </w:rPr>
              <w:br w:type="textWrapping"/>
            </w:r>
            <w:r>
              <w:rPr>
                <w:rFonts w:hint="eastAsia" w:ascii="仿宋_GB2312" w:eastAsia="仿宋_GB2312"/>
                <w:sz w:val="18"/>
                <w:szCs w:val="18"/>
              </w:rPr>
              <w:t>■广播电视   ■纸质媒体</w:t>
            </w:r>
          </w:p>
          <w:p>
            <w:pPr>
              <w:spacing w:line="240" w:lineRule="exact"/>
              <w:jc w:val="left"/>
              <w:rPr>
                <w:rFonts w:hint="eastAsia" w:ascii="仿宋_GB2312" w:eastAsia="仿宋_GB2312"/>
                <w:sz w:val="18"/>
                <w:szCs w:val="18"/>
              </w:rPr>
            </w:pPr>
            <w:r>
              <w:rPr>
                <w:rFonts w:hint="eastAsia" w:ascii="仿宋_GB2312" w:eastAsia="仿宋_GB2312"/>
                <w:sz w:val="18"/>
                <w:szCs w:val="18"/>
              </w:rPr>
              <w:t>■便民服务站 ■入户/现场</w:t>
            </w:r>
            <w:r>
              <w:rPr>
                <w:rFonts w:hint="eastAsia" w:ascii="仿宋_GB2312" w:eastAsia="仿宋_GB2312"/>
                <w:sz w:val="18"/>
                <w:szCs w:val="18"/>
              </w:rPr>
              <w:br w:type="textWrapping"/>
            </w:r>
            <w:r>
              <w:rPr>
                <w:rFonts w:hint="eastAsia" w:ascii="仿宋_GB2312" w:eastAsia="仿宋_GB2312"/>
                <w:sz w:val="18"/>
                <w:szCs w:val="18"/>
              </w:rPr>
              <w:t>■社区/企事业单位、村公示栏（电子屏）</w:t>
            </w:r>
            <w:r>
              <w:rPr>
                <w:rFonts w:hint="eastAsia" w:ascii="仿宋_GB2312" w:eastAsia="仿宋_GB2312"/>
                <w:sz w:val="18"/>
                <w:szCs w:val="18"/>
              </w:rPr>
              <w:br w:type="textWrapping"/>
            </w:r>
            <w:r>
              <w:rPr>
                <w:rFonts w:hint="eastAsia" w:ascii="仿宋_GB2312" w:eastAsia="仿宋_GB2312"/>
                <w:sz w:val="18"/>
                <w:szCs w:val="18"/>
              </w:rPr>
              <w:t>■精准推送   ■其他</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政务公开目录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政务公开事项的索引、名称、内容概述、生成日期等</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政务公开标准</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政府信息公开指南等流程性信息</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20</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公共</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服务</w:t>
            </w: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权力清单及责任清单</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同级政府审批通过的行政执法主体信息和行政许可、行政处罚、行政强制、行政检查、行政确认、行政奖励及其他行政职权等行政执法职权职责清单</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信息形成或者变更20个工作日内，如有更新，及时公开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21</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主要业务办事指南</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主要业务工作的办事依据、程序、时限，办事时间、地点、部门、联系方式及相关办理结果</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信息形成或者变更之日起20个工作日内</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22</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年度报告</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政府信息公开年度报告及相关统计报表</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每年1月31日前</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23</w:t>
            </w:r>
          </w:p>
        </w:tc>
        <w:tc>
          <w:tcPr>
            <w:tcW w:w="777"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财政资金信息</w:t>
            </w:r>
          </w:p>
        </w:tc>
        <w:tc>
          <w:tcPr>
            <w:tcW w:w="2520" w:type="dxa"/>
            <w:noWrap w:val="0"/>
            <w:vAlign w:val="center"/>
          </w:tcPr>
          <w:p>
            <w:pPr>
              <w:rPr>
                <w:rFonts w:hint="eastAsia" w:ascii="仿宋_GB2312" w:eastAsia="仿宋_GB2312"/>
                <w:bCs/>
                <w:sz w:val="18"/>
                <w:szCs w:val="18"/>
              </w:rPr>
            </w:pPr>
            <w:r>
              <w:rPr>
                <w:rFonts w:hint="eastAsia" w:ascii="仿宋_GB2312" w:eastAsia="仿宋_GB2312"/>
                <w:bCs/>
                <w:sz w:val="18"/>
                <w:szCs w:val="18"/>
              </w:rPr>
              <w:t>预算、决算</w:t>
            </w:r>
          </w:p>
          <w:p>
            <w:pPr>
              <w:rPr>
                <w:rFonts w:hint="eastAsia" w:ascii="仿宋_GB2312" w:eastAsia="仿宋_GB2312"/>
                <w:bCs/>
                <w:sz w:val="18"/>
                <w:szCs w:val="18"/>
              </w:rPr>
            </w:pPr>
            <w:r>
              <w:rPr>
                <w:rFonts w:hint="eastAsia" w:ascii="仿宋_GB2312" w:eastAsia="仿宋_GB2312"/>
                <w:bCs/>
                <w:sz w:val="18"/>
                <w:szCs w:val="18"/>
              </w:rPr>
              <w:t xml:space="preserve"> “三公”经费</w:t>
            </w:r>
          </w:p>
          <w:p>
            <w:pPr>
              <w:rPr>
                <w:rFonts w:hint="eastAsia" w:ascii="仿宋_GB2312" w:hAnsi="宋体" w:eastAsia="仿宋_GB2312" w:cs="宋体"/>
                <w:bCs/>
                <w:sz w:val="18"/>
                <w:szCs w:val="18"/>
              </w:rPr>
            </w:pPr>
            <w:r>
              <w:rPr>
                <w:rFonts w:hint="eastAsia" w:ascii="仿宋_GB2312" w:eastAsia="仿宋_GB2312"/>
                <w:bCs/>
                <w:sz w:val="18"/>
                <w:szCs w:val="18"/>
              </w:rPr>
              <w:t>安全生产专项资金使用等财政资金信息</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《政府信息公开条例》、《国务院关于深化预算管理制度改革的决定》、《国务院办公厅关于进一步推进预算公开工作意见的通知》</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按中央要求时限公开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24</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政府采购信息</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本单位采购实施情况相关信息</w:t>
            </w:r>
          </w:p>
        </w:tc>
        <w:tc>
          <w:tcPr>
            <w:tcW w:w="2367"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《政府信息公开条例》、《国务院关于深化预算管理制度改革的决定》、中办、国办印发《关于进一步推进预算公开工作的意见》的通知</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5"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25</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办事纪律和监督管理</w:t>
            </w:r>
          </w:p>
        </w:tc>
        <w:tc>
          <w:tcPr>
            <w:tcW w:w="252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本单位的办事纪律,受理投诉、举报、信访的途径等内容</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26</w:t>
            </w:r>
          </w:p>
        </w:tc>
        <w:tc>
          <w:tcPr>
            <w:tcW w:w="777" w:type="dxa"/>
            <w:vMerge w:val="restart"/>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重点</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领域</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信息</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公开</w:t>
            </w: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重大工程项目信息</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项目名称、执行措施、责任分工、取得成效、后续举措等</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《政府信息公开条例》、《国务院办公厅关于推进重大建设项目批准和实施领域政府信息公开的意见》</w:t>
            </w:r>
          </w:p>
        </w:tc>
        <w:tc>
          <w:tcPr>
            <w:tcW w:w="178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按照中央有关要求公开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■政府网站</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27</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检查和巡查发现安全监管监察问题</w:t>
            </w:r>
          </w:p>
        </w:tc>
        <w:tc>
          <w:tcPr>
            <w:tcW w:w="252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检查和巡查发现的、并要求向社会公开的问题及整改落实情况</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《政府信息公开条例》、《中共中央 国务院关于推进安全生产领域改革发展的意见》</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按进展情况及时公开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   ■公开查阅点 ■政务服务中心</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40" w:type="dxa"/>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28</w:t>
            </w:r>
          </w:p>
        </w:tc>
        <w:tc>
          <w:tcPr>
            <w:tcW w:w="777" w:type="dxa"/>
            <w:vMerge w:val="continue"/>
            <w:noWrap w:val="0"/>
            <w:vAlign w:val="center"/>
          </w:tcPr>
          <w:p>
            <w:pPr>
              <w:rPr>
                <w:rFonts w:hint="eastAsia" w:ascii="仿宋_GB2312" w:hAnsi="宋体" w:eastAsia="仿宋_GB2312" w:cs="宋体"/>
                <w:color w:val="000000"/>
                <w:sz w:val="18"/>
                <w:szCs w:val="18"/>
              </w:rPr>
            </w:pPr>
          </w:p>
        </w:tc>
        <w:tc>
          <w:tcPr>
            <w:tcW w:w="1203"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建议提案办理</w:t>
            </w:r>
          </w:p>
        </w:tc>
        <w:tc>
          <w:tcPr>
            <w:tcW w:w="2520" w:type="dxa"/>
            <w:noWrap w:val="0"/>
            <w:vAlign w:val="center"/>
          </w:tcPr>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办理制度与推进情况            </w:t>
            </w:r>
          </w:p>
          <w:p>
            <w:pPr>
              <w:rPr>
                <w:rFonts w:hint="eastAsia" w:ascii="仿宋_GB2312" w:eastAsia="仿宋_GB2312"/>
                <w:bCs/>
                <w:color w:val="000000"/>
                <w:sz w:val="18"/>
                <w:szCs w:val="18"/>
              </w:rPr>
            </w:pPr>
            <w:r>
              <w:rPr>
                <w:rFonts w:hint="eastAsia" w:ascii="仿宋_GB2312" w:eastAsia="仿宋_GB2312"/>
                <w:bCs/>
                <w:color w:val="000000"/>
                <w:sz w:val="18"/>
                <w:szCs w:val="18"/>
              </w:rPr>
              <w:t xml:space="preserve">人大代表建议办理              </w:t>
            </w:r>
          </w:p>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政协委员提案办理</w:t>
            </w:r>
          </w:p>
        </w:tc>
        <w:tc>
          <w:tcPr>
            <w:tcW w:w="2367"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《政府信息公开条例》、《国务院办公厅关于做好全国人大代表建议和全国政协委员提案办理结果公开工作的通知》</w:t>
            </w:r>
          </w:p>
        </w:tc>
        <w:tc>
          <w:tcPr>
            <w:tcW w:w="178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按照中央有关要求公开</w:t>
            </w:r>
          </w:p>
        </w:tc>
        <w:tc>
          <w:tcPr>
            <w:tcW w:w="94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应急管理部门</w:t>
            </w:r>
          </w:p>
        </w:tc>
        <w:tc>
          <w:tcPr>
            <w:tcW w:w="1500" w:type="dxa"/>
            <w:noWrap w:val="0"/>
            <w:vAlign w:val="center"/>
          </w:tcPr>
          <w:p>
            <w:pPr>
              <w:spacing w:line="240" w:lineRule="exact"/>
              <w:jc w:val="left"/>
              <w:rPr>
                <w:rFonts w:hint="eastAsia" w:ascii="仿宋_GB2312" w:hAnsi="宋体" w:eastAsia="仿宋_GB2312" w:cs="宋体"/>
                <w:bCs/>
                <w:sz w:val="18"/>
                <w:szCs w:val="18"/>
              </w:rPr>
            </w:pPr>
            <w:r>
              <w:rPr>
                <w:rFonts w:hint="eastAsia" w:ascii="仿宋_GB2312" w:eastAsia="仿宋_GB2312"/>
                <w:sz w:val="18"/>
                <w:szCs w:val="18"/>
              </w:rPr>
              <w:t>■政府网站   ■公开查阅点 ■政务服务中心</w:t>
            </w:r>
            <w:r>
              <w:rPr>
                <w:rFonts w:hint="eastAsia" w:ascii="仿宋_GB2312" w:eastAsia="仿宋_GB2312"/>
                <w:sz w:val="18"/>
                <w:szCs w:val="18"/>
              </w:rPr>
              <w:br w:type="textWrapping"/>
            </w:r>
            <w:r>
              <w:rPr>
                <w:rFonts w:hint="eastAsia" w:ascii="仿宋_GB2312" w:eastAsia="仿宋_GB2312"/>
                <w:sz w:val="18"/>
                <w:szCs w:val="18"/>
              </w:rPr>
              <w:t>■便民服务站</w:t>
            </w:r>
          </w:p>
        </w:tc>
        <w:tc>
          <w:tcPr>
            <w:tcW w:w="67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660"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615"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35"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c>
          <w:tcPr>
            <w:tcW w:w="570" w:type="dxa"/>
            <w:noWrap w:val="0"/>
            <w:vAlign w:val="center"/>
          </w:tcPr>
          <w:p>
            <w:pPr>
              <w:rPr>
                <w:rFonts w:hint="eastAsia" w:ascii="仿宋_GB2312" w:hAnsi="宋体" w:eastAsia="仿宋_GB2312" w:cs="宋体"/>
                <w:bCs/>
                <w:sz w:val="18"/>
                <w:szCs w:val="18"/>
              </w:rPr>
            </w:pPr>
            <w:r>
              <w:rPr>
                <w:rFonts w:hint="eastAsia" w:ascii="仿宋_GB2312" w:eastAsia="仿宋_GB2312"/>
                <w:bCs/>
                <w:sz w:val="18"/>
                <w:szCs w:val="18"/>
              </w:rPr>
              <w:t>√</w:t>
            </w:r>
          </w:p>
        </w:tc>
        <w:tc>
          <w:tcPr>
            <w:tcW w:w="768" w:type="dxa"/>
            <w:noWrap w:val="0"/>
            <w:vAlign w:val="center"/>
          </w:tcPr>
          <w:p>
            <w:pPr>
              <w:rPr>
                <w:rFonts w:hint="eastAsia" w:ascii="仿宋_GB2312" w:hAnsi="宋体" w:eastAsia="仿宋_GB2312" w:cs="宋体"/>
                <w:bCs/>
                <w:color w:val="000000"/>
                <w:sz w:val="18"/>
                <w:szCs w:val="18"/>
              </w:rPr>
            </w:pPr>
            <w:r>
              <w:rPr>
                <w:rFonts w:hint="eastAsia" w:ascii="仿宋_GB2312" w:eastAsia="仿宋_GB2312"/>
                <w:bCs/>
                <w:color w:val="000000"/>
                <w:sz w:val="18"/>
                <w:szCs w:val="18"/>
              </w:rPr>
              <w:t>　</w:t>
            </w:r>
          </w:p>
        </w:tc>
      </w:tr>
    </w:tbl>
    <w:p>
      <w:pPr>
        <w:pStyle w:val="2"/>
        <w:jc w:val="center"/>
        <w:rPr>
          <w:rFonts w:hint="eastAsia" w:ascii="方正小标宋_GBK" w:hAnsi="方正小标宋_GBK" w:eastAsia="方正小标宋_GBK"/>
          <w:b w:val="0"/>
          <w:bCs w:val="0"/>
          <w:sz w:val="30"/>
        </w:rPr>
      </w:pPr>
      <w:r>
        <w:br w:type="page"/>
      </w:r>
      <w:bookmarkStart w:id="1" w:name="_Toc24724726"/>
      <w:r>
        <w:rPr>
          <w:rFonts w:hint="eastAsia" w:ascii="方正小标宋_GBK" w:hAnsi="方正小标宋_GBK" w:eastAsia="方正小标宋_GBK"/>
          <w:b w:val="0"/>
          <w:bCs w:val="0"/>
          <w:sz w:val="30"/>
        </w:rPr>
        <w:t>（二十三）救灾生产领域基层政务公开标准目录</w:t>
      </w:r>
      <w:bookmarkEnd w:id="1"/>
    </w:p>
    <w:tbl>
      <w:tblPr>
        <w:tblStyle w:val="3"/>
        <w:tblW w:w="0" w:type="auto"/>
        <w:tblInd w:w="-844" w:type="dxa"/>
        <w:tblLayout w:type="fixed"/>
        <w:tblCellMar>
          <w:top w:w="0" w:type="dxa"/>
          <w:left w:w="108" w:type="dxa"/>
          <w:bottom w:w="0" w:type="dxa"/>
          <w:right w:w="108" w:type="dxa"/>
        </w:tblCellMar>
      </w:tblPr>
      <w:tblGrid>
        <w:gridCol w:w="540"/>
        <w:gridCol w:w="900"/>
        <w:gridCol w:w="1080"/>
        <w:gridCol w:w="2700"/>
        <w:gridCol w:w="1968"/>
        <w:gridCol w:w="2160"/>
        <w:gridCol w:w="1092"/>
        <w:gridCol w:w="1496"/>
        <w:gridCol w:w="540"/>
        <w:gridCol w:w="720"/>
        <w:gridCol w:w="540"/>
        <w:gridCol w:w="720"/>
        <w:gridCol w:w="540"/>
        <w:gridCol w:w="664"/>
      </w:tblGrid>
      <w:tr>
        <w:tblPrEx>
          <w:tblCellMar>
            <w:top w:w="0" w:type="dxa"/>
            <w:left w:w="108" w:type="dxa"/>
            <w:bottom w:w="0" w:type="dxa"/>
            <w:right w:w="108" w:type="dxa"/>
          </w:tblCellMar>
        </w:tblPrEx>
        <w:trPr>
          <w:trHeight w:val="420" w:hRule="atLeast"/>
        </w:trPr>
        <w:tc>
          <w:tcPr>
            <w:tcW w:w="5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r>
              <w:rPr>
                <w:rFonts w:hint="eastAsia" w:ascii="黑体" w:hAnsi="宋体" w:eastAsia="黑体" w:cs="宋体"/>
                <w:color w:val="000000"/>
                <w:kern w:val="0"/>
                <w:sz w:val="22"/>
              </w:rPr>
              <w:t>序号</w:t>
            </w:r>
          </w:p>
        </w:tc>
        <w:tc>
          <w:tcPr>
            <w:tcW w:w="198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公开事项</w:t>
            </w:r>
          </w:p>
        </w:tc>
        <w:tc>
          <w:tcPr>
            <w:tcW w:w="27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196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公开依据</w:t>
            </w:r>
          </w:p>
        </w:tc>
        <w:tc>
          <w:tcPr>
            <w:tcW w:w="216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公开时限</w:t>
            </w:r>
          </w:p>
        </w:tc>
        <w:tc>
          <w:tcPr>
            <w:tcW w:w="1092"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公开主体</w:t>
            </w:r>
          </w:p>
        </w:tc>
        <w:tc>
          <w:tcPr>
            <w:tcW w:w="149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kern w:val="0"/>
                <w:sz w:val="22"/>
              </w:rPr>
            </w:pPr>
            <w:r>
              <w:rPr>
                <w:rFonts w:hint="eastAsia" w:ascii="黑体" w:hAnsi="宋体" w:eastAsia="黑体" w:cs="宋体"/>
                <w:kern w:val="0"/>
                <w:sz w:val="22"/>
              </w:rPr>
              <w:t>公开渠道和载体</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公开对象</w:t>
            </w:r>
          </w:p>
        </w:tc>
        <w:tc>
          <w:tcPr>
            <w:tcW w:w="126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公开方式</w:t>
            </w:r>
          </w:p>
        </w:tc>
        <w:tc>
          <w:tcPr>
            <w:tcW w:w="1204"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CellMar>
            <w:top w:w="0" w:type="dxa"/>
            <w:left w:w="108" w:type="dxa"/>
            <w:bottom w:w="0" w:type="dxa"/>
            <w:right w:w="108" w:type="dxa"/>
          </w:tblCellMar>
        </w:tblPrEx>
        <w:trPr>
          <w:trHeight w:val="1123" w:hRule="atLeast"/>
        </w:trPr>
        <w:tc>
          <w:tcPr>
            <w:tcW w:w="5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_GB2312" w:hAnsi="Times New Roman" w:eastAsia="仿宋_GB2312"/>
                <w:color w:val="000000"/>
                <w:kern w:val="0"/>
                <w:sz w:val="18"/>
                <w:szCs w:val="18"/>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一级事项</w:t>
            </w:r>
          </w:p>
        </w:tc>
        <w:tc>
          <w:tcPr>
            <w:tcW w:w="108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二级事项</w:t>
            </w:r>
          </w:p>
        </w:tc>
        <w:tc>
          <w:tcPr>
            <w:tcW w:w="27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96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216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color w:val="000000"/>
                <w:kern w:val="0"/>
                <w:sz w:val="22"/>
              </w:rPr>
            </w:pPr>
          </w:p>
        </w:tc>
        <w:tc>
          <w:tcPr>
            <w:tcW w:w="1092"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p>
        </w:tc>
        <w:tc>
          <w:tcPr>
            <w:tcW w:w="14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黑体" w:hAnsi="宋体" w:eastAsia="黑体" w:cs="宋体"/>
                <w:kern w:val="0"/>
                <w:sz w:val="22"/>
              </w:rPr>
            </w:pP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全社会</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特定群众</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主动</w:t>
            </w:r>
          </w:p>
        </w:tc>
        <w:tc>
          <w:tcPr>
            <w:tcW w:w="72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依申请公开</w:t>
            </w:r>
          </w:p>
        </w:tc>
        <w:tc>
          <w:tcPr>
            <w:tcW w:w="540"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县级</w:t>
            </w:r>
          </w:p>
        </w:tc>
        <w:tc>
          <w:tcPr>
            <w:tcW w:w="664" w:type="dxa"/>
            <w:tcBorders>
              <w:top w:val="nil"/>
              <w:left w:val="nil"/>
              <w:bottom w:val="single" w:color="auto" w:sz="4" w:space="0"/>
              <w:right w:val="single" w:color="auto" w:sz="4" w:space="0"/>
            </w:tcBorders>
            <w:noWrap w:val="0"/>
            <w:vAlign w:val="center"/>
          </w:tcPr>
          <w:p>
            <w:pPr>
              <w:widowControl/>
              <w:jc w:val="center"/>
              <w:rPr>
                <w:rFonts w:hint="eastAsia" w:ascii="黑体" w:hAnsi="宋体" w:eastAsia="黑体" w:cs="宋体"/>
                <w:color w:val="000000"/>
                <w:kern w:val="0"/>
                <w:sz w:val="22"/>
              </w:rPr>
            </w:pPr>
            <w:r>
              <w:rPr>
                <w:rFonts w:hint="eastAsia" w:ascii="黑体" w:hAnsi="宋体" w:eastAsia="黑体" w:cs="宋体"/>
                <w:color w:val="000000"/>
                <w:kern w:val="0"/>
                <w:sz w:val="22"/>
              </w:rPr>
              <w:t>乡、村级</w:t>
            </w:r>
          </w:p>
        </w:tc>
      </w:tr>
      <w:tr>
        <w:tblPrEx>
          <w:tblCellMar>
            <w:top w:w="0" w:type="dxa"/>
            <w:left w:w="108" w:type="dxa"/>
            <w:bottom w:w="0" w:type="dxa"/>
            <w:right w:w="108" w:type="dxa"/>
          </w:tblCellMar>
        </w:tblPrEx>
        <w:trPr>
          <w:trHeight w:val="908"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1</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法律法规</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与救灾有关的法律、法规</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52"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2</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部门和地方规章</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与救灾有关的部门和地方规章、规范性文件</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■政府网站   ■两微一端   ■公开查阅点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82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3</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其他政策文件</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其他可以公开的与救灾有关的政策文件，包括改革方案、发展规划、专项规划、工作计划等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97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4</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标准</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救灾领域有关的国家标准、行业标准、地方标准等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237"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5</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涉及管理相对人切身利益、需社会广泛知晓的重要改革方案等重大决策，决策前向社会公开决策草案、决策依据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■两微一端   ■公开查阅点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6</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重大政策解读及回应</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color w:val="000000"/>
                <w:sz w:val="18"/>
                <w:szCs w:val="18"/>
              </w:rPr>
            </w:pPr>
            <w:r>
              <w:rPr>
                <w:rFonts w:hint="eastAsia" w:ascii="仿宋_GB2312" w:eastAsia="仿宋_GB2312"/>
                <w:color w:val="000000"/>
                <w:sz w:val="18"/>
                <w:szCs w:val="18"/>
              </w:rPr>
              <w:t xml:space="preserve">有关重大政策的解读及回应                       </w:t>
            </w:r>
          </w:p>
          <w:p>
            <w:pPr>
              <w:rPr>
                <w:rFonts w:ascii="仿宋_GB2312" w:hAnsi="宋体" w:eastAsia="仿宋_GB2312" w:cs="宋体"/>
                <w:color w:val="000000"/>
                <w:sz w:val="18"/>
                <w:szCs w:val="18"/>
              </w:rPr>
            </w:pPr>
            <w:r>
              <w:rPr>
                <w:rFonts w:hint="eastAsia" w:ascii="仿宋_GB2312" w:eastAsia="仿宋_GB2312"/>
                <w:color w:val="000000"/>
                <w:sz w:val="18"/>
                <w:szCs w:val="18"/>
              </w:rPr>
              <w:t>相关热点问题的解读及回应</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《政府信息公开条例》、《国务院办公厅关于在政务公开工作中进一步做好政务舆情回应的通知》</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重大决策作出后及时公开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   ■纸质媒体</w:t>
            </w:r>
            <w:r>
              <w:rPr>
                <w:rFonts w:hint="eastAsia" w:ascii="仿宋_GB2312" w:eastAsia="仿宋_GB2312"/>
                <w:sz w:val="18"/>
                <w:szCs w:val="18"/>
              </w:rPr>
              <w:br w:type="textWrapping"/>
            </w:r>
            <w:r>
              <w:rPr>
                <w:rFonts w:hint="eastAsia" w:ascii="仿宋_GB2312" w:eastAsia="仿宋_GB2312"/>
                <w:sz w:val="18"/>
                <w:szCs w:val="18"/>
              </w:rPr>
              <w:t>■公开查阅点 ■政务服务中心</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7</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重要会议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以会议讨论作出重要改革方案等重大决策时，经党组研究认为有必要公开讨论决策过程的会议</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提前一周发通知邀请</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■便民服务站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宋体"/>
                <w:color w:val="000000"/>
                <w:sz w:val="18"/>
                <w:szCs w:val="18"/>
              </w:rPr>
            </w:pPr>
            <w:r>
              <w:rPr>
                <w:rFonts w:hint="eastAsia" w:ascii="仿宋_GB2312" w:eastAsia="仿宋_GB2312"/>
                <w:color w:val="000000"/>
                <w:sz w:val="18"/>
                <w:szCs w:val="18"/>
              </w:rPr>
              <w:t>8</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政策</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文件</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征集采纳社会公众意见情况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重大决策草案公布后征集到的社会公众意见情况、采纳与否情况及理由等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《政府信息公开条例》、《关于全面推进政务公开工作的意见》</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征求意见时对外公布的时限内公开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■政府网站   </w:t>
            </w:r>
          </w:p>
          <w:p>
            <w:pPr>
              <w:spacing w:line="240" w:lineRule="exact"/>
              <w:jc w:val="left"/>
              <w:rPr>
                <w:rFonts w:hint="eastAsia" w:ascii="仿宋_GB2312" w:eastAsia="仿宋_GB2312"/>
                <w:sz w:val="18"/>
                <w:szCs w:val="18"/>
              </w:rPr>
            </w:pPr>
            <w:r>
              <w:rPr>
                <w:rFonts w:hint="eastAsia" w:ascii="仿宋_GB2312" w:eastAsia="仿宋_GB2312"/>
                <w:sz w:val="18"/>
                <w:szCs w:val="18"/>
              </w:rPr>
              <w:t xml:space="preserve">■两微一端   </w:t>
            </w:r>
          </w:p>
          <w:p>
            <w:pPr>
              <w:spacing w:line="240" w:lineRule="exact"/>
              <w:jc w:val="left"/>
              <w:rPr>
                <w:rFonts w:ascii="仿宋_GB2312" w:hAnsi="宋体" w:eastAsia="仿宋_GB2312" w:cs="宋体"/>
                <w:sz w:val="18"/>
                <w:szCs w:val="18"/>
              </w:rPr>
            </w:pP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9</w:t>
            </w:r>
          </w:p>
        </w:tc>
        <w:tc>
          <w:tcPr>
            <w:tcW w:w="900" w:type="dxa"/>
            <w:vMerge w:val="restart"/>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备灾</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综合减灾示范社区分布情况（其具体位置、创建时间、创建级别等）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《政府信息公开条例》、《社会救助暂行办法》、《国家综合防灾减灾规划（2016-2020年）》</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10</w:t>
            </w:r>
          </w:p>
        </w:tc>
        <w:tc>
          <w:tcPr>
            <w:tcW w:w="900" w:type="dxa"/>
            <w:vMerge w:val="continue"/>
            <w:tcBorders>
              <w:left w:val="nil"/>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灾害信息员队伍</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县乡两级灾害信息员工作职责和办公电话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同上</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30"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11</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预警信息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气象、地震等单位发布的预警信息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eastAsia" w:ascii="仿宋_GB2312" w:eastAsia="仿宋_GB2312"/>
                <w:sz w:val="18"/>
                <w:szCs w:val="18"/>
              </w:rPr>
            </w:pPr>
            <w:r>
              <w:rPr>
                <w:rFonts w:hint="eastAsia" w:ascii="仿宋_GB2312" w:eastAsia="仿宋_GB2312"/>
                <w:sz w:val="18"/>
                <w:szCs w:val="18"/>
              </w:rPr>
              <w:t>■政府网站</w:t>
            </w:r>
          </w:p>
          <w:p>
            <w:pPr>
              <w:spacing w:line="240" w:lineRule="exact"/>
              <w:jc w:val="left"/>
              <w:rPr>
                <w:rFonts w:ascii="仿宋_GB2312" w:eastAsia="仿宋_GB2312"/>
                <w:sz w:val="18"/>
                <w:szCs w:val="18"/>
              </w:rPr>
            </w:pP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12</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灾情核定信息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本行政区域内因自然灾害造成的损失情况（受灾时间、灾害种类、受灾范围、灾害造成的损失等）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■广播电视</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13</w:t>
            </w:r>
          </w:p>
        </w:tc>
        <w:tc>
          <w:tcPr>
            <w:tcW w:w="900" w:type="dxa"/>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灾后</w:t>
            </w:r>
          </w:p>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救助审定信息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自然灾害救助（6类）的救助对象、申报材料、办理程序及时限等</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 xml:space="preserve">■公开查阅点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11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14</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灾害</w:t>
            </w:r>
          </w:p>
          <w:p>
            <w:pPr>
              <w:jc w:val="center"/>
              <w:rPr>
                <w:rFonts w:ascii="仿宋_GB2312" w:hAnsi="宋体" w:eastAsia="仿宋_GB2312" w:cs="宋体"/>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应急管理部门审批</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救助款物通知及划拨情况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2403"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15</w:t>
            </w:r>
          </w:p>
        </w:tc>
        <w:tc>
          <w:tcPr>
            <w:tcW w:w="900" w:type="dxa"/>
            <w:vMerge w:val="continue"/>
            <w:tcBorders>
              <w:left w:val="nil"/>
              <w:bottom w:val="single" w:color="auto" w:sz="4" w:space="0"/>
              <w:right w:val="single" w:color="auto" w:sz="4" w:space="0"/>
            </w:tcBorders>
            <w:noWrap w:val="0"/>
            <w:vAlign w:val="center"/>
          </w:tcPr>
          <w:p>
            <w:pPr>
              <w:jc w:val="center"/>
              <w:rPr>
                <w:rFonts w:ascii="仿宋_GB2312" w:hAnsi="宋体" w:eastAsia="仿宋_GB2312" w:cs="宋体"/>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因灾过渡期生活救助标准、过渡期生活救助对象评议结果公示（灾民姓名、受灾情况、拟救助金额、监督举报电话）                                         过渡期生活救助对象确定（灾民姓名、受灾情况、救助金额、监督举报电话)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16</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灾后</w:t>
            </w:r>
          </w:p>
          <w:p>
            <w:pPr>
              <w:jc w:val="center"/>
              <w:rPr>
                <w:rFonts w:hint="eastAsia" w:ascii="仿宋_GB2312" w:hAnsi="宋体" w:eastAsia="仿宋_GB2312" w:cs="宋体"/>
                <w:color w:val="000000"/>
                <w:sz w:val="18"/>
                <w:szCs w:val="18"/>
              </w:rPr>
            </w:pPr>
            <w:r>
              <w:rPr>
                <w:rFonts w:hint="eastAsia" w:ascii="仿宋_GB2312" w:eastAsia="仿宋_GB2312"/>
                <w:sz w:val="18"/>
                <w:szCs w:val="18"/>
              </w:rPr>
              <w:t>救助</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居民住房恢复重建救助</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_GB2312" w:eastAsia="仿宋_GB2312"/>
                <w:sz w:val="18"/>
                <w:szCs w:val="18"/>
              </w:rPr>
            </w:pPr>
            <w:r>
              <w:rPr>
                <w:rFonts w:hint="eastAsia" w:ascii="仿宋_GB2312" w:eastAsia="仿宋_GB2312"/>
                <w:sz w:val="18"/>
                <w:szCs w:val="18"/>
              </w:rPr>
              <w:t xml:space="preserve">居民住房恢复重建救助标准（居民因灾倒房、损房恢复重建具体救助标准）                            </w:t>
            </w:r>
          </w:p>
          <w:p>
            <w:pPr>
              <w:rPr>
                <w:rFonts w:ascii="仿宋_GB2312" w:hAnsi="宋体" w:eastAsia="仿宋_GB2312" w:cs="宋体"/>
                <w:sz w:val="18"/>
                <w:szCs w:val="18"/>
              </w:rPr>
            </w:pPr>
            <w:r>
              <w:rPr>
                <w:rFonts w:hint="eastAsia" w:ascii="仿宋_GB2312" w:eastAsia="仿宋_GB2312"/>
                <w:sz w:val="18"/>
                <w:szCs w:val="18"/>
              </w:rPr>
              <w:t>居民住房恢复重建救助对象评议结果公示（公开灾民姓名、受灾情况、拟救助标准、监督举报电话）</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《政府信息公开条例》、《自然灾害救助条例》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信息形成或变更之日起20个工作日内</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17</w:t>
            </w:r>
          </w:p>
        </w:tc>
        <w:tc>
          <w:tcPr>
            <w:tcW w:w="900" w:type="dxa"/>
            <w:vMerge w:val="restart"/>
            <w:tcBorders>
              <w:left w:val="nil"/>
              <w:right w:val="single" w:color="auto" w:sz="4" w:space="0"/>
            </w:tcBorders>
            <w:noWrap w:val="0"/>
            <w:vAlign w:val="center"/>
          </w:tcPr>
          <w:p>
            <w:pPr>
              <w:jc w:val="center"/>
              <w:rPr>
                <w:rFonts w:hint="eastAsia" w:ascii="仿宋_GB2312" w:eastAsia="仿宋_GB2312"/>
                <w:sz w:val="18"/>
                <w:szCs w:val="18"/>
              </w:rPr>
            </w:pPr>
            <w:r>
              <w:rPr>
                <w:rFonts w:hint="eastAsia" w:ascii="仿宋_GB2312" w:eastAsia="仿宋_GB2312"/>
                <w:sz w:val="18"/>
                <w:szCs w:val="18"/>
              </w:rPr>
              <w:t>款物</w:t>
            </w:r>
          </w:p>
          <w:p>
            <w:pPr>
              <w:jc w:val="center"/>
              <w:rPr>
                <w:rFonts w:hint="eastAsia" w:ascii="仿宋_GB2312" w:hAnsi="宋体" w:eastAsia="仿宋_GB2312" w:cs="宋体"/>
                <w:sz w:val="18"/>
                <w:szCs w:val="18"/>
              </w:rPr>
            </w:pPr>
            <w:r>
              <w:rPr>
                <w:rFonts w:hint="eastAsia" w:ascii="仿宋_GB2312" w:eastAsia="仿宋_GB2312"/>
                <w:sz w:val="18"/>
                <w:szCs w:val="18"/>
              </w:rPr>
              <w:t>管理</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捐赠款物信息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年度捐赠款物信息以及款物使用情况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color w:val="000000"/>
                <w:sz w:val="18"/>
                <w:szCs w:val="18"/>
              </w:rPr>
            </w:pPr>
            <w:r>
              <w:rPr>
                <w:rFonts w:hint="eastAsia" w:ascii="仿宋_GB2312" w:eastAsia="仿宋_GB2312"/>
                <w:color w:val="000000"/>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18</w:t>
            </w:r>
          </w:p>
        </w:tc>
        <w:tc>
          <w:tcPr>
            <w:tcW w:w="900" w:type="dxa"/>
            <w:vMerge w:val="continue"/>
            <w:tcBorders>
              <w:left w:val="nil"/>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年度款物使用情况</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年度救灾资金和救灾物资等使用情况</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r>
        <w:tblPrEx>
          <w:tblCellMar>
            <w:top w:w="0" w:type="dxa"/>
            <w:left w:w="108" w:type="dxa"/>
            <w:bottom w:w="0" w:type="dxa"/>
            <w:right w:w="108" w:type="dxa"/>
          </w:tblCellMar>
        </w:tblPrEx>
        <w:trPr>
          <w:trHeight w:val="1086" w:hRule="atLeast"/>
        </w:trPr>
        <w:tc>
          <w:tcPr>
            <w:tcW w:w="54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宋体" w:eastAsia="仿宋_GB2312" w:cs="宋体"/>
                <w:color w:val="000000"/>
                <w:sz w:val="18"/>
                <w:szCs w:val="18"/>
              </w:rPr>
            </w:pPr>
            <w:r>
              <w:rPr>
                <w:rFonts w:hint="eastAsia" w:ascii="仿宋_GB2312" w:hAnsi="宋体" w:eastAsia="仿宋_GB2312" w:cs="宋体"/>
                <w:color w:val="000000"/>
                <w:sz w:val="18"/>
                <w:szCs w:val="18"/>
              </w:rPr>
              <w:t>19</w:t>
            </w:r>
          </w:p>
        </w:tc>
        <w:tc>
          <w:tcPr>
            <w:tcW w:w="900" w:type="dxa"/>
            <w:tcBorders>
              <w:left w:val="nil"/>
              <w:bottom w:val="single" w:color="auto" w:sz="4" w:space="0"/>
              <w:right w:val="single" w:color="auto" w:sz="4" w:space="0"/>
            </w:tcBorders>
            <w:noWrap w:val="0"/>
            <w:vAlign w:val="center"/>
          </w:tcPr>
          <w:p>
            <w:pPr>
              <w:jc w:val="center"/>
              <w:rPr>
                <w:rFonts w:hint="eastAsia" w:ascii="仿宋_GB2312" w:eastAsia="仿宋_GB2312"/>
                <w:color w:val="000000"/>
                <w:sz w:val="18"/>
                <w:szCs w:val="18"/>
              </w:rPr>
            </w:pPr>
            <w:r>
              <w:rPr>
                <w:rFonts w:hint="eastAsia" w:ascii="仿宋_GB2312" w:eastAsia="仿宋_GB2312"/>
                <w:color w:val="000000"/>
                <w:sz w:val="18"/>
                <w:szCs w:val="18"/>
              </w:rPr>
              <w:t>工作</w:t>
            </w:r>
          </w:p>
          <w:p>
            <w:pPr>
              <w:jc w:val="center"/>
              <w:rPr>
                <w:rFonts w:hint="eastAsia" w:ascii="仿宋_GB2312" w:hAnsi="宋体" w:eastAsia="仿宋_GB2312" w:cs="宋体"/>
                <w:color w:val="000000"/>
                <w:sz w:val="18"/>
                <w:szCs w:val="18"/>
              </w:rPr>
            </w:pPr>
            <w:r>
              <w:rPr>
                <w:rFonts w:hint="eastAsia" w:ascii="仿宋_GB2312" w:eastAsia="仿宋_GB2312"/>
                <w:color w:val="000000"/>
                <w:sz w:val="18"/>
                <w:szCs w:val="18"/>
              </w:rPr>
              <w:t>动态</w:t>
            </w:r>
          </w:p>
        </w:tc>
        <w:tc>
          <w:tcPr>
            <w:tcW w:w="108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工作信息</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防灾减灾救灾其他相关动态信息</w:t>
            </w:r>
          </w:p>
        </w:tc>
        <w:tc>
          <w:tcPr>
            <w:tcW w:w="1968"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《政府信息公开条例》</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按进展情况及时公开</w:t>
            </w:r>
          </w:p>
        </w:tc>
        <w:tc>
          <w:tcPr>
            <w:tcW w:w="1092" w:type="dxa"/>
            <w:tcBorders>
              <w:top w:val="single" w:color="auto" w:sz="4" w:space="0"/>
              <w:left w:val="single" w:color="auto" w:sz="4" w:space="0"/>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应急管理部门</w:t>
            </w:r>
          </w:p>
        </w:tc>
        <w:tc>
          <w:tcPr>
            <w:tcW w:w="14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hint="eastAsia" w:ascii="仿宋_GB2312" w:eastAsia="仿宋_GB2312"/>
                <w:sz w:val="18"/>
                <w:szCs w:val="18"/>
              </w:rPr>
            </w:pPr>
            <w:r>
              <w:rPr>
                <w:rFonts w:hint="eastAsia" w:ascii="仿宋_GB2312" w:eastAsia="仿宋_GB2312"/>
                <w:sz w:val="18"/>
                <w:szCs w:val="18"/>
              </w:rPr>
              <w:t xml:space="preserve">■政府网站   </w:t>
            </w:r>
            <w:r>
              <w:rPr>
                <w:rFonts w:hint="eastAsia" w:ascii="仿宋_GB2312" w:eastAsia="仿宋_GB2312"/>
                <w:sz w:val="18"/>
                <w:szCs w:val="18"/>
              </w:rPr>
              <w:br w:type="textWrapping"/>
            </w:r>
            <w:r>
              <w:rPr>
                <w:rFonts w:hint="eastAsia" w:ascii="仿宋_GB2312" w:eastAsia="仿宋_GB2312"/>
                <w:sz w:val="18"/>
                <w:szCs w:val="18"/>
              </w:rPr>
              <w:t xml:space="preserve">■两微一端   </w:t>
            </w:r>
            <w:r>
              <w:rPr>
                <w:rFonts w:hint="eastAsia" w:ascii="仿宋_GB2312" w:eastAsia="仿宋_GB2312"/>
                <w:sz w:val="18"/>
                <w:szCs w:val="18"/>
              </w:rPr>
              <w:br w:type="textWrapping"/>
            </w:r>
            <w:r>
              <w:rPr>
                <w:rFonts w:hint="eastAsia" w:ascii="仿宋_GB2312" w:eastAsia="仿宋_GB2312"/>
                <w:sz w:val="18"/>
                <w:szCs w:val="18"/>
              </w:rPr>
              <w:t xml:space="preserve">■广播电视   </w:t>
            </w:r>
          </w:p>
          <w:p>
            <w:pPr>
              <w:spacing w:line="240" w:lineRule="exact"/>
              <w:rPr>
                <w:rFonts w:ascii="仿宋_GB2312" w:eastAsia="仿宋_GB2312"/>
                <w:sz w:val="18"/>
                <w:szCs w:val="18"/>
              </w:rPr>
            </w:pPr>
            <w:r>
              <w:rPr>
                <w:rFonts w:hint="eastAsia" w:ascii="仿宋_GB2312" w:eastAsia="仿宋_GB2312"/>
                <w:sz w:val="18"/>
                <w:szCs w:val="18"/>
              </w:rPr>
              <w:t>■纸质媒体</w:t>
            </w:r>
            <w:r>
              <w:rPr>
                <w:rFonts w:hint="eastAsia" w:ascii="仿宋_GB2312" w:eastAsia="仿宋_GB2312"/>
                <w:sz w:val="18"/>
                <w:szCs w:val="18"/>
              </w:rPr>
              <w:br w:type="textWrapping"/>
            </w:r>
            <w:r>
              <w:rPr>
                <w:rFonts w:hint="eastAsia" w:ascii="仿宋_GB2312" w:eastAsia="仿宋_GB2312"/>
                <w:sz w:val="18"/>
                <w:szCs w:val="18"/>
              </w:rPr>
              <w:t>■公开查阅点</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72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　</w:t>
            </w:r>
          </w:p>
        </w:tc>
        <w:tc>
          <w:tcPr>
            <w:tcW w:w="540"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c>
          <w:tcPr>
            <w:tcW w:w="664" w:type="dxa"/>
            <w:tcBorders>
              <w:top w:val="single" w:color="auto" w:sz="4" w:space="0"/>
              <w:left w:val="nil"/>
              <w:bottom w:val="single" w:color="auto" w:sz="4" w:space="0"/>
              <w:right w:val="single" w:color="auto" w:sz="4" w:space="0"/>
            </w:tcBorders>
            <w:noWrap w:val="0"/>
            <w:vAlign w:val="center"/>
          </w:tcPr>
          <w:p>
            <w:pPr>
              <w:rPr>
                <w:rFonts w:ascii="仿宋_GB2312" w:hAnsi="宋体" w:eastAsia="仿宋_GB2312" w:cs="宋体"/>
                <w:sz w:val="18"/>
                <w:szCs w:val="18"/>
              </w:rPr>
            </w:pPr>
            <w:r>
              <w:rPr>
                <w:rFonts w:hint="eastAsia" w:ascii="仿宋_GB2312" w:eastAsia="仿宋_GB2312"/>
                <w:sz w:val="18"/>
                <w:szCs w:val="18"/>
              </w:rPr>
              <w:t>√</w:t>
            </w:r>
          </w:p>
        </w:tc>
      </w:tr>
    </w:tbl>
    <w:p>
      <w:pPr>
        <w:jc w:val="center"/>
        <w:rPr>
          <w:rFonts w:hint="eastAsia" w:ascii="Times New Roman" w:hAnsi="Times New Roman" w:eastAsia="方正小标宋_GBK"/>
          <w:sz w:val="28"/>
          <w:szCs w:val="28"/>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D64F5A"/>
    <w:rsid w:val="6DD64F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2020-09-22T02:24:00Z</dcterms:created>
  <dc:creator>xf</dc:creator>
  <cp:lastModifiedBy>xf</cp:lastModifiedBy>
  <dcterms:modified xsi:type="dcterms:W3CDTF">2020-09-22T02:58:50Z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