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方正小标宋_GBK"/>
          <w:sz w:val="28"/>
          <w:szCs w:val="28"/>
        </w:rPr>
      </w:pPr>
    </w:p>
    <w:p>
      <w:pPr>
        <w:spacing w:line="1520" w:lineRule="exact"/>
        <w:rPr>
          <w:rFonts w:ascii="华文中宋" w:hAnsi="华文中宋" w:eastAsia="华文中宋"/>
          <w:spacing w:val="20"/>
          <w:sz w:val="52"/>
          <w:szCs w:val="52"/>
        </w:rPr>
      </w:pPr>
    </w:p>
    <w:p>
      <w:pPr>
        <w:spacing w:line="1520" w:lineRule="exact"/>
        <w:jc w:val="center"/>
        <w:rPr>
          <w:rFonts w:hint="eastAsia" w:ascii="华文中宋" w:hAnsi="华文中宋" w:eastAsia="华文中宋"/>
          <w:spacing w:val="20"/>
          <w:sz w:val="72"/>
          <w:szCs w:val="72"/>
        </w:rPr>
      </w:pPr>
    </w:p>
    <w:p>
      <w:pPr>
        <w:spacing w:line="1520" w:lineRule="exact"/>
        <w:jc w:val="center"/>
        <w:rPr>
          <w:rFonts w:ascii="华文中宋" w:hAnsi="华文中宋" w:eastAsia="华文中宋"/>
          <w:spacing w:val="20"/>
          <w:sz w:val="72"/>
          <w:szCs w:val="72"/>
        </w:rPr>
      </w:pPr>
      <w:r>
        <w:rPr>
          <w:rFonts w:hint="eastAsia" w:ascii="华文中宋" w:hAnsi="华文中宋" w:eastAsia="华文中宋"/>
          <w:spacing w:val="20"/>
          <w:sz w:val="72"/>
          <w:szCs w:val="72"/>
        </w:rPr>
        <w:t>鱼峰区应急管理局政务公开标准目录</w:t>
      </w:r>
    </w:p>
    <w:p>
      <w:pPr>
        <w:spacing w:line="1520" w:lineRule="exact"/>
        <w:rPr>
          <w:rFonts w:ascii="华文中宋" w:hAnsi="华文中宋" w:eastAsia="华文中宋"/>
          <w:spacing w:val="20"/>
          <w:sz w:val="52"/>
          <w:szCs w:val="52"/>
        </w:rPr>
      </w:pPr>
    </w:p>
    <w:p>
      <w:pPr>
        <w:jc w:val="center"/>
        <w:rPr>
          <w:rFonts w:ascii="Times New Roman" w:hAnsi="Times New Roman" w:eastAsia="方正小标宋_GBK"/>
          <w:sz w:val="28"/>
          <w:szCs w:val="28"/>
        </w:rPr>
      </w:pPr>
    </w:p>
    <w:p>
      <w:pPr>
        <w:jc w:val="center"/>
        <w:rPr>
          <w:rFonts w:ascii="Times New Roman" w:hAnsi="Times New Roman" w:eastAsia="方正小标宋_GBK"/>
          <w:sz w:val="28"/>
          <w:szCs w:val="28"/>
        </w:rPr>
      </w:pPr>
    </w:p>
    <w:p>
      <w:pPr>
        <w:rPr>
          <w:rFonts w:ascii="Times New Roman" w:hAnsi="Times New Roman" w:eastAsia="方正小标宋_GBK"/>
          <w:sz w:val="48"/>
          <w:szCs w:val="48"/>
        </w:rPr>
      </w:pPr>
    </w:p>
    <w:p>
      <w:pPr>
        <w:spacing w:line="700" w:lineRule="exact"/>
        <w:rPr>
          <w:rStyle w:val="13"/>
          <w:rFonts w:ascii="黑体" w:hAnsi="方正小标宋_GBK" w:eastAsia="黑体"/>
          <w:sz w:val="30"/>
          <w:szCs w:val="30"/>
        </w:rPr>
        <w:sectPr>
          <w:headerReference r:id="rId3" w:type="default"/>
          <w:pgSz w:w="16838" w:h="11906" w:orient="landscape"/>
          <w:pgMar w:top="737" w:right="873" w:bottom="851" w:left="873" w:header="851" w:footer="992" w:gutter="0"/>
          <w:cols w:space="720" w:num="1"/>
          <w:titlePg/>
          <w:docGrid w:type="lines" w:linePitch="312" w:charSpace="0"/>
        </w:sectPr>
      </w:pPr>
    </w:p>
    <w:p>
      <w:pPr>
        <w:pStyle w:val="2"/>
        <w:rPr>
          <w:rFonts w:ascii="方正小标宋_GBK" w:hAnsi="方正小标宋_GBK" w:eastAsia="方正小标宋_GBK"/>
          <w:b w:val="0"/>
          <w:bCs w:val="0"/>
          <w:sz w:val="30"/>
        </w:rPr>
      </w:pPr>
      <w:bookmarkStart w:id="0" w:name="_Toc24724725"/>
      <w:r>
        <w:rPr>
          <w:rFonts w:hint="eastAsia" w:ascii="方正小标宋_GBK" w:hAnsi="方正小标宋_GBK" w:eastAsia="方正小标宋_GBK"/>
          <w:b w:val="0"/>
          <w:bCs w:val="0"/>
          <w:sz w:val="30"/>
        </w:rPr>
        <w:t>（二十二）安全生产领域基层政务公开标准目录</w:t>
      </w:r>
      <w:bookmarkEnd w:id="0"/>
    </w:p>
    <w:tbl>
      <w:tblPr>
        <w:tblStyle w:val="9"/>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2520"/>
        <w:gridCol w:w="2520"/>
        <w:gridCol w:w="1800"/>
        <w:gridCol w:w="900"/>
        <w:gridCol w:w="1496"/>
        <w:gridCol w:w="664"/>
        <w:gridCol w:w="720"/>
        <w:gridCol w:w="720"/>
        <w:gridCol w:w="720"/>
        <w:gridCol w:w="54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0" w:type="dxa"/>
            <w:vMerge w:val="restart"/>
            <w:shd w:val="clear" w:color="auto" w:fill="auto"/>
            <w:vAlign w:val="center"/>
          </w:tcPr>
          <w:p>
            <w:pPr>
              <w:widowControl/>
              <w:jc w:val="center"/>
              <w:rPr>
                <w:rFonts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98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52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0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384"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08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40" w:type="dxa"/>
            <w:vMerge w:val="continue"/>
            <w:vAlign w:val="center"/>
          </w:tcPr>
          <w:p>
            <w:pPr>
              <w:widowControl/>
              <w:jc w:val="center"/>
              <w:rPr>
                <w:rFonts w:ascii="仿宋_GB2312" w:hAnsi="Times New Roman" w:eastAsia="仿宋_GB2312"/>
                <w:color w:val="000000"/>
                <w:kern w:val="0"/>
                <w:sz w:val="18"/>
                <w:szCs w:val="18"/>
              </w:rPr>
            </w:pPr>
          </w:p>
        </w:tc>
        <w:tc>
          <w:tcPr>
            <w:tcW w:w="90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520" w:type="dxa"/>
            <w:vMerge w:val="continue"/>
            <w:vAlign w:val="center"/>
          </w:tcPr>
          <w:p>
            <w:pPr>
              <w:widowControl/>
              <w:jc w:val="left"/>
              <w:rPr>
                <w:rFonts w:ascii="黑体" w:hAnsi="宋体" w:eastAsia="黑体" w:cs="宋体"/>
                <w:color w:val="000000"/>
                <w:kern w:val="0"/>
                <w:sz w:val="22"/>
              </w:rPr>
            </w:pPr>
          </w:p>
        </w:tc>
        <w:tc>
          <w:tcPr>
            <w:tcW w:w="2520" w:type="dxa"/>
            <w:vMerge w:val="continue"/>
            <w:vAlign w:val="center"/>
          </w:tcPr>
          <w:p>
            <w:pPr>
              <w:widowControl/>
              <w:jc w:val="left"/>
              <w:rPr>
                <w:rFonts w:ascii="黑体" w:hAnsi="宋体" w:eastAsia="黑体" w:cs="宋体"/>
                <w:color w:val="000000"/>
                <w:kern w:val="0"/>
                <w:sz w:val="22"/>
              </w:rPr>
            </w:pPr>
          </w:p>
        </w:tc>
        <w:tc>
          <w:tcPr>
            <w:tcW w:w="1800" w:type="dxa"/>
            <w:vMerge w:val="continue"/>
            <w:vAlign w:val="center"/>
          </w:tcPr>
          <w:p>
            <w:pPr>
              <w:widowControl/>
              <w:jc w:val="left"/>
              <w:rPr>
                <w:rFonts w:ascii="黑体" w:hAnsi="宋体" w:eastAsia="黑体" w:cs="宋体"/>
                <w:color w:val="000000"/>
                <w:kern w:val="0"/>
                <w:sz w:val="22"/>
              </w:rPr>
            </w:pPr>
          </w:p>
        </w:tc>
        <w:tc>
          <w:tcPr>
            <w:tcW w:w="900" w:type="dxa"/>
            <w:vMerge w:val="continue"/>
            <w:vAlign w:val="center"/>
          </w:tcPr>
          <w:p>
            <w:pPr>
              <w:widowControl/>
              <w:jc w:val="center"/>
              <w:rPr>
                <w:rFonts w:ascii="黑体" w:hAnsi="宋体" w:eastAsia="黑体" w:cs="宋体"/>
                <w:color w:val="000000"/>
                <w:kern w:val="0"/>
                <w:sz w:val="22"/>
              </w:rPr>
            </w:pPr>
          </w:p>
        </w:tc>
        <w:tc>
          <w:tcPr>
            <w:tcW w:w="1496" w:type="dxa"/>
            <w:vMerge w:val="continue"/>
            <w:vAlign w:val="center"/>
          </w:tcPr>
          <w:p>
            <w:pPr>
              <w:widowControl/>
              <w:jc w:val="left"/>
              <w:rPr>
                <w:rFonts w:ascii="黑体" w:hAnsi="宋体" w:eastAsia="黑体" w:cs="宋体"/>
                <w:kern w:val="0"/>
                <w:sz w:val="22"/>
              </w:rPr>
            </w:pPr>
          </w:p>
        </w:tc>
        <w:tc>
          <w:tcPr>
            <w:tcW w:w="664"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54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w:t>
            </w:r>
          </w:p>
        </w:tc>
        <w:tc>
          <w:tcPr>
            <w:tcW w:w="900" w:type="dxa"/>
            <w:vMerge w:val="restart"/>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法律法规</w:t>
            </w:r>
          </w:p>
        </w:tc>
        <w:tc>
          <w:tcPr>
            <w:tcW w:w="25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与安全生产有关的法律、法规</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鱼峰区应急管理局</w:t>
            </w:r>
          </w:p>
        </w:tc>
        <w:tc>
          <w:tcPr>
            <w:tcW w:w="1496" w:type="dxa"/>
            <w:vMerge w:val="restart"/>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w:t>
            </w:r>
          </w:p>
        </w:tc>
        <w:tc>
          <w:tcPr>
            <w:tcW w:w="900" w:type="dxa"/>
            <w:vMerge w:val="continue"/>
            <w:shd w:val="clear" w:color="auto" w:fill="auto"/>
            <w:vAlign w:val="center"/>
          </w:tcPr>
          <w:p>
            <w:pPr>
              <w:rPr>
                <w:rFonts w:ascii="仿宋_GB2312" w:hAnsi="宋体" w:eastAsia="仿宋_GB2312" w:cs="宋体"/>
                <w:color w:val="000000"/>
                <w:sz w:val="18"/>
                <w:szCs w:val="18"/>
              </w:rPr>
            </w:pPr>
          </w:p>
        </w:tc>
        <w:tc>
          <w:tcPr>
            <w:tcW w:w="108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部门和地方规章</w:t>
            </w:r>
          </w:p>
        </w:tc>
        <w:tc>
          <w:tcPr>
            <w:tcW w:w="25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与安全生产有关的部门和地方规章</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tcPr>
          <w:p>
            <w:r>
              <w:rPr>
                <w:rFonts w:hint="eastAsia" w:ascii="仿宋_GB2312" w:eastAsia="仿宋_GB2312"/>
                <w:bCs/>
                <w:sz w:val="18"/>
                <w:szCs w:val="18"/>
              </w:rPr>
              <w:t>鱼峰区应急管理局</w:t>
            </w:r>
          </w:p>
        </w:tc>
        <w:tc>
          <w:tcPr>
            <w:tcW w:w="1496" w:type="dxa"/>
            <w:vMerge w:val="continue"/>
            <w:shd w:val="clear" w:color="auto" w:fill="auto"/>
            <w:vAlign w:val="center"/>
          </w:tcPr>
          <w:p>
            <w:pPr>
              <w:spacing w:line="240" w:lineRule="exact"/>
              <w:jc w:val="left"/>
              <w:rPr>
                <w:rFonts w:ascii="仿宋_GB2312" w:eastAsia="仿宋_GB2312"/>
                <w:sz w:val="18"/>
                <w:szCs w:val="18"/>
              </w:rPr>
            </w:pP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3</w:t>
            </w:r>
          </w:p>
        </w:tc>
        <w:tc>
          <w:tcPr>
            <w:tcW w:w="900" w:type="dxa"/>
            <w:vMerge w:val="continue"/>
            <w:shd w:val="clear" w:color="auto" w:fill="auto"/>
            <w:vAlign w:val="center"/>
          </w:tcPr>
          <w:p>
            <w:pPr>
              <w:rPr>
                <w:rFonts w:ascii="仿宋_GB2312" w:hAnsi="宋体" w:eastAsia="仿宋_GB2312" w:cs="宋体"/>
                <w:color w:val="000000"/>
                <w:sz w:val="18"/>
                <w:szCs w:val="18"/>
              </w:rPr>
            </w:pPr>
          </w:p>
        </w:tc>
        <w:tc>
          <w:tcPr>
            <w:tcW w:w="108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其他政策文件</w:t>
            </w:r>
          </w:p>
        </w:tc>
        <w:tc>
          <w:tcPr>
            <w:tcW w:w="25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其他可以公开的与安全生产有关的政策文件，包括改革方案、发展规划、专项规划、工作计划等</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tcPr>
          <w:p>
            <w:r>
              <w:rPr>
                <w:rFonts w:hint="eastAsia" w:ascii="仿宋_GB2312" w:eastAsia="仿宋_GB2312"/>
                <w:bCs/>
                <w:sz w:val="18"/>
                <w:szCs w:val="18"/>
              </w:rPr>
              <w:t>鱼峰区应急管理局</w:t>
            </w:r>
          </w:p>
        </w:tc>
        <w:tc>
          <w:tcPr>
            <w:tcW w:w="1496" w:type="dxa"/>
            <w:vMerge w:val="continue"/>
            <w:shd w:val="clear" w:color="auto" w:fill="auto"/>
            <w:vAlign w:val="center"/>
          </w:tcPr>
          <w:p>
            <w:pPr>
              <w:spacing w:line="240" w:lineRule="exact"/>
              <w:jc w:val="left"/>
              <w:rPr>
                <w:rFonts w:ascii="仿宋_GB2312" w:eastAsia="仿宋_GB2312"/>
                <w:sz w:val="18"/>
                <w:szCs w:val="18"/>
              </w:rPr>
            </w:pP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4</w:t>
            </w:r>
          </w:p>
        </w:tc>
        <w:tc>
          <w:tcPr>
            <w:tcW w:w="900" w:type="dxa"/>
            <w:vMerge w:val="continue"/>
            <w:shd w:val="clear" w:color="auto" w:fill="auto"/>
            <w:vAlign w:val="center"/>
          </w:tcPr>
          <w:p>
            <w:pPr>
              <w:rPr>
                <w:rFonts w:ascii="仿宋_GB2312" w:hAnsi="宋体" w:eastAsia="仿宋_GB2312" w:cs="宋体"/>
                <w:color w:val="000000"/>
                <w:sz w:val="18"/>
                <w:szCs w:val="18"/>
              </w:rPr>
            </w:pPr>
          </w:p>
        </w:tc>
        <w:tc>
          <w:tcPr>
            <w:tcW w:w="108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标准</w:t>
            </w:r>
          </w:p>
        </w:tc>
        <w:tc>
          <w:tcPr>
            <w:tcW w:w="25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安全生产领域有关的国家标准、行业标准、地方标准等</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tcPr>
          <w:p>
            <w:r>
              <w:rPr>
                <w:rFonts w:hint="eastAsia" w:ascii="仿宋_GB2312" w:eastAsia="仿宋_GB2312"/>
                <w:bCs/>
                <w:sz w:val="18"/>
                <w:szCs w:val="18"/>
              </w:rPr>
              <w:t>鱼峰区应急管理局</w:t>
            </w:r>
          </w:p>
        </w:tc>
        <w:tc>
          <w:tcPr>
            <w:tcW w:w="1496" w:type="dxa"/>
            <w:vMerge w:val="continue"/>
            <w:shd w:val="clear" w:color="auto" w:fill="auto"/>
            <w:vAlign w:val="center"/>
          </w:tcPr>
          <w:p>
            <w:pPr>
              <w:spacing w:line="240" w:lineRule="exact"/>
              <w:jc w:val="left"/>
              <w:rPr>
                <w:rFonts w:ascii="仿宋_GB2312" w:eastAsia="仿宋_GB2312"/>
                <w:sz w:val="18"/>
                <w:szCs w:val="18"/>
              </w:rPr>
            </w:pP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5</w:t>
            </w:r>
          </w:p>
        </w:tc>
        <w:tc>
          <w:tcPr>
            <w:tcW w:w="900" w:type="dxa"/>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依法</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tc>
        <w:tc>
          <w:tcPr>
            <w:tcW w:w="108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行政许可</w:t>
            </w:r>
          </w:p>
        </w:tc>
        <w:tc>
          <w:tcPr>
            <w:tcW w:w="25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办理行政许可和其他对外管理服务事项的依据、条件、程序</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《政府信息公开条例》、《关于推进安全生产领域改革发展的意见》</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tcPr>
          <w:p>
            <w:r>
              <w:rPr>
                <w:rFonts w:hint="eastAsia" w:ascii="仿宋_GB2312" w:eastAsia="仿宋_GB2312"/>
                <w:bCs/>
                <w:sz w:val="18"/>
                <w:szCs w:val="18"/>
              </w:rPr>
              <w:t>鱼峰区应急管理局</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■政务服务中心</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6</w:t>
            </w:r>
          </w:p>
        </w:tc>
        <w:tc>
          <w:tcPr>
            <w:tcW w:w="900" w:type="dxa"/>
            <w:vMerge w:val="restart"/>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依法</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tc>
        <w:tc>
          <w:tcPr>
            <w:tcW w:w="108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行政处罚</w:t>
            </w:r>
          </w:p>
        </w:tc>
        <w:tc>
          <w:tcPr>
            <w:tcW w:w="25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办理行政处罚的依据、条件、程序以及本级行政机关认为具有一定社会影响的行政处罚决定</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《政府信息公开条例》、《关于推进安全生产领域改革发展的意见》</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tcPr>
          <w:p>
            <w:r>
              <w:rPr>
                <w:rFonts w:hint="eastAsia" w:ascii="仿宋_GB2312" w:eastAsia="仿宋_GB2312"/>
                <w:bCs/>
                <w:sz w:val="18"/>
                <w:szCs w:val="18"/>
              </w:rPr>
              <w:t>鱼峰区应急管理局</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7</w:t>
            </w:r>
          </w:p>
        </w:tc>
        <w:tc>
          <w:tcPr>
            <w:tcW w:w="900" w:type="dxa"/>
            <w:vMerge w:val="continue"/>
            <w:shd w:val="clear" w:color="auto" w:fill="auto"/>
            <w:vAlign w:val="center"/>
          </w:tcPr>
          <w:p>
            <w:pPr>
              <w:rPr>
                <w:rFonts w:ascii="仿宋_GB2312" w:hAnsi="宋体" w:eastAsia="仿宋_GB2312" w:cs="宋体"/>
                <w:color w:val="000000"/>
                <w:sz w:val="18"/>
                <w:szCs w:val="18"/>
              </w:rPr>
            </w:pPr>
          </w:p>
        </w:tc>
        <w:tc>
          <w:tcPr>
            <w:tcW w:w="108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行政强制</w:t>
            </w:r>
          </w:p>
        </w:tc>
        <w:tc>
          <w:tcPr>
            <w:tcW w:w="25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办理行政强制的依据、条件、程序</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《政府信息公开条例》、《突发事件应对法》、《突发事件应急预案管理办法》、《中共中央 国务院关于推进安全生产领域改革发展的意见》</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tcPr>
          <w:p>
            <w:r>
              <w:rPr>
                <w:rFonts w:hint="eastAsia" w:ascii="仿宋_GB2312" w:eastAsia="仿宋_GB2312"/>
                <w:bCs/>
                <w:sz w:val="18"/>
                <w:szCs w:val="18"/>
              </w:rPr>
              <w:t>鱼峰区应急管理局</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8</w:t>
            </w:r>
          </w:p>
        </w:tc>
        <w:tc>
          <w:tcPr>
            <w:tcW w:w="900" w:type="dxa"/>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隐患管理</w:t>
            </w:r>
          </w:p>
        </w:tc>
        <w:tc>
          <w:tcPr>
            <w:tcW w:w="25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重大隐患排查、挂牌督办及其整改情况，安全生产举报电话等</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《安全生产法》、《政府信息公开条例》、《中共中央 国务院关于推进安全生产领域改革发展的意见》</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tcPr>
          <w:p>
            <w:r>
              <w:rPr>
                <w:rFonts w:hint="eastAsia" w:ascii="仿宋_GB2312" w:eastAsia="仿宋_GB2312"/>
                <w:bCs/>
                <w:sz w:val="18"/>
                <w:szCs w:val="18"/>
              </w:rPr>
              <w:t>鱼峰区应急管理局</w:t>
            </w:r>
          </w:p>
        </w:tc>
        <w:tc>
          <w:tcPr>
            <w:tcW w:w="1496" w:type="dxa"/>
            <w:shd w:val="clear" w:color="auto" w:fill="auto"/>
          </w:tcPr>
          <w:p>
            <w:pPr>
              <w:rPr>
                <w:rFonts w:ascii="仿宋_GB2312" w:eastAsia="仿宋_GB2312"/>
                <w:sz w:val="18"/>
                <w:szCs w:val="18"/>
              </w:rPr>
            </w:pPr>
            <w:r>
              <w:rPr>
                <w:rFonts w:hint="eastAsia" w:ascii="仿宋_GB2312" w:eastAsia="仿宋_GB2312"/>
                <w:sz w:val="18"/>
                <w:szCs w:val="18"/>
              </w:rPr>
              <w:t>■政府网站</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9</w:t>
            </w:r>
          </w:p>
        </w:tc>
        <w:tc>
          <w:tcPr>
            <w:tcW w:w="900" w:type="dxa"/>
            <w:vMerge w:val="restart"/>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应急管理</w:t>
            </w:r>
          </w:p>
        </w:tc>
        <w:tc>
          <w:tcPr>
            <w:tcW w:w="25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 xml:space="preserve">承担处置主责、非敏感的应急信息，包括事故灾害类预警信息、事故信息、事故后采取的应急处置措施和应对结果等  </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《政府信息公开条例》、《突发事件应对法》、《关于全面加强政务公开工作的意见》</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tcPr>
          <w:p>
            <w:r>
              <w:rPr>
                <w:rFonts w:hint="eastAsia" w:ascii="仿宋_GB2312" w:eastAsia="仿宋_GB2312"/>
                <w:bCs/>
                <w:sz w:val="18"/>
                <w:szCs w:val="18"/>
              </w:rPr>
              <w:t>鱼峰区应急管理局</w:t>
            </w:r>
          </w:p>
        </w:tc>
        <w:tc>
          <w:tcPr>
            <w:tcW w:w="1496" w:type="dxa"/>
            <w:shd w:val="clear" w:color="auto" w:fill="auto"/>
          </w:tcPr>
          <w:p>
            <w:pPr>
              <w:rPr>
                <w:rFonts w:ascii="仿宋_GB2312" w:eastAsia="仿宋_GB2312"/>
                <w:sz w:val="18"/>
                <w:szCs w:val="18"/>
              </w:rPr>
            </w:pPr>
            <w:r>
              <w:rPr>
                <w:rFonts w:hint="eastAsia" w:ascii="仿宋_GB2312" w:eastAsia="仿宋_GB2312"/>
                <w:sz w:val="18"/>
                <w:szCs w:val="18"/>
              </w:rPr>
              <w:t>■政府网站</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10</w:t>
            </w:r>
          </w:p>
        </w:tc>
        <w:tc>
          <w:tcPr>
            <w:tcW w:w="900" w:type="dxa"/>
            <w:vMerge w:val="continue"/>
            <w:shd w:val="clear" w:color="auto" w:fill="auto"/>
            <w:vAlign w:val="center"/>
          </w:tcPr>
          <w:p>
            <w:pPr>
              <w:rPr>
                <w:rFonts w:ascii="仿宋_GB2312" w:hAnsi="宋体" w:eastAsia="仿宋_GB2312" w:cs="宋体"/>
                <w:color w:val="000000"/>
                <w:sz w:val="18"/>
                <w:szCs w:val="18"/>
              </w:rPr>
            </w:pPr>
          </w:p>
        </w:tc>
        <w:tc>
          <w:tcPr>
            <w:tcW w:w="108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黑名单管理</w:t>
            </w:r>
          </w:p>
        </w:tc>
        <w:tc>
          <w:tcPr>
            <w:tcW w:w="25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列入或撤销纳入安全生产黑名单管理的企业信息，具体企业名称、证照编号、经营地址、负责人姓名等</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《政府信息公开条例》、《社会信用体系建设规划纲要（2014-2020年）》</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tcPr>
          <w:p>
            <w:r>
              <w:rPr>
                <w:rFonts w:hint="eastAsia" w:ascii="仿宋_GB2312" w:eastAsia="仿宋_GB2312"/>
                <w:bCs/>
                <w:sz w:val="18"/>
                <w:szCs w:val="18"/>
              </w:rPr>
              <w:t>鱼峰区应急管理局</w:t>
            </w:r>
          </w:p>
        </w:tc>
        <w:tc>
          <w:tcPr>
            <w:tcW w:w="1496" w:type="dxa"/>
            <w:shd w:val="clear" w:color="auto" w:fill="auto"/>
          </w:tcPr>
          <w:p>
            <w:pPr>
              <w:rPr>
                <w:rFonts w:ascii="仿宋_GB2312" w:eastAsia="仿宋_GB2312"/>
                <w:sz w:val="18"/>
                <w:szCs w:val="18"/>
              </w:rPr>
            </w:pPr>
            <w:r>
              <w:rPr>
                <w:rFonts w:hint="eastAsia" w:ascii="仿宋_GB2312" w:eastAsia="仿宋_GB2312"/>
                <w:sz w:val="18"/>
                <w:szCs w:val="18"/>
              </w:rPr>
              <w:t>■政府网站</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900" w:type="dxa"/>
            <w:vMerge w:val="restart"/>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事故通报</w:t>
            </w:r>
          </w:p>
        </w:tc>
        <w:tc>
          <w:tcPr>
            <w:tcW w:w="2520" w:type="dxa"/>
            <w:shd w:val="clear" w:color="auto" w:fill="auto"/>
            <w:vAlign w:val="center"/>
          </w:tcPr>
          <w:p>
            <w:pPr>
              <w:jc w:val="left"/>
              <w:rPr>
                <w:rFonts w:ascii="仿宋_GB2312" w:hAnsi="宋体" w:eastAsia="仿宋_GB2312" w:cs="宋体"/>
                <w:bCs/>
                <w:sz w:val="18"/>
                <w:szCs w:val="18"/>
              </w:rPr>
            </w:pPr>
            <w:r>
              <w:rPr>
                <w:rFonts w:hint="eastAsia" w:ascii="仿宋_GB2312" w:eastAsia="仿宋_GB2312"/>
                <w:bCs/>
                <w:sz w:val="18"/>
                <w:szCs w:val="18"/>
              </w:rPr>
              <w:t>1、事故信息:本部门接报查实的各类生产安全事故情况（事故发生时间、地点、伤亡情况、简要经过）                         2、典型事故通报:各类典型安全生产事故情况通报，主要包括发生时间、地点、起因、经过、结果、相关领导批示情况、预防性措施建议等内容                       3、事故调查报告：依照事故调查处理权限，经批复的生产安全事故调查报告，依法应当保密的除外</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《安全生产法》、《政府信息公开条例》、《中共中央 国务院关于推进安全生产领域改革发展的意见》</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按照中央有关要求公开</w:t>
            </w:r>
          </w:p>
        </w:tc>
        <w:tc>
          <w:tcPr>
            <w:tcW w:w="900" w:type="dxa"/>
          </w:tcPr>
          <w:p>
            <w:r>
              <w:rPr>
                <w:rFonts w:hint="eastAsia" w:ascii="仿宋_GB2312" w:eastAsia="仿宋_GB2312"/>
                <w:bCs/>
                <w:sz w:val="18"/>
                <w:szCs w:val="18"/>
              </w:rPr>
              <w:t>鱼峰区应急管理局</w:t>
            </w:r>
          </w:p>
        </w:tc>
        <w:tc>
          <w:tcPr>
            <w:tcW w:w="1496" w:type="dxa"/>
            <w:shd w:val="clear" w:color="auto" w:fill="auto"/>
          </w:tcPr>
          <w:p>
            <w:pPr>
              <w:rPr>
                <w:rFonts w:ascii="仿宋_GB2312" w:eastAsia="仿宋_GB2312"/>
                <w:sz w:val="18"/>
                <w:szCs w:val="18"/>
              </w:rPr>
            </w:pPr>
            <w:r>
              <w:rPr>
                <w:rFonts w:hint="eastAsia" w:ascii="仿宋_GB2312" w:eastAsia="仿宋_GB2312"/>
                <w:sz w:val="18"/>
                <w:szCs w:val="18"/>
              </w:rPr>
              <w:t>■政府网站</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12</w:t>
            </w:r>
          </w:p>
        </w:tc>
        <w:tc>
          <w:tcPr>
            <w:tcW w:w="900" w:type="dxa"/>
            <w:vMerge w:val="continue"/>
            <w:shd w:val="clear" w:color="auto" w:fill="auto"/>
            <w:vAlign w:val="center"/>
          </w:tcPr>
          <w:p>
            <w:pPr>
              <w:rPr>
                <w:rFonts w:ascii="仿宋_GB2312" w:hAnsi="宋体" w:eastAsia="仿宋_GB2312" w:cs="宋体"/>
                <w:color w:val="000000"/>
                <w:sz w:val="18"/>
                <w:szCs w:val="18"/>
              </w:rPr>
            </w:pPr>
          </w:p>
        </w:tc>
        <w:tc>
          <w:tcPr>
            <w:tcW w:w="108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动态信息</w:t>
            </w:r>
          </w:p>
        </w:tc>
        <w:tc>
          <w:tcPr>
            <w:tcW w:w="25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业务工作动态、安全生产执法检查动态</w:t>
            </w:r>
          </w:p>
        </w:tc>
        <w:tc>
          <w:tcPr>
            <w:tcW w:w="2520" w:type="dxa"/>
            <w:vAlign w:val="center"/>
          </w:tcPr>
          <w:p>
            <w:pPr>
              <w:rPr>
                <w:rFonts w:ascii="仿宋_GB2312" w:hAnsi="宋体" w:eastAsia="仿宋_GB2312" w:cs="宋体"/>
                <w:bCs/>
                <w:sz w:val="18"/>
                <w:szCs w:val="18"/>
              </w:rPr>
            </w:pPr>
            <w:r>
              <w:rPr>
                <w:rFonts w:hint="eastAsia" w:ascii="仿宋_GB2312" w:eastAsia="仿宋_GB2312"/>
                <w:bCs/>
                <w:sz w:val="18"/>
                <w:szCs w:val="18"/>
              </w:rPr>
              <w:t>《政府信息公开条例》、《中共中央 国务院关于推进安全生产领域改革发展的意见》</w:t>
            </w:r>
          </w:p>
        </w:tc>
        <w:tc>
          <w:tcPr>
            <w:tcW w:w="1800" w:type="dxa"/>
            <w:vAlign w:val="center"/>
          </w:tcPr>
          <w:p>
            <w:pPr>
              <w:rPr>
                <w:rFonts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tcPr>
          <w:p>
            <w:r>
              <w:rPr>
                <w:rFonts w:hint="eastAsia" w:ascii="仿宋_GB2312" w:eastAsia="仿宋_GB2312"/>
                <w:bCs/>
                <w:sz w:val="18"/>
                <w:szCs w:val="18"/>
              </w:rPr>
              <w:t>鱼峰区应急管理局</w:t>
            </w:r>
          </w:p>
        </w:tc>
        <w:tc>
          <w:tcPr>
            <w:tcW w:w="1496" w:type="dxa"/>
            <w:shd w:val="clear" w:color="auto" w:fill="auto"/>
          </w:tcPr>
          <w:p>
            <w:pPr>
              <w:rPr>
                <w:rFonts w:ascii="仿宋_GB2312" w:eastAsia="仿宋_GB2312"/>
                <w:sz w:val="18"/>
                <w:szCs w:val="18"/>
              </w:rPr>
            </w:pPr>
            <w:r>
              <w:rPr>
                <w:rFonts w:hint="eastAsia" w:ascii="仿宋_GB2312" w:eastAsia="仿宋_GB2312"/>
                <w:sz w:val="18"/>
                <w:szCs w:val="18"/>
              </w:rPr>
              <w:t>■政府网站</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13</w:t>
            </w:r>
          </w:p>
        </w:tc>
        <w:tc>
          <w:tcPr>
            <w:tcW w:w="900" w:type="dxa"/>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安全生产预警提示信息</w:t>
            </w:r>
          </w:p>
        </w:tc>
        <w:tc>
          <w:tcPr>
            <w:tcW w:w="25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气象及灾害预警信息            不同时段、不同领域安全生产提示信息</w:t>
            </w:r>
          </w:p>
        </w:tc>
        <w:tc>
          <w:tcPr>
            <w:tcW w:w="2520" w:type="dxa"/>
            <w:vAlign w:val="center"/>
          </w:tcPr>
          <w:p>
            <w:pPr>
              <w:rPr>
                <w:rFonts w:ascii="仿宋_GB2312" w:hAnsi="宋体" w:eastAsia="仿宋_GB2312" w:cs="宋体"/>
                <w:bCs/>
                <w:sz w:val="18"/>
                <w:szCs w:val="18"/>
              </w:rPr>
            </w:pPr>
            <w:r>
              <w:rPr>
                <w:rFonts w:hint="eastAsia" w:ascii="仿宋_GB2312" w:eastAsia="仿宋_GB2312"/>
                <w:bCs/>
                <w:sz w:val="18"/>
                <w:szCs w:val="18"/>
              </w:rPr>
              <w:t>《政府信息公开条例》、《中共中央 国务院关于推进安全生产领域改革发展的意见》</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信息形成后及时公开</w:t>
            </w:r>
          </w:p>
        </w:tc>
        <w:tc>
          <w:tcPr>
            <w:tcW w:w="900" w:type="dxa"/>
          </w:tcPr>
          <w:p>
            <w:r>
              <w:rPr>
                <w:rFonts w:hint="eastAsia" w:ascii="仿宋_GB2312" w:eastAsia="仿宋_GB2312"/>
                <w:bCs/>
                <w:sz w:val="18"/>
                <w:szCs w:val="18"/>
              </w:rPr>
              <w:t>鱼峰区应急管理局</w:t>
            </w:r>
          </w:p>
        </w:tc>
        <w:tc>
          <w:tcPr>
            <w:tcW w:w="1496" w:type="dxa"/>
            <w:shd w:val="clear" w:color="auto" w:fill="auto"/>
          </w:tcPr>
          <w:p>
            <w:pPr>
              <w:rPr>
                <w:rFonts w:ascii="仿宋_GB2312" w:eastAsia="仿宋_GB2312"/>
                <w:sz w:val="18"/>
                <w:szCs w:val="18"/>
              </w:rPr>
            </w:pPr>
            <w:r>
              <w:rPr>
                <w:rFonts w:hint="eastAsia" w:ascii="仿宋_GB2312" w:eastAsia="仿宋_GB2312"/>
                <w:sz w:val="18"/>
                <w:szCs w:val="18"/>
              </w:rPr>
              <w:t>■政府网站</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14</w:t>
            </w:r>
          </w:p>
        </w:tc>
        <w:tc>
          <w:tcPr>
            <w:tcW w:w="900" w:type="dxa"/>
            <w:vMerge w:val="restart"/>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公共</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服务</w:t>
            </w:r>
          </w:p>
        </w:tc>
        <w:tc>
          <w:tcPr>
            <w:tcW w:w="108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政务公开目录</w:t>
            </w:r>
          </w:p>
        </w:tc>
        <w:tc>
          <w:tcPr>
            <w:tcW w:w="25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政务公开事项的索引、名称、内容概述、生成日期等</w:t>
            </w:r>
          </w:p>
        </w:tc>
        <w:tc>
          <w:tcPr>
            <w:tcW w:w="2520" w:type="dxa"/>
            <w:vAlign w:val="center"/>
          </w:tcPr>
          <w:p>
            <w:pPr>
              <w:rPr>
                <w:rFonts w:ascii="仿宋_GB2312" w:hAnsi="宋体" w:eastAsia="仿宋_GB2312" w:cs="宋体"/>
                <w:bCs/>
                <w:sz w:val="18"/>
                <w:szCs w:val="18"/>
              </w:rPr>
            </w:pPr>
            <w:r>
              <w:rPr>
                <w:rFonts w:hint="eastAsia" w:ascii="仿宋_GB2312" w:eastAsia="仿宋_GB2312"/>
                <w:bCs/>
                <w:sz w:val="18"/>
                <w:szCs w:val="18"/>
              </w:rPr>
              <w:t>《政府信息公开条例》、《中共中央 国务院关于推进安全生产领域改革发展的意见》</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tcPr>
          <w:p>
            <w:r>
              <w:rPr>
                <w:rFonts w:hint="eastAsia" w:ascii="仿宋_GB2312" w:eastAsia="仿宋_GB2312"/>
                <w:bCs/>
                <w:sz w:val="18"/>
                <w:szCs w:val="18"/>
              </w:rPr>
              <w:t>鱼峰区应急管理局</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■政府网站   ■政务服务中心</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15</w:t>
            </w:r>
          </w:p>
        </w:tc>
        <w:tc>
          <w:tcPr>
            <w:tcW w:w="900" w:type="dxa"/>
            <w:vMerge w:val="continue"/>
            <w:shd w:val="clear" w:color="auto" w:fill="auto"/>
            <w:vAlign w:val="center"/>
          </w:tcPr>
          <w:p>
            <w:pPr>
              <w:rPr>
                <w:rFonts w:ascii="仿宋_GB2312" w:hAnsi="宋体" w:eastAsia="仿宋_GB2312" w:cs="宋体"/>
                <w:color w:val="000000"/>
                <w:sz w:val="18"/>
                <w:szCs w:val="18"/>
              </w:rPr>
            </w:pPr>
          </w:p>
        </w:tc>
        <w:tc>
          <w:tcPr>
            <w:tcW w:w="108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政务公开标准</w:t>
            </w:r>
          </w:p>
        </w:tc>
        <w:tc>
          <w:tcPr>
            <w:tcW w:w="25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政府信息公开指南等流程性信息</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tcPr>
          <w:p>
            <w:r>
              <w:rPr>
                <w:rFonts w:hint="eastAsia" w:ascii="仿宋_GB2312" w:eastAsia="仿宋_GB2312"/>
                <w:bCs/>
                <w:sz w:val="18"/>
                <w:szCs w:val="18"/>
              </w:rPr>
              <w:t>鱼峰区应急管理局</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■政府网站   ■政务服务中心</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16</w:t>
            </w:r>
          </w:p>
        </w:tc>
        <w:tc>
          <w:tcPr>
            <w:tcW w:w="900" w:type="dxa"/>
            <w:vMerge w:val="restart"/>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公共</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服务</w:t>
            </w:r>
          </w:p>
        </w:tc>
        <w:tc>
          <w:tcPr>
            <w:tcW w:w="108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权力清单及责任清单</w:t>
            </w:r>
          </w:p>
        </w:tc>
        <w:tc>
          <w:tcPr>
            <w:tcW w:w="25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同级政府审批通过的行政执法主体信息和行政许可、行政处罚、行政强制、行政检查、行政确认、行政奖励及其他行政职权等行政执法职权职责清单</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《政府信息公开条例》、《中共中央 国务院关于推进安全生产领域改革发展的意见》</w:t>
            </w:r>
          </w:p>
        </w:tc>
        <w:tc>
          <w:tcPr>
            <w:tcW w:w="1800" w:type="dxa"/>
            <w:vAlign w:val="center"/>
          </w:tcPr>
          <w:p>
            <w:pPr>
              <w:rPr>
                <w:rFonts w:ascii="仿宋_GB2312" w:hAnsi="宋体" w:eastAsia="仿宋_GB2312" w:cs="宋体"/>
                <w:bCs/>
                <w:sz w:val="18"/>
                <w:szCs w:val="18"/>
              </w:rPr>
            </w:pPr>
            <w:r>
              <w:rPr>
                <w:rFonts w:hint="eastAsia" w:ascii="仿宋_GB2312" w:eastAsia="仿宋_GB2312"/>
                <w:bCs/>
                <w:sz w:val="18"/>
                <w:szCs w:val="18"/>
              </w:rPr>
              <w:t>信息形成或者变更20个工作日内，如有更新，及时公开</w:t>
            </w:r>
          </w:p>
        </w:tc>
        <w:tc>
          <w:tcPr>
            <w:tcW w:w="900" w:type="dxa"/>
          </w:tcPr>
          <w:p>
            <w:r>
              <w:rPr>
                <w:rFonts w:hint="eastAsia" w:ascii="仿宋_GB2312" w:eastAsia="仿宋_GB2312"/>
                <w:bCs/>
                <w:sz w:val="18"/>
                <w:szCs w:val="18"/>
              </w:rPr>
              <w:t>鱼峰区应急管理局</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17</w:t>
            </w:r>
          </w:p>
        </w:tc>
        <w:tc>
          <w:tcPr>
            <w:tcW w:w="900" w:type="dxa"/>
            <w:vMerge w:val="continue"/>
            <w:shd w:val="clear" w:color="auto" w:fill="auto"/>
            <w:vAlign w:val="center"/>
          </w:tcPr>
          <w:p>
            <w:pPr>
              <w:rPr>
                <w:rFonts w:ascii="仿宋_GB2312" w:hAnsi="宋体" w:eastAsia="仿宋_GB2312" w:cs="宋体"/>
                <w:color w:val="000000"/>
                <w:sz w:val="18"/>
                <w:szCs w:val="18"/>
              </w:rPr>
            </w:pPr>
          </w:p>
        </w:tc>
        <w:tc>
          <w:tcPr>
            <w:tcW w:w="108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主要业务办事指南</w:t>
            </w:r>
          </w:p>
        </w:tc>
        <w:tc>
          <w:tcPr>
            <w:tcW w:w="25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主要业务工作的办事依据、程序、时限，办事时间、地点、部门、联系方式及相关办理结果</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《政府信息公开条例》、《中共中央 国务院关于推进安全生产领域改革发展的意见》</w:t>
            </w:r>
          </w:p>
        </w:tc>
        <w:tc>
          <w:tcPr>
            <w:tcW w:w="1800" w:type="dxa"/>
            <w:vAlign w:val="center"/>
          </w:tcPr>
          <w:p>
            <w:pPr>
              <w:rPr>
                <w:rFonts w:ascii="仿宋_GB2312" w:hAnsi="宋体" w:eastAsia="仿宋_GB2312" w:cs="宋体"/>
                <w:bCs/>
                <w:sz w:val="18"/>
                <w:szCs w:val="18"/>
              </w:rPr>
            </w:pPr>
            <w:r>
              <w:rPr>
                <w:rFonts w:hint="eastAsia" w:ascii="仿宋_GB2312" w:eastAsia="仿宋_GB2312"/>
                <w:bCs/>
                <w:sz w:val="18"/>
                <w:szCs w:val="18"/>
              </w:rPr>
              <w:t>信息形成或者变更之日起20个工作日内</w:t>
            </w:r>
          </w:p>
        </w:tc>
        <w:tc>
          <w:tcPr>
            <w:tcW w:w="900" w:type="dxa"/>
          </w:tcPr>
          <w:p>
            <w:r>
              <w:rPr>
                <w:rFonts w:hint="eastAsia" w:ascii="仿宋_GB2312" w:eastAsia="仿宋_GB2312"/>
                <w:bCs/>
                <w:sz w:val="18"/>
                <w:szCs w:val="18"/>
              </w:rPr>
              <w:t>鱼峰区应急管理局</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■政府网站   ■政务服务中心</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18</w:t>
            </w:r>
          </w:p>
        </w:tc>
        <w:tc>
          <w:tcPr>
            <w:tcW w:w="900" w:type="dxa"/>
            <w:vMerge w:val="continue"/>
            <w:shd w:val="clear" w:color="auto" w:fill="auto"/>
            <w:vAlign w:val="center"/>
          </w:tcPr>
          <w:p>
            <w:pPr>
              <w:rPr>
                <w:rFonts w:ascii="仿宋_GB2312" w:hAnsi="宋体" w:eastAsia="仿宋_GB2312" w:cs="宋体"/>
                <w:color w:val="000000"/>
                <w:sz w:val="18"/>
                <w:szCs w:val="18"/>
              </w:rPr>
            </w:pPr>
          </w:p>
        </w:tc>
        <w:tc>
          <w:tcPr>
            <w:tcW w:w="108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年度报告</w:t>
            </w:r>
          </w:p>
        </w:tc>
        <w:tc>
          <w:tcPr>
            <w:tcW w:w="25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政府信息公开年度报告及相关统计报表</w:t>
            </w:r>
          </w:p>
        </w:tc>
        <w:tc>
          <w:tcPr>
            <w:tcW w:w="2520" w:type="dxa"/>
            <w:vAlign w:val="center"/>
          </w:tcPr>
          <w:p>
            <w:pPr>
              <w:rPr>
                <w:rFonts w:ascii="仿宋_GB2312" w:hAnsi="宋体" w:eastAsia="仿宋_GB2312" w:cs="宋体"/>
                <w:bCs/>
                <w:sz w:val="18"/>
                <w:szCs w:val="18"/>
              </w:rPr>
            </w:pPr>
            <w:r>
              <w:rPr>
                <w:rFonts w:hint="eastAsia" w:ascii="仿宋_GB2312" w:eastAsia="仿宋_GB2312"/>
                <w:bCs/>
                <w:sz w:val="18"/>
                <w:szCs w:val="18"/>
              </w:rPr>
              <w:t>《政府信息公开条例》</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每年1月31日前</w:t>
            </w:r>
          </w:p>
        </w:tc>
        <w:tc>
          <w:tcPr>
            <w:tcW w:w="900" w:type="dxa"/>
          </w:tcPr>
          <w:p>
            <w:r>
              <w:rPr>
                <w:rFonts w:hint="eastAsia" w:ascii="仿宋_GB2312" w:eastAsia="仿宋_GB2312"/>
                <w:bCs/>
                <w:sz w:val="18"/>
                <w:szCs w:val="18"/>
              </w:rPr>
              <w:t>鱼峰区应急管理局</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19</w:t>
            </w:r>
          </w:p>
        </w:tc>
        <w:tc>
          <w:tcPr>
            <w:tcW w:w="900" w:type="dxa"/>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pP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108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办事纪律和监督管理</w:t>
            </w:r>
          </w:p>
        </w:tc>
        <w:tc>
          <w:tcPr>
            <w:tcW w:w="25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本单位的办事纪律,受理投诉、举报、信访的途径等内容</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《政府信息公开条例》、《中共中央 国务院关于推进安全生产领域改革发展的意见》</w:t>
            </w:r>
          </w:p>
        </w:tc>
        <w:tc>
          <w:tcPr>
            <w:tcW w:w="1800" w:type="dxa"/>
            <w:vAlign w:val="center"/>
          </w:tcPr>
          <w:p>
            <w:pPr>
              <w:rPr>
                <w:rFonts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tcPr>
          <w:p>
            <w:r>
              <w:rPr>
                <w:rFonts w:hint="eastAsia" w:ascii="仿宋_GB2312" w:eastAsia="仿宋_GB2312"/>
                <w:bCs/>
                <w:sz w:val="18"/>
                <w:szCs w:val="18"/>
              </w:rPr>
              <w:t>鱼峰区应急管理局</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20</w:t>
            </w:r>
          </w:p>
        </w:tc>
        <w:tc>
          <w:tcPr>
            <w:tcW w:w="900" w:type="dxa"/>
            <w:vMerge w:val="restart"/>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108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重大工程项目信息</w:t>
            </w:r>
          </w:p>
        </w:tc>
        <w:tc>
          <w:tcPr>
            <w:tcW w:w="25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项目名称、执行措施、责任分工、取得成效、后续举措等</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《政府信息公开条例》、《国务院办公厅关于推进重大建设项目批准和实施领域政府信息公开的意见》</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按照中央有关要求公开</w:t>
            </w:r>
          </w:p>
        </w:tc>
        <w:tc>
          <w:tcPr>
            <w:tcW w:w="900" w:type="dxa"/>
          </w:tcPr>
          <w:p>
            <w:r>
              <w:rPr>
                <w:rFonts w:hint="eastAsia" w:ascii="仿宋_GB2312" w:eastAsia="仿宋_GB2312"/>
                <w:bCs/>
                <w:sz w:val="18"/>
                <w:szCs w:val="18"/>
              </w:rPr>
              <w:t>鱼峰区应急管理局</w:t>
            </w:r>
          </w:p>
        </w:tc>
        <w:tc>
          <w:tcPr>
            <w:tcW w:w="1496" w:type="dxa"/>
            <w:shd w:val="clear" w:color="auto" w:fill="auto"/>
            <w:vAlign w:val="center"/>
          </w:tcPr>
          <w:p>
            <w:pPr>
              <w:spacing w:line="240" w:lineRule="exact"/>
              <w:rPr>
                <w:rFonts w:ascii="仿宋_GB2312" w:eastAsia="仿宋_GB2312"/>
                <w:sz w:val="18"/>
                <w:szCs w:val="18"/>
              </w:rPr>
            </w:pPr>
            <w:r>
              <w:rPr>
                <w:rFonts w:hint="eastAsia" w:ascii="仿宋_GB2312" w:eastAsia="仿宋_GB2312"/>
                <w:sz w:val="18"/>
                <w:szCs w:val="18"/>
              </w:rPr>
              <w:t>■政府网站</w:t>
            </w:r>
            <w:r>
              <w:rPr>
                <w:rFonts w:hint="eastAsia" w:ascii="仿宋_GB2312" w:eastAsia="仿宋_GB2312"/>
                <w:sz w:val="18"/>
                <w:szCs w:val="18"/>
              </w:rPr>
              <w:br w:type="textWrapping"/>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w:t>
            </w:r>
          </w:p>
        </w:tc>
        <w:tc>
          <w:tcPr>
            <w:tcW w:w="900" w:type="dxa"/>
            <w:vMerge w:val="continue"/>
            <w:shd w:val="clear" w:color="auto" w:fill="auto"/>
            <w:vAlign w:val="center"/>
          </w:tcPr>
          <w:p>
            <w:pPr>
              <w:rPr>
                <w:rFonts w:ascii="仿宋_GB2312" w:hAnsi="宋体" w:eastAsia="仿宋_GB2312" w:cs="宋体"/>
                <w:color w:val="000000"/>
                <w:sz w:val="18"/>
                <w:szCs w:val="18"/>
              </w:rPr>
            </w:pPr>
          </w:p>
        </w:tc>
        <w:tc>
          <w:tcPr>
            <w:tcW w:w="108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检查和巡查发现安全监管监察问题</w:t>
            </w:r>
          </w:p>
        </w:tc>
        <w:tc>
          <w:tcPr>
            <w:tcW w:w="25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检查和巡查发现的、并要求向社会公开的问题及整改落实情况</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《政府信息公开条例》、《中共中央 国务院关于推进安全生产领域改革发展的意见》</w:t>
            </w:r>
          </w:p>
        </w:tc>
        <w:tc>
          <w:tcPr>
            <w:tcW w:w="1800" w:type="dxa"/>
            <w:vAlign w:val="center"/>
          </w:tcPr>
          <w:p>
            <w:pPr>
              <w:rPr>
                <w:rFonts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tcPr>
          <w:p>
            <w:r>
              <w:rPr>
                <w:rFonts w:hint="eastAsia" w:ascii="仿宋_GB2312" w:eastAsia="仿宋_GB2312"/>
                <w:bCs/>
                <w:sz w:val="18"/>
                <w:szCs w:val="18"/>
              </w:rPr>
              <w:t>鱼峰区应急管理局</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sz w:val="18"/>
                <w:szCs w:val="18"/>
              </w:rPr>
            </w:pPr>
          </w:p>
        </w:tc>
      </w:tr>
    </w:tbl>
    <w:p>
      <w:pPr>
        <w:pStyle w:val="2"/>
        <w:rPr>
          <w:rFonts w:ascii="Times New Roman" w:hAnsi="Times New Roman" w:eastAsia="方正小标宋_GBK"/>
          <w:sz w:val="28"/>
          <w:szCs w:val="28"/>
        </w:rPr>
      </w:pPr>
      <w:bookmarkStart w:id="1" w:name="_GoBack"/>
      <w:bookmarkEnd w:id="1"/>
    </w:p>
    <w:sectPr>
      <w:footerReference r:id="rId5" w:type="first"/>
      <w:footerReference r:id="rId4" w:type="default"/>
      <w:pgSz w:w="16838" w:h="11906" w:orient="landscape"/>
      <w:pgMar w:top="1797" w:right="1440" w:bottom="1797" w:left="144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p>
  <w:p>
    <w:pPr>
      <w:pStyle w:val="5"/>
      <w:jc w:val="center"/>
    </w:pPr>
    <w:r>
      <w:rPr>
        <w:rStyle w:val="12"/>
      </w:rPr>
      <w:fldChar w:fldCharType="begin"/>
    </w:r>
    <w:r>
      <w:rPr>
        <w:rStyle w:val="12"/>
      </w:rPr>
      <w:instrText xml:space="preserve"> PAGE </w:instrText>
    </w:r>
    <w:r>
      <w:rPr>
        <w:rStyle w:val="12"/>
      </w:rPr>
      <w:fldChar w:fldCharType="separate"/>
    </w:r>
    <w:r>
      <w:rPr>
        <w:rStyle w:val="12"/>
      </w:rPr>
      <w:t>2</w:t>
    </w:r>
    <w:r>
      <w:rPr>
        <w:rStyle w:val="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Style w:val="12"/>
      </w:rPr>
      <w:fldChar w:fldCharType="begin"/>
    </w:r>
    <w:r>
      <w:rPr>
        <w:rStyle w:val="12"/>
      </w:rPr>
      <w:instrText xml:space="preserve"> PAGE </w:instrText>
    </w:r>
    <w:r>
      <w:rPr>
        <w:rStyle w:val="12"/>
      </w:rPr>
      <w:fldChar w:fldCharType="separate"/>
    </w:r>
    <w:r>
      <w:rPr>
        <w:rStyle w:val="12"/>
      </w:rPr>
      <w:t>1</w:t>
    </w:r>
    <w:r>
      <w:rPr>
        <w:rStyle w:val="12"/>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D1EA5"/>
    <w:rsid w:val="00005FB9"/>
    <w:rsid w:val="00006ADC"/>
    <w:rsid w:val="0001250B"/>
    <w:rsid w:val="000201F0"/>
    <w:rsid w:val="00020EFB"/>
    <w:rsid w:val="000370A9"/>
    <w:rsid w:val="00040ED3"/>
    <w:rsid w:val="000533DA"/>
    <w:rsid w:val="0006032D"/>
    <w:rsid w:val="00060CFE"/>
    <w:rsid w:val="000645DC"/>
    <w:rsid w:val="00065A21"/>
    <w:rsid w:val="00070BF9"/>
    <w:rsid w:val="00070FC6"/>
    <w:rsid w:val="00077FC8"/>
    <w:rsid w:val="0008032D"/>
    <w:rsid w:val="00082AC9"/>
    <w:rsid w:val="00086FDC"/>
    <w:rsid w:val="0008715E"/>
    <w:rsid w:val="00093A2C"/>
    <w:rsid w:val="000964CC"/>
    <w:rsid w:val="00097674"/>
    <w:rsid w:val="000A2775"/>
    <w:rsid w:val="000A5C97"/>
    <w:rsid w:val="000A7F01"/>
    <w:rsid w:val="000C6BF3"/>
    <w:rsid w:val="000D0945"/>
    <w:rsid w:val="000D1F17"/>
    <w:rsid w:val="000E3D7D"/>
    <w:rsid w:val="000E5A3C"/>
    <w:rsid w:val="000E6E67"/>
    <w:rsid w:val="000E7C68"/>
    <w:rsid w:val="000F751F"/>
    <w:rsid w:val="00100C59"/>
    <w:rsid w:val="001024D7"/>
    <w:rsid w:val="001078E3"/>
    <w:rsid w:val="0011273B"/>
    <w:rsid w:val="00116932"/>
    <w:rsid w:val="00117834"/>
    <w:rsid w:val="001273B6"/>
    <w:rsid w:val="00131909"/>
    <w:rsid w:val="00140ABD"/>
    <w:rsid w:val="0014190C"/>
    <w:rsid w:val="00142E1C"/>
    <w:rsid w:val="0014417E"/>
    <w:rsid w:val="00150886"/>
    <w:rsid w:val="00154D1A"/>
    <w:rsid w:val="001668D4"/>
    <w:rsid w:val="00167E59"/>
    <w:rsid w:val="00167F53"/>
    <w:rsid w:val="00170B78"/>
    <w:rsid w:val="00170C6B"/>
    <w:rsid w:val="00172E7B"/>
    <w:rsid w:val="00172FDE"/>
    <w:rsid w:val="00173340"/>
    <w:rsid w:val="00174543"/>
    <w:rsid w:val="00176850"/>
    <w:rsid w:val="00184E14"/>
    <w:rsid w:val="0018519A"/>
    <w:rsid w:val="001901C0"/>
    <w:rsid w:val="001905F8"/>
    <w:rsid w:val="001A0EE1"/>
    <w:rsid w:val="001A3FFF"/>
    <w:rsid w:val="001A7CDB"/>
    <w:rsid w:val="001B4494"/>
    <w:rsid w:val="001B4DA1"/>
    <w:rsid w:val="001C09D3"/>
    <w:rsid w:val="001D7831"/>
    <w:rsid w:val="001E254A"/>
    <w:rsid w:val="001E357F"/>
    <w:rsid w:val="001E40EA"/>
    <w:rsid w:val="001E42A6"/>
    <w:rsid w:val="001E7825"/>
    <w:rsid w:val="002055CD"/>
    <w:rsid w:val="00225626"/>
    <w:rsid w:val="00235269"/>
    <w:rsid w:val="00241BD7"/>
    <w:rsid w:val="00251380"/>
    <w:rsid w:val="00254893"/>
    <w:rsid w:val="00265B1E"/>
    <w:rsid w:val="002705D2"/>
    <w:rsid w:val="0027262A"/>
    <w:rsid w:val="00275AB0"/>
    <w:rsid w:val="0027712D"/>
    <w:rsid w:val="00277BC9"/>
    <w:rsid w:val="002818AF"/>
    <w:rsid w:val="002827EF"/>
    <w:rsid w:val="00282FF2"/>
    <w:rsid w:val="002864E7"/>
    <w:rsid w:val="00290AAA"/>
    <w:rsid w:val="002954B3"/>
    <w:rsid w:val="00296CB4"/>
    <w:rsid w:val="002A5174"/>
    <w:rsid w:val="002B6627"/>
    <w:rsid w:val="002B79B9"/>
    <w:rsid w:val="002D218F"/>
    <w:rsid w:val="002E1CF7"/>
    <w:rsid w:val="002E23D2"/>
    <w:rsid w:val="002E33B1"/>
    <w:rsid w:val="002E5486"/>
    <w:rsid w:val="002F13AE"/>
    <w:rsid w:val="002F1EAD"/>
    <w:rsid w:val="002F3EAA"/>
    <w:rsid w:val="002F547E"/>
    <w:rsid w:val="00316253"/>
    <w:rsid w:val="00320AFE"/>
    <w:rsid w:val="00321BC5"/>
    <w:rsid w:val="003228E5"/>
    <w:rsid w:val="0032427E"/>
    <w:rsid w:val="003346F4"/>
    <w:rsid w:val="003374D8"/>
    <w:rsid w:val="00337F02"/>
    <w:rsid w:val="003436E8"/>
    <w:rsid w:val="00346A3E"/>
    <w:rsid w:val="003506F5"/>
    <w:rsid w:val="00350D04"/>
    <w:rsid w:val="00356811"/>
    <w:rsid w:val="00357025"/>
    <w:rsid w:val="003579E1"/>
    <w:rsid w:val="00360682"/>
    <w:rsid w:val="003707AD"/>
    <w:rsid w:val="00371535"/>
    <w:rsid w:val="00391DA6"/>
    <w:rsid w:val="00395C82"/>
    <w:rsid w:val="00396BFA"/>
    <w:rsid w:val="003A055F"/>
    <w:rsid w:val="003A4319"/>
    <w:rsid w:val="003A5130"/>
    <w:rsid w:val="003C13DB"/>
    <w:rsid w:val="003C778E"/>
    <w:rsid w:val="003C7F00"/>
    <w:rsid w:val="003D76DD"/>
    <w:rsid w:val="003E03A3"/>
    <w:rsid w:val="003E351F"/>
    <w:rsid w:val="003F2B59"/>
    <w:rsid w:val="003F66AA"/>
    <w:rsid w:val="003F7D5F"/>
    <w:rsid w:val="00403760"/>
    <w:rsid w:val="0040597B"/>
    <w:rsid w:val="00405AA0"/>
    <w:rsid w:val="0041066C"/>
    <w:rsid w:val="00413BC2"/>
    <w:rsid w:val="00420339"/>
    <w:rsid w:val="0042050B"/>
    <w:rsid w:val="00421025"/>
    <w:rsid w:val="004262D2"/>
    <w:rsid w:val="00434C58"/>
    <w:rsid w:val="00443643"/>
    <w:rsid w:val="00447D1E"/>
    <w:rsid w:val="00454B66"/>
    <w:rsid w:val="0046131F"/>
    <w:rsid w:val="0046612C"/>
    <w:rsid w:val="00470A45"/>
    <w:rsid w:val="004735CC"/>
    <w:rsid w:val="00473616"/>
    <w:rsid w:val="004741F3"/>
    <w:rsid w:val="004748F3"/>
    <w:rsid w:val="004800CF"/>
    <w:rsid w:val="00480F60"/>
    <w:rsid w:val="00481A24"/>
    <w:rsid w:val="004934D6"/>
    <w:rsid w:val="00495D55"/>
    <w:rsid w:val="004A6AED"/>
    <w:rsid w:val="004B70E4"/>
    <w:rsid w:val="004B7B49"/>
    <w:rsid w:val="004C2064"/>
    <w:rsid w:val="004C520F"/>
    <w:rsid w:val="004D0346"/>
    <w:rsid w:val="004E0CF9"/>
    <w:rsid w:val="004E3C7D"/>
    <w:rsid w:val="004F0F2A"/>
    <w:rsid w:val="004F1782"/>
    <w:rsid w:val="004F2C26"/>
    <w:rsid w:val="004F31FF"/>
    <w:rsid w:val="004F4BBC"/>
    <w:rsid w:val="0050438F"/>
    <w:rsid w:val="00504CD4"/>
    <w:rsid w:val="00510D24"/>
    <w:rsid w:val="005128E6"/>
    <w:rsid w:val="005134ED"/>
    <w:rsid w:val="00520F11"/>
    <w:rsid w:val="005222BB"/>
    <w:rsid w:val="0052697A"/>
    <w:rsid w:val="005309CA"/>
    <w:rsid w:val="00535DBF"/>
    <w:rsid w:val="00537936"/>
    <w:rsid w:val="005601E2"/>
    <w:rsid w:val="00566960"/>
    <w:rsid w:val="00567A97"/>
    <w:rsid w:val="00570AD8"/>
    <w:rsid w:val="0057243A"/>
    <w:rsid w:val="00573AF7"/>
    <w:rsid w:val="00574873"/>
    <w:rsid w:val="00577B8D"/>
    <w:rsid w:val="005873B9"/>
    <w:rsid w:val="00587789"/>
    <w:rsid w:val="00590D0E"/>
    <w:rsid w:val="00595E5C"/>
    <w:rsid w:val="005A0ADC"/>
    <w:rsid w:val="005A3D28"/>
    <w:rsid w:val="005A5DD7"/>
    <w:rsid w:val="005B117C"/>
    <w:rsid w:val="005C1EA4"/>
    <w:rsid w:val="005D1EA5"/>
    <w:rsid w:val="005E1276"/>
    <w:rsid w:val="005F38B9"/>
    <w:rsid w:val="00610FD3"/>
    <w:rsid w:val="0061198E"/>
    <w:rsid w:val="00615839"/>
    <w:rsid w:val="00622A42"/>
    <w:rsid w:val="006359C4"/>
    <w:rsid w:val="0063753D"/>
    <w:rsid w:val="0064282F"/>
    <w:rsid w:val="006447DD"/>
    <w:rsid w:val="0064510A"/>
    <w:rsid w:val="00646A00"/>
    <w:rsid w:val="00655727"/>
    <w:rsid w:val="0066461C"/>
    <w:rsid w:val="0067009C"/>
    <w:rsid w:val="00673CAF"/>
    <w:rsid w:val="00680467"/>
    <w:rsid w:val="00682E1D"/>
    <w:rsid w:val="00693B6C"/>
    <w:rsid w:val="006953F4"/>
    <w:rsid w:val="006A05F7"/>
    <w:rsid w:val="006A0C1A"/>
    <w:rsid w:val="006B1596"/>
    <w:rsid w:val="006B5D0D"/>
    <w:rsid w:val="006C3373"/>
    <w:rsid w:val="006C37CE"/>
    <w:rsid w:val="006C72FC"/>
    <w:rsid w:val="006D28DC"/>
    <w:rsid w:val="006E49C7"/>
    <w:rsid w:val="006E504B"/>
    <w:rsid w:val="006E5B70"/>
    <w:rsid w:val="007000D3"/>
    <w:rsid w:val="0070268C"/>
    <w:rsid w:val="00704079"/>
    <w:rsid w:val="0070432E"/>
    <w:rsid w:val="007066B2"/>
    <w:rsid w:val="00717AE7"/>
    <w:rsid w:val="00720C59"/>
    <w:rsid w:val="00722DF5"/>
    <w:rsid w:val="00726208"/>
    <w:rsid w:val="00727666"/>
    <w:rsid w:val="00731A17"/>
    <w:rsid w:val="00737236"/>
    <w:rsid w:val="007526E0"/>
    <w:rsid w:val="00754433"/>
    <w:rsid w:val="00764DBF"/>
    <w:rsid w:val="007662F5"/>
    <w:rsid w:val="007769B7"/>
    <w:rsid w:val="007803B1"/>
    <w:rsid w:val="00781C45"/>
    <w:rsid w:val="00782CAF"/>
    <w:rsid w:val="0078392A"/>
    <w:rsid w:val="00791687"/>
    <w:rsid w:val="00793C8A"/>
    <w:rsid w:val="007A13EA"/>
    <w:rsid w:val="007A5CF5"/>
    <w:rsid w:val="007B00FD"/>
    <w:rsid w:val="007B032A"/>
    <w:rsid w:val="007B6D40"/>
    <w:rsid w:val="007C2942"/>
    <w:rsid w:val="007C43ED"/>
    <w:rsid w:val="007D0B6E"/>
    <w:rsid w:val="007D1ABA"/>
    <w:rsid w:val="007D4D96"/>
    <w:rsid w:val="007E5652"/>
    <w:rsid w:val="007E6AEC"/>
    <w:rsid w:val="007F1730"/>
    <w:rsid w:val="007F2517"/>
    <w:rsid w:val="007F2593"/>
    <w:rsid w:val="007F7E67"/>
    <w:rsid w:val="00800726"/>
    <w:rsid w:val="008070F0"/>
    <w:rsid w:val="00812A82"/>
    <w:rsid w:val="00814F97"/>
    <w:rsid w:val="00815596"/>
    <w:rsid w:val="0082234A"/>
    <w:rsid w:val="00824E6A"/>
    <w:rsid w:val="00831763"/>
    <w:rsid w:val="008319C2"/>
    <w:rsid w:val="00834C8B"/>
    <w:rsid w:val="008356F8"/>
    <w:rsid w:val="00835816"/>
    <w:rsid w:val="0084087D"/>
    <w:rsid w:val="00843056"/>
    <w:rsid w:val="0084306F"/>
    <w:rsid w:val="00844017"/>
    <w:rsid w:val="008445EA"/>
    <w:rsid w:val="008454E8"/>
    <w:rsid w:val="00847E39"/>
    <w:rsid w:val="00850C4C"/>
    <w:rsid w:val="00854A64"/>
    <w:rsid w:val="00856C98"/>
    <w:rsid w:val="00861EF2"/>
    <w:rsid w:val="00866024"/>
    <w:rsid w:val="008708C3"/>
    <w:rsid w:val="00872EA4"/>
    <w:rsid w:val="008832FF"/>
    <w:rsid w:val="00883971"/>
    <w:rsid w:val="00885490"/>
    <w:rsid w:val="008878BF"/>
    <w:rsid w:val="00887948"/>
    <w:rsid w:val="008915F9"/>
    <w:rsid w:val="00897C4F"/>
    <w:rsid w:val="008B7A10"/>
    <w:rsid w:val="008C4153"/>
    <w:rsid w:val="008D4338"/>
    <w:rsid w:val="008D74D9"/>
    <w:rsid w:val="008E5DCD"/>
    <w:rsid w:val="008F4728"/>
    <w:rsid w:val="00902803"/>
    <w:rsid w:val="00911314"/>
    <w:rsid w:val="00924599"/>
    <w:rsid w:val="009267D9"/>
    <w:rsid w:val="00927160"/>
    <w:rsid w:val="0093115B"/>
    <w:rsid w:val="00934DD1"/>
    <w:rsid w:val="00935C49"/>
    <w:rsid w:val="00936C9E"/>
    <w:rsid w:val="0094023C"/>
    <w:rsid w:val="0094041B"/>
    <w:rsid w:val="00940512"/>
    <w:rsid w:val="009455C5"/>
    <w:rsid w:val="009461E2"/>
    <w:rsid w:val="00947BBC"/>
    <w:rsid w:val="0095342A"/>
    <w:rsid w:val="009550FC"/>
    <w:rsid w:val="00955AA2"/>
    <w:rsid w:val="00955AE6"/>
    <w:rsid w:val="00955E8D"/>
    <w:rsid w:val="00957A9D"/>
    <w:rsid w:val="00957CB5"/>
    <w:rsid w:val="0097686B"/>
    <w:rsid w:val="00976D9A"/>
    <w:rsid w:val="00983C2C"/>
    <w:rsid w:val="009864A1"/>
    <w:rsid w:val="00992CAC"/>
    <w:rsid w:val="00995A3C"/>
    <w:rsid w:val="0099602F"/>
    <w:rsid w:val="009A2712"/>
    <w:rsid w:val="009A5FC0"/>
    <w:rsid w:val="009C62C7"/>
    <w:rsid w:val="009D57CF"/>
    <w:rsid w:val="009D6496"/>
    <w:rsid w:val="009E6EC1"/>
    <w:rsid w:val="009F0D49"/>
    <w:rsid w:val="009F5946"/>
    <w:rsid w:val="009F5BB1"/>
    <w:rsid w:val="00A00B7A"/>
    <w:rsid w:val="00A0700D"/>
    <w:rsid w:val="00A071A4"/>
    <w:rsid w:val="00A15098"/>
    <w:rsid w:val="00A247E2"/>
    <w:rsid w:val="00A27F7E"/>
    <w:rsid w:val="00A305E1"/>
    <w:rsid w:val="00A31388"/>
    <w:rsid w:val="00A34A48"/>
    <w:rsid w:val="00A35FCC"/>
    <w:rsid w:val="00A36FE3"/>
    <w:rsid w:val="00A41350"/>
    <w:rsid w:val="00A435BA"/>
    <w:rsid w:val="00A45B4F"/>
    <w:rsid w:val="00A46C46"/>
    <w:rsid w:val="00A50B42"/>
    <w:rsid w:val="00A536BE"/>
    <w:rsid w:val="00A53A03"/>
    <w:rsid w:val="00A577B0"/>
    <w:rsid w:val="00A83F13"/>
    <w:rsid w:val="00A8554D"/>
    <w:rsid w:val="00A94D8C"/>
    <w:rsid w:val="00A95B71"/>
    <w:rsid w:val="00AA05A1"/>
    <w:rsid w:val="00AA25DD"/>
    <w:rsid w:val="00AA4B21"/>
    <w:rsid w:val="00AB006A"/>
    <w:rsid w:val="00AB13B4"/>
    <w:rsid w:val="00AB437A"/>
    <w:rsid w:val="00AB6B82"/>
    <w:rsid w:val="00AC0F61"/>
    <w:rsid w:val="00AC4189"/>
    <w:rsid w:val="00AD087C"/>
    <w:rsid w:val="00AD7A41"/>
    <w:rsid w:val="00AE0076"/>
    <w:rsid w:val="00AF544A"/>
    <w:rsid w:val="00AF7A06"/>
    <w:rsid w:val="00B11854"/>
    <w:rsid w:val="00B15870"/>
    <w:rsid w:val="00B17885"/>
    <w:rsid w:val="00B379A5"/>
    <w:rsid w:val="00B43A1D"/>
    <w:rsid w:val="00B455A0"/>
    <w:rsid w:val="00B4622E"/>
    <w:rsid w:val="00B629DE"/>
    <w:rsid w:val="00B62CD5"/>
    <w:rsid w:val="00B63C96"/>
    <w:rsid w:val="00B7223F"/>
    <w:rsid w:val="00B738F2"/>
    <w:rsid w:val="00B77453"/>
    <w:rsid w:val="00B82002"/>
    <w:rsid w:val="00B91926"/>
    <w:rsid w:val="00B956DC"/>
    <w:rsid w:val="00B95E92"/>
    <w:rsid w:val="00B96432"/>
    <w:rsid w:val="00BA004D"/>
    <w:rsid w:val="00BA6205"/>
    <w:rsid w:val="00BB2517"/>
    <w:rsid w:val="00BB3AF4"/>
    <w:rsid w:val="00BB3FA3"/>
    <w:rsid w:val="00BB636A"/>
    <w:rsid w:val="00BD6049"/>
    <w:rsid w:val="00BD7CAF"/>
    <w:rsid w:val="00BE27DC"/>
    <w:rsid w:val="00BE5734"/>
    <w:rsid w:val="00BE5967"/>
    <w:rsid w:val="00BE668B"/>
    <w:rsid w:val="00C0161F"/>
    <w:rsid w:val="00C1798A"/>
    <w:rsid w:val="00C20262"/>
    <w:rsid w:val="00C37D06"/>
    <w:rsid w:val="00C41A0F"/>
    <w:rsid w:val="00C47B4D"/>
    <w:rsid w:val="00C511D6"/>
    <w:rsid w:val="00C606E9"/>
    <w:rsid w:val="00C6384F"/>
    <w:rsid w:val="00C64ED8"/>
    <w:rsid w:val="00C66344"/>
    <w:rsid w:val="00C764A6"/>
    <w:rsid w:val="00C7671A"/>
    <w:rsid w:val="00C76B83"/>
    <w:rsid w:val="00C80F7E"/>
    <w:rsid w:val="00C82291"/>
    <w:rsid w:val="00C8354F"/>
    <w:rsid w:val="00C91BD4"/>
    <w:rsid w:val="00C9504A"/>
    <w:rsid w:val="00CA595A"/>
    <w:rsid w:val="00CA7724"/>
    <w:rsid w:val="00CB64E4"/>
    <w:rsid w:val="00CB6505"/>
    <w:rsid w:val="00CC30CA"/>
    <w:rsid w:val="00CC3190"/>
    <w:rsid w:val="00CC7D09"/>
    <w:rsid w:val="00CD3DB4"/>
    <w:rsid w:val="00CD74B5"/>
    <w:rsid w:val="00CE3CD7"/>
    <w:rsid w:val="00CE584C"/>
    <w:rsid w:val="00CE58FA"/>
    <w:rsid w:val="00CE6AF2"/>
    <w:rsid w:val="00CF0F9F"/>
    <w:rsid w:val="00CF3ADD"/>
    <w:rsid w:val="00D225C8"/>
    <w:rsid w:val="00D2351D"/>
    <w:rsid w:val="00D25C0B"/>
    <w:rsid w:val="00D30D1A"/>
    <w:rsid w:val="00D33F6D"/>
    <w:rsid w:val="00D409C1"/>
    <w:rsid w:val="00D63AD3"/>
    <w:rsid w:val="00D70227"/>
    <w:rsid w:val="00D70F1D"/>
    <w:rsid w:val="00D72800"/>
    <w:rsid w:val="00D84489"/>
    <w:rsid w:val="00D877E7"/>
    <w:rsid w:val="00D90BA2"/>
    <w:rsid w:val="00D97F81"/>
    <w:rsid w:val="00DA1CB8"/>
    <w:rsid w:val="00DA64AA"/>
    <w:rsid w:val="00DA7434"/>
    <w:rsid w:val="00DB7680"/>
    <w:rsid w:val="00DC487C"/>
    <w:rsid w:val="00DD19D2"/>
    <w:rsid w:val="00DD4E2A"/>
    <w:rsid w:val="00DD6E11"/>
    <w:rsid w:val="00DE6B9E"/>
    <w:rsid w:val="00DF3708"/>
    <w:rsid w:val="00DF4661"/>
    <w:rsid w:val="00E12F8A"/>
    <w:rsid w:val="00E17025"/>
    <w:rsid w:val="00E17F1F"/>
    <w:rsid w:val="00E30681"/>
    <w:rsid w:val="00E31715"/>
    <w:rsid w:val="00E31CF6"/>
    <w:rsid w:val="00E3230D"/>
    <w:rsid w:val="00E37CF0"/>
    <w:rsid w:val="00E43A72"/>
    <w:rsid w:val="00E46E53"/>
    <w:rsid w:val="00E51123"/>
    <w:rsid w:val="00E540BA"/>
    <w:rsid w:val="00E56D4A"/>
    <w:rsid w:val="00E76487"/>
    <w:rsid w:val="00E83276"/>
    <w:rsid w:val="00E84DF1"/>
    <w:rsid w:val="00E85AD2"/>
    <w:rsid w:val="00E86CD0"/>
    <w:rsid w:val="00E9149A"/>
    <w:rsid w:val="00E91746"/>
    <w:rsid w:val="00E91EB1"/>
    <w:rsid w:val="00EA078A"/>
    <w:rsid w:val="00EA179F"/>
    <w:rsid w:val="00EA3D01"/>
    <w:rsid w:val="00EA7E98"/>
    <w:rsid w:val="00EB123E"/>
    <w:rsid w:val="00EB3A62"/>
    <w:rsid w:val="00EB7039"/>
    <w:rsid w:val="00EC42DF"/>
    <w:rsid w:val="00ED20BE"/>
    <w:rsid w:val="00EE5EE8"/>
    <w:rsid w:val="00EE6966"/>
    <w:rsid w:val="00EF14C6"/>
    <w:rsid w:val="00EF20F1"/>
    <w:rsid w:val="00F10AA0"/>
    <w:rsid w:val="00F22328"/>
    <w:rsid w:val="00F3769F"/>
    <w:rsid w:val="00F419F8"/>
    <w:rsid w:val="00F4550F"/>
    <w:rsid w:val="00F523DB"/>
    <w:rsid w:val="00F5499A"/>
    <w:rsid w:val="00F60BDC"/>
    <w:rsid w:val="00F7175D"/>
    <w:rsid w:val="00F819F8"/>
    <w:rsid w:val="00F82483"/>
    <w:rsid w:val="00F9016D"/>
    <w:rsid w:val="00F97583"/>
    <w:rsid w:val="00F97C27"/>
    <w:rsid w:val="00FA7754"/>
    <w:rsid w:val="00FB38B5"/>
    <w:rsid w:val="00FB7FA5"/>
    <w:rsid w:val="00FC3342"/>
    <w:rsid w:val="00FC5D44"/>
    <w:rsid w:val="00FC6558"/>
    <w:rsid w:val="00FC7E69"/>
    <w:rsid w:val="00FD07F0"/>
    <w:rsid w:val="00FD10F1"/>
    <w:rsid w:val="00FD202C"/>
    <w:rsid w:val="00FD5161"/>
    <w:rsid w:val="00FD7321"/>
    <w:rsid w:val="00FE0FE4"/>
    <w:rsid w:val="00FE7FFE"/>
    <w:rsid w:val="00FF77BB"/>
    <w:rsid w:val="39FA0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qFormat/>
    <w:uiPriority w:val="0"/>
    <w:pPr>
      <w:jc w:val="left"/>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0"/>
    <w:pPr>
      <w:tabs>
        <w:tab w:val="right" w:leader="dot" w:pos="14760"/>
      </w:tabs>
      <w:spacing w:line="700" w:lineRule="exact"/>
      <w:ind w:left="359" w:leftChars="171" w:right="332" w:rightChars="158"/>
    </w:pPr>
  </w:style>
  <w:style w:type="paragraph" w:styleId="8">
    <w:name w:val="annotation subject"/>
    <w:basedOn w:val="3"/>
    <w:next w:val="3"/>
    <w:semiHidden/>
    <w:qFormat/>
    <w:uiPriority w:val="0"/>
    <w:rPr>
      <w:b/>
      <w:bCs/>
    </w:rPr>
  </w:style>
  <w:style w:type="table" w:styleId="10">
    <w:name w:val="Table Grid"/>
    <w:basedOn w:val="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Hyperlink"/>
    <w:basedOn w:val="11"/>
    <w:uiPriority w:val="0"/>
    <w:rPr>
      <w:color w:val="0000FF"/>
      <w:u w:val="single"/>
    </w:rPr>
  </w:style>
  <w:style w:type="character" w:styleId="14">
    <w:name w:val="annotation reference"/>
    <w:basedOn w:val="11"/>
    <w:semiHidden/>
    <w:qFormat/>
    <w:uiPriority w:val="0"/>
    <w:rPr>
      <w:sz w:val="21"/>
      <w:szCs w:val="21"/>
    </w:rPr>
  </w:style>
  <w:style w:type="paragraph" w:styleId="15">
    <w:name w:val="List Paragraph"/>
    <w:basedOn w:val="1"/>
    <w:qFormat/>
    <w:uiPriority w:val="0"/>
    <w:pPr>
      <w:ind w:firstLine="420" w:firstLineChars="200"/>
    </w:pPr>
    <w:rPr>
      <w:rFonts w:ascii="等线" w:hAnsi="等线" w:eastAsia="等线"/>
    </w:rPr>
  </w:style>
  <w:style w:type="paragraph" w:customStyle="1" w:styleId="16">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9</Pages>
  <Words>690</Words>
  <Characters>3936</Characters>
  <Lines>32</Lines>
  <Paragraphs>9</Paragraphs>
  <TotalTime>121</TotalTime>
  <ScaleCrop>false</ScaleCrop>
  <LinksUpToDate>false</LinksUpToDate>
  <CharactersWithSpaces>4617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2020-10-12T03:09:00Z</dcterms:created>
  <dc:creator>USER</dc:creator>
  <cp:lastModifiedBy>中杰者</cp:lastModifiedBy>
  <cp:lastPrinted>2019-12-13T01:49:00Z</cp:lastPrinted>
  <dcterms:modified xsi:type="dcterms:W3CDTF">2020-12-16T02:45:37Z</dcterms:modified>
  <dc:title>扶贫领域基层政务公开标准目录</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