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ascii="微软雅黑" w:hAnsi="微软雅黑" w:eastAsia="微软雅黑" w:cs="宋体"/>
          <w:b/>
          <w:bCs/>
          <w:color w:val="525353"/>
          <w:kern w:val="36"/>
          <w:sz w:val="42"/>
          <w:szCs w:val="42"/>
        </w:rPr>
      </w:pPr>
      <w:r>
        <w:rPr>
          <w:rFonts w:hint="eastAsia" w:ascii="微软雅黑" w:hAnsi="微软雅黑" w:eastAsia="微软雅黑" w:cs="宋体"/>
          <w:b/>
          <w:bCs/>
          <w:color w:val="525353"/>
          <w:kern w:val="36"/>
          <w:sz w:val="42"/>
          <w:szCs w:val="42"/>
        </w:rPr>
        <w:t>高新区救灾生产领域基层政务公开标准目录</w:t>
      </w:r>
      <w:bookmarkStart w:id="0" w:name="_GoBack"/>
      <w:bookmarkEnd w:id="0"/>
    </w:p>
    <w:tbl>
      <w:tblPr>
        <w:tblStyle w:val="2"/>
        <w:tblW w:w="5000" w:type="pct"/>
        <w:tblInd w:w="0" w:type="dxa"/>
        <w:tblLayout w:type="autofit"/>
        <w:tblCellMar>
          <w:top w:w="15" w:type="dxa"/>
          <w:left w:w="15" w:type="dxa"/>
          <w:bottom w:w="15" w:type="dxa"/>
          <w:right w:w="15" w:type="dxa"/>
        </w:tblCellMar>
      </w:tblPr>
      <w:tblGrid>
        <w:gridCol w:w="474"/>
        <w:gridCol w:w="776"/>
        <w:gridCol w:w="931"/>
        <w:gridCol w:w="2812"/>
        <w:gridCol w:w="1693"/>
        <w:gridCol w:w="1861"/>
        <w:gridCol w:w="944"/>
        <w:gridCol w:w="1293"/>
        <w:gridCol w:w="474"/>
        <w:gridCol w:w="620"/>
        <w:gridCol w:w="474"/>
        <w:gridCol w:w="620"/>
        <w:gridCol w:w="474"/>
        <w:gridCol w:w="722"/>
      </w:tblGrid>
      <w:tr>
        <w:tblPrEx>
          <w:tblCellMar>
            <w:top w:w="15" w:type="dxa"/>
            <w:left w:w="15" w:type="dxa"/>
            <w:bottom w:w="15" w:type="dxa"/>
            <w:right w:w="15" w:type="dxa"/>
          </w:tblCellMar>
        </w:tblPrEx>
        <w:trPr>
          <w:trHeight w:val="420" w:hRule="atLeast"/>
        </w:trPr>
        <w:tc>
          <w:tcPr>
            <w:tcW w:w="474"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黑体" w:hAnsi="黑体" w:eastAsia="黑体" w:cs="宋体"/>
                <w:kern w:val="0"/>
                <w:sz w:val="23"/>
                <w:szCs w:val="23"/>
              </w:rPr>
              <w:t>序号</w:t>
            </w:r>
          </w:p>
        </w:tc>
        <w:tc>
          <w:tcPr>
            <w:tcW w:w="1707" w:type="dxa"/>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黑体" w:hAnsi="黑体" w:eastAsia="黑体" w:cs="宋体"/>
                <w:kern w:val="0"/>
                <w:sz w:val="23"/>
                <w:szCs w:val="23"/>
              </w:rPr>
              <w:t>公开事项</w:t>
            </w:r>
          </w:p>
        </w:tc>
        <w:tc>
          <w:tcPr>
            <w:tcW w:w="2812" w:type="dxa"/>
            <w:vMerge w:val="restar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黑体" w:hAnsi="黑体" w:eastAsia="黑体" w:cs="宋体"/>
                <w:kern w:val="0"/>
                <w:sz w:val="23"/>
                <w:szCs w:val="23"/>
              </w:rPr>
              <w:t>公开内容（要素）</w:t>
            </w:r>
          </w:p>
        </w:tc>
        <w:tc>
          <w:tcPr>
            <w:tcW w:w="1693" w:type="dxa"/>
            <w:vMerge w:val="restar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黑体" w:hAnsi="黑体" w:eastAsia="黑体" w:cs="宋体"/>
                <w:kern w:val="0"/>
                <w:sz w:val="23"/>
                <w:szCs w:val="23"/>
              </w:rPr>
              <w:t>公开依据</w:t>
            </w:r>
          </w:p>
        </w:tc>
        <w:tc>
          <w:tcPr>
            <w:tcW w:w="1861" w:type="dxa"/>
            <w:vMerge w:val="restar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黑体" w:hAnsi="黑体" w:eastAsia="黑体" w:cs="宋体"/>
                <w:kern w:val="0"/>
                <w:sz w:val="23"/>
                <w:szCs w:val="23"/>
              </w:rPr>
              <w:t>公开时限</w:t>
            </w:r>
          </w:p>
        </w:tc>
        <w:tc>
          <w:tcPr>
            <w:tcW w:w="944" w:type="dxa"/>
            <w:vMerge w:val="restar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黑体" w:hAnsi="黑体" w:eastAsia="黑体" w:cs="宋体"/>
                <w:kern w:val="0"/>
                <w:sz w:val="23"/>
                <w:szCs w:val="23"/>
              </w:rPr>
              <w:t>公开主体</w:t>
            </w:r>
          </w:p>
        </w:tc>
        <w:tc>
          <w:tcPr>
            <w:tcW w:w="1293" w:type="dxa"/>
            <w:vMerge w:val="restart"/>
            <w:tcBorders>
              <w:top w:val="single" w:color="auto" w:sz="6" w:space="0"/>
              <w:left w:val="nil"/>
              <w:bottom w:val="single" w:color="auto" w:sz="6" w:space="0"/>
              <w:right w:val="single" w:color="auto" w:sz="4"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黑体" w:hAnsi="黑体" w:eastAsia="黑体" w:cs="宋体"/>
                <w:kern w:val="0"/>
                <w:sz w:val="23"/>
                <w:szCs w:val="23"/>
              </w:rPr>
              <w:t>公开渠道和载体</w:t>
            </w:r>
          </w:p>
        </w:tc>
        <w:tc>
          <w:tcPr>
            <w:tcW w:w="1094"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黑体" w:hAnsi="黑体" w:eastAsia="黑体" w:cs="宋体"/>
                <w:kern w:val="0"/>
                <w:sz w:val="23"/>
                <w:szCs w:val="23"/>
              </w:rPr>
              <w:t>公开对象</w:t>
            </w:r>
          </w:p>
        </w:tc>
        <w:tc>
          <w:tcPr>
            <w:tcW w:w="1094" w:type="dxa"/>
            <w:gridSpan w:val="2"/>
            <w:tcBorders>
              <w:top w:val="single" w:color="auto" w:sz="6" w:space="0"/>
              <w:left w:val="single" w:color="auto" w:sz="4" w:space="0"/>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黑体" w:hAnsi="黑体" w:eastAsia="黑体" w:cs="宋体"/>
                <w:kern w:val="0"/>
                <w:sz w:val="23"/>
                <w:szCs w:val="23"/>
              </w:rPr>
              <w:t>公开方式</w:t>
            </w:r>
          </w:p>
        </w:tc>
        <w:tc>
          <w:tcPr>
            <w:tcW w:w="1196" w:type="dxa"/>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黑体" w:hAnsi="黑体" w:eastAsia="黑体" w:cs="宋体"/>
                <w:kern w:val="0"/>
                <w:sz w:val="23"/>
                <w:szCs w:val="23"/>
              </w:rPr>
              <w:t>公开层级</w:t>
            </w:r>
          </w:p>
        </w:tc>
      </w:tr>
      <w:tr>
        <w:tblPrEx>
          <w:tblCellMar>
            <w:top w:w="15" w:type="dxa"/>
            <w:left w:w="15" w:type="dxa"/>
            <w:bottom w:w="15" w:type="dxa"/>
            <w:right w:w="15" w:type="dxa"/>
          </w:tblCellMar>
        </w:tblPrEx>
        <w:trPr>
          <w:trHeight w:val="1125" w:hRule="atLeast"/>
        </w:trPr>
        <w:tc>
          <w:tcPr>
            <w:tcW w:w="0" w:type="auto"/>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微软雅黑" w:hAnsi="微软雅黑" w:eastAsia="微软雅黑" w:cs="宋体"/>
                <w:kern w:val="0"/>
                <w:sz w:val="24"/>
                <w:szCs w:val="24"/>
              </w:rPr>
            </w:pPr>
          </w:p>
        </w:tc>
        <w:tc>
          <w:tcPr>
            <w:tcW w:w="776" w:type="dxa"/>
            <w:tcBorders>
              <w:top w:val="nil"/>
              <w:left w:val="nil"/>
              <w:bottom w:val="single" w:color="auto" w:sz="4" w:space="0"/>
              <w:right w:val="single" w:color="auto" w:sz="6"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黑体" w:hAnsi="黑体" w:eastAsia="黑体" w:cs="宋体"/>
                <w:kern w:val="0"/>
                <w:sz w:val="23"/>
                <w:szCs w:val="23"/>
              </w:rPr>
              <w:t>一级事项</w:t>
            </w:r>
          </w:p>
        </w:tc>
        <w:tc>
          <w:tcPr>
            <w:tcW w:w="931" w:type="dxa"/>
            <w:tcBorders>
              <w:top w:val="nil"/>
              <w:left w:val="nil"/>
              <w:bottom w:val="single" w:color="auto" w:sz="4" w:space="0"/>
              <w:right w:val="single" w:color="auto" w:sz="6"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黑体" w:hAnsi="黑体" w:eastAsia="黑体" w:cs="宋体"/>
                <w:kern w:val="0"/>
                <w:sz w:val="23"/>
                <w:szCs w:val="23"/>
              </w:rPr>
              <w:t>二级事项</w:t>
            </w:r>
          </w:p>
        </w:tc>
        <w:tc>
          <w:tcPr>
            <w:tcW w:w="0" w:type="auto"/>
            <w:vMerge w:val="continue"/>
            <w:tcBorders>
              <w:top w:val="single" w:color="auto" w:sz="6" w:space="0"/>
              <w:left w:val="nil"/>
              <w:bottom w:val="single" w:color="auto" w:sz="4" w:space="0"/>
              <w:right w:val="single" w:color="auto" w:sz="6" w:space="0"/>
            </w:tcBorders>
            <w:vAlign w:val="center"/>
          </w:tcPr>
          <w:p>
            <w:pPr>
              <w:widowControl/>
              <w:jc w:val="left"/>
              <w:rPr>
                <w:rFonts w:ascii="微软雅黑" w:hAnsi="微软雅黑" w:eastAsia="微软雅黑" w:cs="宋体"/>
                <w:kern w:val="0"/>
                <w:sz w:val="24"/>
                <w:szCs w:val="24"/>
              </w:rPr>
            </w:pPr>
          </w:p>
        </w:tc>
        <w:tc>
          <w:tcPr>
            <w:tcW w:w="0" w:type="auto"/>
            <w:vMerge w:val="continue"/>
            <w:tcBorders>
              <w:top w:val="single" w:color="auto" w:sz="6" w:space="0"/>
              <w:left w:val="nil"/>
              <w:bottom w:val="single" w:color="auto" w:sz="4" w:space="0"/>
              <w:right w:val="single" w:color="auto" w:sz="6" w:space="0"/>
            </w:tcBorders>
            <w:vAlign w:val="center"/>
          </w:tcPr>
          <w:p>
            <w:pPr>
              <w:widowControl/>
              <w:jc w:val="left"/>
              <w:rPr>
                <w:rFonts w:ascii="微软雅黑" w:hAnsi="微软雅黑" w:eastAsia="微软雅黑" w:cs="宋体"/>
                <w:kern w:val="0"/>
                <w:sz w:val="24"/>
                <w:szCs w:val="24"/>
              </w:rPr>
            </w:pPr>
          </w:p>
        </w:tc>
        <w:tc>
          <w:tcPr>
            <w:tcW w:w="0" w:type="auto"/>
            <w:vMerge w:val="continue"/>
            <w:tcBorders>
              <w:top w:val="single" w:color="auto" w:sz="6" w:space="0"/>
              <w:left w:val="nil"/>
              <w:bottom w:val="single" w:color="auto" w:sz="4" w:space="0"/>
              <w:right w:val="single" w:color="auto" w:sz="6" w:space="0"/>
            </w:tcBorders>
            <w:vAlign w:val="center"/>
          </w:tcPr>
          <w:p>
            <w:pPr>
              <w:widowControl/>
              <w:jc w:val="left"/>
              <w:rPr>
                <w:rFonts w:ascii="微软雅黑" w:hAnsi="微软雅黑" w:eastAsia="微软雅黑" w:cs="宋体"/>
                <w:kern w:val="0"/>
                <w:sz w:val="24"/>
                <w:szCs w:val="24"/>
              </w:rPr>
            </w:pPr>
          </w:p>
        </w:tc>
        <w:tc>
          <w:tcPr>
            <w:tcW w:w="0" w:type="auto"/>
            <w:vMerge w:val="continue"/>
            <w:tcBorders>
              <w:top w:val="single" w:color="auto" w:sz="6" w:space="0"/>
              <w:left w:val="nil"/>
              <w:bottom w:val="single" w:color="auto" w:sz="4" w:space="0"/>
              <w:right w:val="single" w:color="auto" w:sz="6" w:space="0"/>
            </w:tcBorders>
            <w:vAlign w:val="center"/>
          </w:tcPr>
          <w:p>
            <w:pPr>
              <w:widowControl/>
              <w:jc w:val="left"/>
              <w:rPr>
                <w:rFonts w:ascii="微软雅黑" w:hAnsi="微软雅黑" w:eastAsia="微软雅黑" w:cs="宋体"/>
                <w:kern w:val="0"/>
                <w:sz w:val="24"/>
                <w:szCs w:val="24"/>
              </w:rPr>
            </w:pPr>
          </w:p>
        </w:tc>
        <w:tc>
          <w:tcPr>
            <w:tcW w:w="0" w:type="auto"/>
            <w:vMerge w:val="continue"/>
            <w:tcBorders>
              <w:top w:val="single" w:color="auto" w:sz="6" w:space="0"/>
              <w:left w:val="nil"/>
              <w:bottom w:val="single" w:color="auto" w:sz="4" w:space="0"/>
              <w:right w:val="single" w:color="auto" w:sz="4" w:space="0"/>
            </w:tcBorders>
            <w:vAlign w:val="center"/>
          </w:tcPr>
          <w:p>
            <w:pPr>
              <w:widowControl/>
              <w:jc w:val="left"/>
              <w:rPr>
                <w:rFonts w:ascii="微软雅黑" w:hAnsi="微软雅黑" w:eastAsia="微软雅黑" w:cs="宋体"/>
                <w:kern w:val="0"/>
                <w:sz w:val="24"/>
                <w:szCs w:val="24"/>
              </w:rPr>
            </w:pPr>
          </w:p>
        </w:tc>
        <w:tc>
          <w:tcPr>
            <w:tcW w:w="47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黑体" w:hAnsi="黑体" w:eastAsia="黑体" w:cs="宋体"/>
                <w:kern w:val="0"/>
                <w:sz w:val="23"/>
                <w:szCs w:val="23"/>
              </w:rPr>
              <w:t>全社会</w:t>
            </w:r>
          </w:p>
        </w:tc>
        <w:tc>
          <w:tcPr>
            <w:tcW w:w="6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黑体" w:hAnsi="黑体" w:eastAsia="黑体" w:cs="宋体"/>
                <w:kern w:val="0"/>
                <w:sz w:val="23"/>
                <w:szCs w:val="23"/>
              </w:rPr>
              <w:t>特定群众</w:t>
            </w:r>
          </w:p>
        </w:tc>
        <w:tc>
          <w:tcPr>
            <w:tcW w:w="474" w:type="dxa"/>
            <w:tcBorders>
              <w:top w:val="nil"/>
              <w:left w:val="single" w:color="auto" w:sz="4" w:space="0"/>
              <w:bottom w:val="single" w:color="auto" w:sz="4" w:space="0"/>
              <w:right w:val="single" w:color="auto" w:sz="6"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黑体" w:hAnsi="黑体" w:eastAsia="黑体" w:cs="宋体"/>
                <w:kern w:val="0"/>
                <w:sz w:val="23"/>
                <w:szCs w:val="23"/>
              </w:rPr>
              <w:t>主动</w:t>
            </w:r>
          </w:p>
        </w:tc>
        <w:tc>
          <w:tcPr>
            <w:tcW w:w="620" w:type="dxa"/>
            <w:tcBorders>
              <w:top w:val="nil"/>
              <w:left w:val="nil"/>
              <w:bottom w:val="single" w:color="auto" w:sz="4" w:space="0"/>
              <w:right w:val="single" w:color="auto" w:sz="6"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黑体" w:hAnsi="黑体" w:eastAsia="黑体" w:cs="宋体"/>
                <w:kern w:val="0"/>
                <w:sz w:val="23"/>
                <w:szCs w:val="23"/>
              </w:rPr>
              <w:t>依申请公开</w:t>
            </w:r>
          </w:p>
        </w:tc>
        <w:tc>
          <w:tcPr>
            <w:tcW w:w="474" w:type="dxa"/>
            <w:tcBorders>
              <w:top w:val="nil"/>
              <w:left w:val="nil"/>
              <w:bottom w:val="single" w:color="auto" w:sz="4" w:space="0"/>
              <w:right w:val="single" w:color="auto" w:sz="6"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黑体" w:hAnsi="黑体" w:eastAsia="黑体" w:cs="宋体"/>
                <w:kern w:val="0"/>
                <w:sz w:val="23"/>
                <w:szCs w:val="23"/>
              </w:rPr>
              <w:t>县级</w:t>
            </w:r>
          </w:p>
        </w:tc>
        <w:tc>
          <w:tcPr>
            <w:tcW w:w="722" w:type="dxa"/>
            <w:tcBorders>
              <w:top w:val="nil"/>
              <w:left w:val="nil"/>
              <w:bottom w:val="single" w:color="auto" w:sz="4" w:space="0"/>
              <w:right w:val="single" w:color="auto" w:sz="6"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黑体" w:hAnsi="黑体" w:eastAsia="黑体" w:cs="宋体"/>
                <w:kern w:val="0"/>
                <w:sz w:val="23"/>
                <w:szCs w:val="23"/>
              </w:rPr>
              <w:t>乡、村级</w:t>
            </w:r>
          </w:p>
        </w:tc>
      </w:tr>
      <w:tr>
        <w:tblPrEx>
          <w:tblCellMar>
            <w:top w:w="15" w:type="dxa"/>
            <w:left w:w="15" w:type="dxa"/>
            <w:bottom w:w="15" w:type="dxa"/>
            <w:right w:w="15" w:type="dxa"/>
          </w:tblCellMar>
        </w:tblPrEx>
        <w:trPr>
          <w:trHeight w:val="2544" w:hRule="atLeast"/>
        </w:trPr>
        <w:tc>
          <w:tcPr>
            <w:tcW w:w="474" w:type="dxa"/>
            <w:tcBorders>
              <w:top w:val="single" w:color="auto" w:sz="4" w:space="0"/>
              <w:left w:val="single" w:color="auto" w:sz="6" w:space="0"/>
              <w:bottom w:val="single" w:color="auto" w:sz="4" w:space="0"/>
              <w:right w:val="single" w:color="auto" w:sz="6"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仿宋_GB2312" w:hAnsi="微软雅黑" w:eastAsia="仿宋_GB2312" w:cs="宋体"/>
                <w:kern w:val="0"/>
                <w:sz w:val="18"/>
                <w:szCs w:val="18"/>
              </w:rPr>
              <w:t>1</w:t>
            </w:r>
          </w:p>
        </w:tc>
        <w:tc>
          <w:tcPr>
            <w:tcW w:w="776" w:type="dxa"/>
            <w:tcBorders>
              <w:top w:val="single" w:color="auto" w:sz="4" w:space="0"/>
              <w:left w:val="nil"/>
              <w:bottom w:val="single" w:color="auto" w:sz="4" w:space="0"/>
              <w:right w:val="single" w:color="auto" w:sz="6"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仿宋_GB2312" w:hAnsi="微软雅黑" w:eastAsia="仿宋_GB2312" w:cs="宋体"/>
                <w:kern w:val="0"/>
                <w:sz w:val="18"/>
                <w:szCs w:val="18"/>
              </w:rPr>
              <w:t>政策</w:t>
            </w:r>
          </w:p>
          <w:p>
            <w:pPr>
              <w:widowControl/>
              <w:wordWrap w:val="0"/>
              <w:spacing w:before="450" w:after="450"/>
              <w:jc w:val="center"/>
              <w:rPr>
                <w:rFonts w:ascii="微软雅黑" w:hAnsi="微软雅黑" w:eastAsia="微软雅黑" w:cs="宋体"/>
                <w:kern w:val="0"/>
                <w:sz w:val="24"/>
                <w:szCs w:val="24"/>
              </w:rPr>
            </w:pPr>
            <w:r>
              <w:rPr>
                <w:rFonts w:hint="eastAsia" w:ascii="仿宋_GB2312" w:hAnsi="微软雅黑" w:eastAsia="仿宋_GB2312" w:cs="宋体"/>
                <w:kern w:val="0"/>
                <w:sz w:val="18"/>
                <w:szCs w:val="18"/>
              </w:rPr>
              <w:t>文件</w:t>
            </w:r>
          </w:p>
        </w:tc>
        <w:tc>
          <w:tcPr>
            <w:tcW w:w="931" w:type="dxa"/>
            <w:tcBorders>
              <w:top w:val="single" w:color="auto" w:sz="4" w:space="0"/>
              <w:left w:val="nil"/>
              <w:bottom w:val="single" w:color="auto" w:sz="4"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法律法规</w:t>
            </w:r>
          </w:p>
        </w:tc>
        <w:tc>
          <w:tcPr>
            <w:tcW w:w="2812" w:type="dxa"/>
            <w:tcBorders>
              <w:top w:val="single" w:color="auto" w:sz="4" w:space="0"/>
              <w:left w:val="nil"/>
              <w:bottom w:val="single" w:color="auto" w:sz="4"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与救灾有关的法律、法规</w:t>
            </w:r>
          </w:p>
        </w:tc>
        <w:tc>
          <w:tcPr>
            <w:tcW w:w="1693" w:type="dxa"/>
            <w:tcBorders>
              <w:top w:val="single" w:color="auto" w:sz="4" w:space="0"/>
              <w:left w:val="nil"/>
              <w:bottom w:val="single" w:color="auto" w:sz="4"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《政府信息公开条例》</w:t>
            </w:r>
          </w:p>
        </w:tc>
        <w:tc>
          <w:tcPr>
            <w:tcW w:w="1861" w:type="dxa"/>
            <w:tcBorders>
              <w:top w:val="single" w:color="auto" w:sz="4" w:space="0"/>
              <w:left w:val="nil"/>
              <w:bottom w:val="single" w:color="auto" w:sz="4"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信息形成或变更之日起20个工作日内</w:t>
            </w:r>
          </w:p>
        </w:tc>
        <w:tc>
          <w:tcPr>
            <w:tcW w:w="944" w:type="dxa"/>
            <w:tcBorders>
              <w:top w:val="single" w:color="auto" w:sz="4" w:space="0"/>
              <w:left w:val="nil"/>
              <w:bottom w:val="single" w:color="auto" w:sz="4"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高新区管委会</w:t>
            </w:r>
          </w:p>
        </w:tc>
        <w:tc>
          <w:tcPr>
            <w:tcW w:w="1293" w:type="dxa"/>
            <w:tcBorders>
              <w:top w:val="single" w:color="auto" w:sz="4" w:space="0"/>
              <w:left w:val="nil"/>
              <w:bottom w:val="single" w:color="auto" w:sz="4" w:space="0"/>
              <w:right w:val="single" w:color="auto" w:sz="6" w:space="0"/>
            </w:tcBorders>
            <w:tcMar>
              <w:top w:w="0" w:type="dxa"/>
              <w:left w:w="105" w:type="dxa"/>
              <w:bottom w:w="0" w:type="dxa"/>
              <w:right w:w="105" w:type="dxa"/>
            </w:tcMar>
            <w:vAlign w:val="center"/>
          </w:tcPr>
          <w:p>
            <w:pPr>
              <w:widowControl/>
              <w:wordWrap w:val="0"/>
              <w:spacing w:before="450" w:after="450" w:line="240" w:lineRule="atLeast"/>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■政府网站■两微一端■公开查阅点 ■政务服务中心</w:t>
            </w:r>
          </w:p>
        </w:tc>
        <w:tc>
          <w:tcPr>
            <w:tcW w:w="474" w:type="dxa"/>
            <w:tcBorders>
              <w:top w:val="single" w:color="auto" w:sz="4" w:space="0"/>
              <w:left w:val="nil"/>
              <w:bottom w:val="single" w:color="auto" w:sz="4"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620" w:type="dxa"/>
            <w:tcBorders>
              <w:top w:val="single" w:color="auto" w:sz="4" w:space="0"/>
              <w:left w:val="nil"/>
              <w:bottom w:val="single" w:color="auto" w:sz="4" w:space="0"/>
              <w:right w:val="single" w:color="auto" w:sz="6" w:space="0"/>
            </w:tcBorders>
            <w:tcMar>
              <w:top w:w="0" w:type="dxa"/>
              <w:left w:w="105" w:type="dxa"/>
              <w:bottom w:w="0" w:type="dxa"/>
              <w:right w:w="105" w:type="dxa"/>
            </w:tcMar>
            <w:vAlign w:val="center"/>
          </w:tcPr>
          <w:p>
            <w:pPr>
              <w:widowControl/>
              <w:wordWrap w:val="0"/>
              <w:jc w:val="left"/>
              <w:rPr>
                <w:rFonts w:ascii="微软雅黑" w:hAnsi="微软雅黑" w:eastAsia="微软雅黑" w:cs="宋体"/>
                <w:kern w:val="0"/>
                <w:sz w:val="24"/>
                <w:szCs w:val="24"/>
              </w:rPr>
            </w:pPr>
          </w:p>
        </w:tc>
        <w:tc>
          <w:tcPr>
            <w:tcW w:w="474" w:type="dxa"/>
            <w:tcBorders>
              <w:top w:val="single" w:color="auto" w:sz="4" w:space="0"/>
              <w:left w:val="nil"/>
              <w:bottom w:val="single" w:color="auto" w:sz="4"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620" w:type="dxa"/>
            <w:tcBorders>
              <w:top w:val="single" w:color="auto" w:sz="4" w:space="0"/>
              <w:left w:val="nil"/>
              <w:bottom w:val="single" w:color="auto" w:sz="4" w:space="0"/>
              <w:right w:val="single" w:color="auto" w:sz="6" w:space="0"/>
            </w:tcBorders>
            <w:tcMar>
              <w:top w:w="0" w:type="dxa"/>
              <w:left w:w="105" w:type="dxa"/>
              <w:bottom w:w="0" w:type="dxa"/>
              <w:right w:w="105" w:type="dxa"/>
            </w:tcMar>
            <w:vAlign w:val="center"/>
          </w:tcPr>
          <w:p>
            <w:pPr>
              <w:widowControl/>
              <w:wordWrap w:val="0"/>
              <w:jc w:val="left"/>
              <w:rPr>
                <w:rFonts w:ascii="微软雅黑" w:hAnsi="微软雅黑" w:eastAsia="微软雅黑" w:cs="宋体"/>
                <w:kern w:val="0"/>
                <w:sz w:val="24"/>
                <w:szCs w:val="24"/>
              </w:rPr>
            </w:pPr>
          </w:p>
        </w:tc>
        <w:tc>
          <w:tcPr>
            <w:tcW w:w="474" w:type="dxa"/>
            <w:tcBorders>
              <w:top w:val="single" w:color="auto" w:sz="4" w:space="0"/>
              <w:left w:val="nil"/>
              <w:bottom w:val="single" w:color="auto" w:sz="4"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722" w:type="dxa"/>
            <w:tcBorders>
              <w:top w:val="single" w:color="auto" w:sz="4" w:space="0"/>
              <w:left w:val="nil"/>
              <w:bottom w:val="single" w:color="auto" w:sz="4"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r>
      <w:tr>
        <w:tblPrEx>
          <w:tblCellMar>
            <w:top w:w="15" w:type="dxa"/>
            <w:left w:w="15" w:type="dxa"/>
            <w:bottom w:w="15" w:type="dxa"/>
            <w:right w:w="15" w:type="dxa"/>
          </w:tblCellMar>
        </w:tblPrEx>
        <w:trPr>
          <w:trHeight w:val="945" w:hRule="atLeast"/>
        </w:trPr>
        <w:tc>
          <w:tcPr>
            <w:tcW w:w="474"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仿宋_GB2312" w:hAnsi="微软雅黑" w:eastAsia="仿宋_GB2312" w:cs="宋体"/>
                <w:kern w:val="0"/>
                <w:sz w:val="18"/>
                <w:szCs w:val="18"/>
              </w:rPr>
              <w:t>2</w:t>
            </w:r>
          </w:p>
        </w:tc>
        <w:tc>
          <w:tcPr>
            <w:tcW w:w="0" w:type="auto"/>
            <w:vMerge w:val="restart"/>
            <w:tcBorders>
              <w:top w:val="single" w:color="auto" w:sz="4" w:space="0"/>
              <w:left w:val="nil"/>
              <w:bottom w:val="nil"/>
              <w:right w:val="single" w:color="auto" w:sz="6" w:space="0"/>
            </w:tcBorders>
            <w:vAlign w:val="center"/>
          </w:tcPr>
          <w:p>
            <w:pPr>
              <w:wordWrap w:val="0"/>
              <w:spacing w:before="450" w:after="450"/>
              <w:jc w:val="center"/>
              <w:rPr>
                <w:rFonts w:ascii="微软雅黑" w:hAnsi="微软雅黑" w:eastAsia="微软雅黑" w:cs="宋体"/>
                <w:kern w:val="0"/>
                <w:sz w:val="24"/>
                <w:szCs w:val="24"/>
              </w:rPr>
            </w:pPr>
          </w:p>
        </w:tc>
        <w:tc>
          <w:tcPr>
            <w:tcW w:w="931" w:type="dxa"/>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部门和地方规章</w:t>
            </w:r>
          </w:p>
        </w:tc>
        <w:tc>
          <w:tcPr>
            <w:tcW w:w="2812" w:type="dxa"/>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与救灾有关的部门和地方规章、规范性文件</w:t>
            </w:r>
          </w:p>
        </w:tc>
        <w:tc>
          <w:tcPr>
            <w:tcW w:w="1693" w:type="dxa"/>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《政府信息公开条例》</w:t>
            </w:r>
          </w:p>
        </w:tc>
        <w:tc>
          <w:tcPr>
            <w:tcW w:w="1861" w:type="dxa"/>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信息形成或变更之日起20个工作日内</w:t>
            </w:r>
          </w:p>
        </w:tc>
        <w:tc>
          <w:tcPr>
            <w:tcW w:w="944" w:type="dxa"/>
            <w:tcBorders>
              <w:top w:val="single" w:color="auto" w:sz="4" w:space="0"/>
              <w:left w:val="nil"/>
              <w:bottom w:val="single" w:color="auto" w:sz="6" w:space="0"/>
              <w:right w:val="single" w:color="auto" w:sz="6" w:space="0"/>
            </w:tcBorders>
            <w:tcMar>
              <w:top w:w="0" w:type="dxa"/>
              <w:left w:w="105" w:type="dxa"/>
              <w:bottom w:w="0" w:type="dxa"/>
              <w:right w:w="105" w:type="dxa"/>
            </w:tcMar>
          </w:tcPr>
          <w:p>
            <w:pPr>
              <w:rPr>
                <w:rFonts w:hint="eastAsia" w:ascii="仿宋_GB2312" w:hAnsi="微软雅黑" w:eastAsia="仿宋_GB2312" w:cs="宋体"/>
                <w:kern w:val="0"/>
                <w:sz w:val="18"/>
                <w:szCs w:val="18"/>
              </w:rPr>
            </w:pPr>
          </w:p>
          <w:p>
            <w:pPr>
              <w:rPr>
                <w:rFonts w:hint="eastAsia" w:ascii="仿宋_GB2312" w:hAnsi="微软雅黑" w:eastAsia="仿宋_GB2312" w:cs="宋体"/>
                <w:kern w:val="0"/>
                <w:sz w:val="18"/>
                <w:szCs w:val="18"/>
              </w:rPr>
            </w:pPr>
          </w:p>
          <w:p>
            <w:pPr>
              <w:rPr>
                <w:rFonts w:hint="eastAsia" w:ascii="仿宋_GB2312" w:hAnsi="微软雅黑" w:eastAsia="仿宋_GB2312" w:cs="宋体"/>
                <w:kern w:val="0"/>
                <w:sz w:val="18"/>
                <w:szCs w:val="18"/>
              </w:rPr>
            </w:pPr>
          </w:p>
          <w:p>
            <w:r>
              <w:rPr>
                <w:rFonts w:hint="eastAsia" w:ascii="仿宋_GB2312" w:hAnsi="微软雅黑" w:eastAsia="仿宋_GB2312" w:cs="宋体"/>
                <w:kern w:val="0"/>
                <w:sz w:val="18"/>
                <w:szCs w:val="18"/>
              </w:rPr>
              <w:t>高新区管委会</w:t>
            </w:r>
          </w:p>
        </w:tc>
        <w:tc>
          <w:tcPr>
            <w:tcW w:w="1293" w:type="dxa"/>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line="240" w:lineRule="atLeast"/>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■政府网站■两微一端■公开查阅点 ■政务服务中心</w:t>
            </w:r>
          </w:p>
        </w:tc>
        <w:tc>
          <w:tcPr>
            <w:tcW w:w="474" w:type="dxa"/>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620" w:type="dxa"/>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微软雅黑" w:hAnsi="微软雅黑" w:eastAsia="微软雅黑" w:cs="宋体"/>
                <w:kern w:val="0"/>
                <w:sz w:val="24"/>
                <w:szCs w:val="24"/>
              </w:rPr>
            </w:pPr>
          </w:p>
        </w:tc>
        <w:tc>
          <w:tcPr>
            <w:tcW w:w="474" w:type="dxa"/>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620" w:type="dxa"/>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微软雅黑" w:hAnsi="微软雅黑" w:eastAsia="微软雅黑" w:cs="宋体"/>
                <w:kern w:val="0"/>
                <w:sz w:val="24"/>
                <w:szCs w:val="24"/>
              </w:rPr>
            </w:pPr>
          </w:p>
        </w:tc>
        <w:tc>
          <w:tcPr>
            <w:tcW w:w="474" w:type="dxa"/>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722" w:type="dxa"/>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r>
      <w:tr>
        <w:tblPrEx>
          <w:tblCellMar>
            <w:top w:w="15" w:type="dxa"/>
            <w:left w:w="15" w:type="dxa"/>
            <w:bottom w:w="15" w:type="dxa"/>
            <w:right w:w="15" w:type="dxa"/>
          </w:tblCellMar>
        </w:tblPrEx>
        <w:trPr>
          <w:trHeight w:val="825" w:hRule="atLeast"/>
        </w:trPr>
        <w:tc>
          <w:tcPr>
            <w:tcW w:w="474"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仿宋_GB2312" w:hAnsi="微软雅黑" w:eastAsia="仿宋_GB2312" w:cs="宋体"/>
                <w:kern w:val="0"/>
                <w:sz w:val="18"/>
                <w:szCs w:val="18"/>
              </w:rPr>
              <w:t>3</w:t>
            </w:r>
          </w:p>
        </w:tc>
        <w:tc>
          <w:tcPr>
            <w:tcW w:w="0" w:type="auto"/>
            <w:vMerge w:val="continue"/>
            <w:tcBorders>
              <w:top w:val="nil"/>
              <w:left w:val="nil"/>
              <w:bottom w:val="nil"/>
              <w:right w:val="single" w:color="auto" w:sz="6" w:space="0"/>
            </w:tcBorders>
            <w:vAlign w:val="center"/>
          </w:tcPr>
          <w:p>
            <w:pPr>
              <w:widowControl/>
              <w:jc w:val="left"/>
              <w:rPr>
                <w:rFonts w:ascii="微软雅黑" w:hAnsi="微软雅黑" w:eastAsia="微软雅黑" w:cs="宋体"/>
                <w:kern w:val="0"/>
                <w:sz w:val="24"/>
                <w:szCs w:val="24"/>
              </w:rPr>
            </w:pPr>
          </w:p>
        </w:tc>
        <w:tc>
          <w:tcPr>
            <w:tcW w:w="93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其他政策文件</w:t>
            </w:r>
          </w:p>
        </w:tc>
        <w:tc>
          <w:tcPr>
            <w:tcW w:w="281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其他可以公开的与救灾有关的政策文件，包括改革方案、发展规划、专项规划、工作计划等</w:t>
            </w:r>
          </w:p>
        </w:tc>
        <w:tc>
          <w:tcPr>
            <w:tcW w:w="16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《政府信息公开条例》</w:t>
            </w:r>
          </w:p>
        </w:tc>
        <w:tc>
          <w:tcPr>
            <w:tcW w:w="18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信息形成或变更之日起20个工作日内</w:t>
            </w:r>
          </w:p>
        </w:tc>
        <w:tc>
          <w:tcPr>
            <w:tcW w:w="944" w:type="dxa"/>
            <w:tcBorders>
              <w:top w:val="nil"/>
              <w:left w:val="nil"/>
              <w:bottom w:val="single" w:color="auto" w:sz="6" w:space="0"/>
              <w:right w:val="single" w:color="auto" w:sz="6" w:space="0"/>
            </w:tcBorders>
            <w:tcMar>
              <w:top w:w="0" w:type="dxa"/>
              <w:left w:w="105" w:type="dxa"/>
              <w:bottom w:w="0" w:type="dxa"/>
              <w:right w:w="105" w:type="dxa"/>
            </w:tcMar>
          </w:tcPr>
          <w:p>
            <w:pPr>
              <w:rPr>
                <w:rFonts w:hint="eastAsia" w:ascii="仿宋_GB2312" w:hAnsi="微软雅黑" w:eastAsia="仿宋_GB2312" w:cs="宋体"/>
                <w:kern w:val="0"/>
                <w:sz w:val="18"/>
                <w:szCs w:val="18"/>
              </w:rPr>
            </w:pPr>
          </w:p>
          <w:p>
            <w:pPr>
              <w:rPr>
                <w:rFonts w:hint="eastAsia" w:ascii="仿宋_GB2312" w:hAnsi="微软雅黑" w:eastAsia="仿宋_GB2312" w:cs="宋体"/>
                <w:kern w:val="0"/>
                <w:sz w:val="18"/>
                <w:szCs w:val="18"/>
              </w:rPr>
            </w:pPr>
          </w:p>
          <w:p>
            <w:r>
              <w:rPr>
                <w:rFonts w:hint="eastAsia" w:ascii="仿宋_GB2312" w:hAnsi="微软雅黑" w:eastAsia="仿宋_GB2312" w:cs="宋体"/>
                <w:kern w:val="0"/>
                <w:sz w:val="18"/>
                <w:szCs w:val="18"/>
              </w:rPr>
              <w:t>高新区管委会</w:t>
            </w:r>
          </w:p>
        </w:tc>
        <w:tc>
          <w:tcPr>
            <w:tcW w:w="1293" w:type="dxa"/>
            <w:tcBorders>
              <w:top w:val="nil"/>
              <w:left w:val="nil"/>
              <w:bottom w:val="single" w:color="auto" w:sz="6" w:space="0"/>
              <w:right w:val="single" w:color="auto" w:sz="6" w:space="0"/>
            </w:tcBorders>
            <w:tcMar>
              <w:top w:w="0" w:type="dxa"/>
              <w:left w:w="105" w:type="dxa"/>
              <w:bottom w:w="0" w:type="dxa"/>
              <w:right w:w="105" w:type="dxa"/>
            </w:tcMar>
          </w:tcPr>
          <w:p>
            <w:pPr>
              <w:widowControl/>
              <w:wordWrap w:val="0"/>
              <w:spacing w:before="450" w:after="450" w:line="240" w:lineRule="atLeast"/>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■政府网站</w:t>
            </w: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6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微软雅黑" w:hAnsi="微软雅黑" w:eastAsia="微软雅黑" w:cs="宋体"/>
                <w:kern w:val="0"/>
                <w:sz w:val="24"/>
                <w:szCs w:val="24"/>
              </w:rPr>
            </w:pP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6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微软雅黑" w:hAnsi="微软雅黑" w:eastAsia="微软雅黑" w:cs="宋体"/>
                <w:kern w:val="0"/>
                <w:sz w:val="24"/>
                <w:szCs w:val="24"/>
              </w:rPr>
            </w:pP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7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r>
      <w:tr>
        <w:tblPrEx>
          <w:tblCellMar>
            <w:top w:w="15" w:type="dxa"/>
            <w:left w:w="15" w:type="dxa"/>
            <w:bottom w:w="15" w:type="dxa"/>
            <w:right w:w="15" w:type="dxa"/>
          </w:tblCellMar>
        </w:tblPrEx>
        <w:trPr>
          <w:trHeight w:val="975" w:hRule="atLeast"/>
        </w:trPr>
        <w:tc>
          <w:tcPr>
            <w:tcW w:w="474"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仿宋_GB2312" w:hAnsi="微软雅黑" w:eastAsia="仿宋_GB2312" w:cs="宋体"/>
                <w:kern w:val="0"/>
                <w:sz w:val="18"/>
                <w:szCs w:val="18"/>
              </w:rPr>
              <w:t>4</w:t>
            </w:r>
          </w:p>
        </w:tc>
        <w:tc>
          <w:tcPr>
            <w:tcW w:w="0" w:type="auto"/>
            <w:vMerge w:val="continue"/>
            <w:tcBorders>
              <w:top w:val="nil"/>
              <w:left w:val="nil"/>
              <w:bottom w:val="nil"/>
              <w:right w:val="single" w:color="auto" w:sz="6" w:space="0"/>
            </w:tcBorders>
            <w:vAlign w:val="center"/>
          </w:tcPr>
          <w:p>
            <w:pPr>
              <w:widowControl/>
              <w:jc w:val="left"/>
              <w:rPr>
                <w:rFonts w:ascii="微软雅黑" w:hAnsi="微软雅黑" w:eastAsia="微软雅黑" w:cs="宋体"/>
                <w:kern w:val="0"/>
                <w:sz w:val="24"/>
                <w:szCs w:val="24"/>
              </w:rPr>
            </w:pPr>
          </w:p>
        </w:tc>
        <w:tc>
          <w:tcPr>
            <w:tcW w:w="93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标准</w:t>
            </w:r>
          </w:p>
        </w:tc>
        <w:tc>
          <w:tcPr>
            <w:tcW w:w="281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救灾领域有关的国家标准、行业标准、地方标准等</w:t>
            </w:r>
          </w:p>
        </w:tc>
        <w:tc>
          <w:tcPr>
            <w:tcW w:w="16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《政府信息公开条例》</w:t>
            </w:r>
          </w:p>
        </w:tc>
        <w:tc>
          <w:tcPr>
            <w:tcW w:w="18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信息形成或变更之日起20个工作日内</w:t>
            </w:r>
          </w:p>
        </w:tc>
        <w:tc>
          <w:tcPr>
            <w:tcW w:w="944" w:type="dxa"/>
            <w:tcBorders>
              <w:top w:val="nil"/>
              <w:left w:val="nil"/>
              <w:bottom w:val="single" w:color="auto" w:sz="6" w:space="0"/>
              <w:right w:val="single" w:color="auto" w:sz="6" w:space="0"/>
            </w:tcBorders>
            <w:tcMar>
              <w:top w:w="0" w:type="dxa"/>
              <w:left w:w="105" w:type="dxa"/>
              <w:bottom w:w="0" w:type="dxa"/>
              <w:right w:w="105" w:type="dxa"/>
            </w:tcMar>
          </w:tcPr>
          <w:p>
            <w:pPr>
              <w:rPr>
                <w:rFonts w:hint="eastAsia" w:ascii="仿宋_GB2312" w:hAnsi="微软雅黑" w:eastAsia="仿宋_GB2312" w:cs="宋体"/>
                <w:kern w:val="0"/>
                <w:sz w:val="18"/>
                <w:szCs w:val="18"/>
              </w:rPr>
            </w:pPr>
          </w:p>
          <w:p>
            <w:pPr>
              <w:rPr>
                <w:rFonts w:hint="eastAsia" w:ascii="仿宋_GB2312" w:hAnsi="微软雅黑" w:eastAsia="仿宋_GB2312" w:cs="宋体"/>
                <w:kern w:val="0"/>
                <w:sz w:val="18"/>
                <w:szCs w:val="18"/>
              </w:rPr>
            </w:pPr>
          </w:p>
          <w:p>
            <w:r>
              <w:rPr>
                <w:rFonts w:hint="eastAsia" w:ascii="仿宋_GB2312" w:hAnsi="微软雅黑" w:eastAsia="仿宋_GB2312" w:cs="宋体"/>
                <w:kern w:val="0"/>
                <w:sz w:val="18"/>
                <w:szCs w:val="18"/>
              </w:rPr>
              <w:t>高新区管委会</w:t>
            </w:r>
          </w:p>
        </w:tc>
        <w:tc>
          <w:tcPr>
            <w:tcW w:w="1293" w:type="dxa"/>
            <w:tcBorders>
              <w:top w:val="nil"/>
              <w:left w:val="nil"/>
              <w:bottom w:val="single" w:color="auto" w:sz="6" w:space="0"/>
              <w:right w:val="single" w:color="auto" w:sz="6" w:space="0"/>
            </w:tcBorders>
            <w:tcMar>
              <w:top w:w="0" w:type="dxa"/>
              <w:left w:w="105" w:type="dxa"/>
              <w:bottom w:w="0" w:type="dxa"/>
              <w:right w:w="105" w:type="dxa"/>
            </w:tcMar>
          </w:tcPr>
          <w:p>
            <w:pPr>
              <w:widowControl/>
              <w:wordWrap w:val="0"/>
              <w:spacing w:before="450" w:after="450" w:line="240" w:lineRule="atLeast"/>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■政府网站</w:t>
            </w: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6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微软雅黑" w:hAnsi="微软雅黑" w:eastAsia="微软雅黑" w:cs="宋体"/>
                <w:kern w:val="0"/>
                <w:sz w:val="24"/>
                <w:szCs w:val="24"/>
              </w:rPr>
            </w:pP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6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微软雅黑" w:hAnsi="微软雅黑" w:eastAsia="微软雅黑" w:cs="宋体"/>
                <w:kern w:val="0"/>
                <w:sz w:val="24"/>
                <w:szCs w:val="24"/>
              </w:rPr>
            </w:pP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7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微软雅黑" w:hAnsi="微软雅黑" w:eastAsia="微软雅黑" w:cs="宋体"/>
                <w:kern w:val="0"/>
                <w:sz w:val="24"/>
                <w:szCs w:val="24"/>
              </w:rPr>
            </w:pPr>
          </w:p>
        </w:tc>
      </w:tr>
      <w:tr>
        <w:tblPrEx>
          <w:tblCellMar>
            <w:top w:w="15" w:type="dxa"/>
            <w:left w:w="15" w:type="dxa"/>
            <w:bottom w:w="15" w:type="dxa"/>
            <w:right w:w="15" w:type="dxa"/>
          </w:tblCellMar>
        </w:tblPrEx>
        <w:trPr>
          <w:trHeight w:val="1230" w:hRule="atLeast"/>
        </w:trPr>
        <w:tc>
          <w:tcPr>
            <w:tcW w:w="474"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仿宋_GB2312" w:hAnsi="微软雅黑" w:eastAsia="仿宋_GB2312" w:cs="宋体"/>
                <w:kern w:val="0"/>
                <w:sz w:val="18"/>
                <w:szCs w:val="18"/>
              </w:rPr>
              <w:t>5</w:t>
            </w:r>
          </w:p>
        </w:tc>
        <w:tc>
          <w:tcPr>
            <w:tcW w:w="776" w:type="dxa"/>
            <w:vMerge w:val="restart"/>
            <w:tcBorders>
              <w:top w:val="nil"/>
              <w:left w:val="nil"/>
              <w:bottom w:val="nil"/>
              <w:right w:val="single" w:color="auto" w:sz="6"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仿宋_GB2312" w:hAnsi="微软雅黑" w:eastAsia="仿宋_GB2312" w:cs="宋体"/>
                <w:kern w:val="0"/>
                <w:sz w:val="18"/>
                <w:szCs w:val="18"/>
              </w:rPr>
              <w:t>政策</w:t>
            </w:r>
          </w:p>
          <w:p>
            <w:pPr>
              <w:widowControl/>
              <w:wordWrap w:val="0"/>
              <w:spacing w:before="450" w:after="450"/>
              <w:jc w:val="center"/>
              <w:rPr>
                <w:rFonts w:ascii="微软雅黑" w:hAnsi="微软雅黑" w:eastAsia="微软雅黑" w:cs="宋体"/>
                <w:kern w:val="0"/>
                <w:sz w:val="24"/>
                <w:szCs w:val="24"/>
              </w:rPr>
            </w:pPr>
            <w:r>
              <w:rPr>
                <w:rFonts w:hint="eastAsia" w:ascii="仿宋_GB2312" w:hAnsi="微软雅黑" w:eastAsia="仿宋_GB2312" w:cs="宋体"/>
                <w:kern w:val="0"/>
                <w:sz w:val="18"/>
                <w:szCs w:val="18"/>
              </w:rPr>
              <w:t>文件</w:t>
            </w:r>
          </w:p>
        </w:tc>
        <w:tc>
          <w:tcPr>
            <w:tcW w:w="93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重大决策草案</w:t>
            </w:r>
          </w:p>
        </w:tc>
        <w:tc>
          <w:tcPr>
            <w:tcW w:w="281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涉及管理相对人切身利益、需社会广泛知晓的重要改革方案等重大决策，决策前向社会公开决策草案、决策依据</w:t>
            </w:r>
          </w:p>
        </w:tc>
        <w:tc>
          <w:tcPr>
            <w:tcW w:w="16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《政府信息公开条例》、《关于全面推进政务公开工作的意见》</w:t>
            </w:r>
          </w:p>
        </w:tc>
        <w:tc>
          <w:tcPr>
            <w:tcW w:w="18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按进展情况及时公开</w:t>
            </w:r>
          </w:p>
        </w:tc>
        <w:tc>
          <w:tcPr>
            <w:tcW w:w="944" w:type="dxa"/>
            <w:tcBorders>
              <w:top w:val="nil"/>
              <w:left w:val="nil"/>
              <w:bottom w:val="single" w:color="auto" w:sz="6" w:space="0"/>
              <w:right w:val="single" w:color="auto" w:sz="6" w:space="0"/>
            </w:tcBorders>
            <w:tcMar>
              <w:top w:w="0" w:type="dxa"/>
              <w:left w:w="105" w:type="dxa"/>
              <w:bottom w:w="0" w:type="dxa"/>
              <w:right w:w="105" w:type="dxa"/>
            </w:tcMar>
          </w:tcPr>
          <w:p>
            <w:pPr>
              <w:rPr>
                <w:rFonts w:hint="eastAsia" w:ascii="仿宋_GB2312" w:hAnsi="微软雅黑" w:eastAsia="仿宋_GB2312" w:cs="宋体"/>
                <w:kern w:val="0"/>
                <w:sz w:val="18"/>
                <w:szCs w:val="18"/>
              </w:rPr>
            </w:pPr>
          </w:p>
          <w:p>
            <w:pPr>
              <w:rPr>
                <w:rFonts w:hint="eastAsia" w:ascii="仿宋_GB2312" w:hAnsi="微软雅黑" w:eastAsia="仿宋_GB2312" w:cs="宋体"/>
                <w:kern w:val="0"/>
                <w:sz w:val="18"/>
                <w:szCs w:val="18"/>
              </w:rPr>
            </w:pPr>
          </w:p>
          <w:p>
            <w:pPr>
              <w:rPr>
                <w:rFonts w:hint="eastAsia" w:ascii="仿宋_GB2312" w:hAnsi="微软雅黑" w:eastAsia="仿宋_GB2312" w:cs="宋体"/>
                <w:kern w:val="0"/>
                <w:sz w:val="18"/>
                <w:szCs w:val="18"/>
              </w:rPr>
            </w:pPr>
          </w:p>
          <w:p>
            <w:r>
              <w:rPr>
                <w:rFonts w:hint="eastAsia" w:ascii="仿宋_GB2312" w:hAnsi="微软雅黑" w:eastAsia="仿宋_GB2312" w:cs="宋体"/>
                <w:kern w:val="0"/>
                <w:sz w:val="18"/>
                <w:szCs w:val="18"/>
              </w:rPr>
              <w:t>高新区管委会</w:t>
            </w:r>
          </w:p>
        </w:tc>
        <w:tc>
          <w:tcPr>
            <w:tcW w:w="12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line="240" w:lineRule="atLeast"/>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 xml:space="preserve">■政府网站■两微一端■公开查阅点 </w:t>
            </w: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6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微软雅黑" w:hAnsi="微软雅黑" w:eastAsia="微软雅黑" w:cs="宋体"/>
                <w:kern w:val="0"/>
                <w:sz w:val="24"/>
                <w:szCs w:val="24"/>
              </w:rPr>
            </w:pP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6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微软雅黑" w:hAnsi="微软雅黑" w:eastAsia="微软雅黑" w:cs="宋体"/>
                <w:kern w:val="0"/>
                <w:sz w:val="24"/>
                <w:szCs w:val="24"/>
              </w:rPr>
            </w:pP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7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r>
      <w:tr>
        <w:tblPrEx>
          <w:tblCellMar>
            <w:top w:w="15" w:type="dxa"/>
            <w:left w:w="15" w:type="dxa"/>
            <w:bottom w:w="15" w:type="dxa"/>
            <w:right w:w="15" w:type="dxa"/>
          </w:tblCellMar>
        </w:tblPrEx>
        <w:trPr>
          <w:trHeight w:val="1080" w:hRule="atLeast"/>
        </w:trPr>
        <w:tc>
          <w:tcPr>
            <w:tcW w:w="474" w:type="dxa"/>
            <w:tcBorders>
              <w:top w:val="single" w:color="auto" w:sz="4"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仿宋_GB2312" w:hAnsi="微软雅黑" w:eastAsia="仿宋_GB2312" w:cs="宋体"/>
                <w:kern w:val="0"/>
                <w:sz w:val="18"/>
                <w:szCs w:val="18"/>
              </w:rPr>
              <w:t>6</w:t>
            </w:r>
          </w:p>
        </w:tc>
        <w:tc>
          <w:tcPr>
            <w:tcW w:w="0" w:type="auto"/>
            <w:vMerge w:val="continue"/>
            <w:tcBorders>
              <w:top w:val="single" w:color="auto" w:sz="4" w:space="0"/>
              <w:left w:val="nil"/>
              <w:bottom w:val="nil"/>
              <w:right w:val="single" w:color="auto" w:sz="6" w:space="0"/>
            </w:tcBorders>
            <w:vAlign w:val="center"/>
          </w:tcPr>
          <w:p>
            <w:pPr>
              <w:widowControl/>
              <w:jc w:val="left"/>
              <w:rPr>
                <w:rFonts w:ascii="微软雅黑" w:hAnsi="微软雅黑" w:eastAsia="微软雅黑" w:cs="宋体"/>
                <w:kern w:val="0"/>
                <w:sz w:val="24"/>
                <w:szCs w:val="24"/>
              </w:rPr>
            </w:pPr>
          </w:p>
        </w:tc>
        <w:tc>
          <w:tcPr>
            <w:tcW w:w="931" w:type="dxa"/>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重大政策解读及回应</w:t>
            </w:r>
          </w:p>
        </w:tc>
        <w:tc>
          <w:tcPr>
            <w:tcW w:w="2812" w:type="dxa"/>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有关重大政策的解读及回应                       </w:t>
            </w:r>
          </w:p>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相关热点问题的解读及回应</w:t>
            </w:r>
          </w:p>
        </w:tc>
        <w:tc>
          <w:tcPr>
            <w:tcW w:w="1693" w:type="dxa"/>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《政府信息公开条例》、《国务院办公厅关于在政务公开工作中进一步做好政务舆情回应的通知》</w:t>
            </w:r>
          </w:p>
        </w:tc>
        <w:tc>
          <w:tcPr>
            <w:tcW w:w="1861" w:type="dxa"/>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重大决策作出后及时公开</w:t>
            </w:r>
          </w:p>
        </w:tc>
        <w:tc>
          <w:tcPr>
            <w:tcW w:w="944" w:type="dxa"/>
            <w:tcBorders>
              <w:top w:val="single" w:color="auto" w:sz="4" w:space="0"/>
              <w:left w:val="nil"/>
              <w:bottom w:val="single" w:color="auto" w:sz="6" w:space="0"/>
              <w:right w:val="single" w:color="auto" w:sz="6" w:space="0"/>
            </w:tcBorders>
            <w:tcMar>
              <w:top w:w="0" w:type="dxa"/>
              <w:left w:w="105" w:type="dxa"/>
              <w:bottom w:w="0" w:type="dxa"/>
              <w:right w:w="105" w:type="dxa"/>
            </w:tcMar>
          </w:tcPr>
          <w:p>
            <w:pPr>
              <w:rPr>
                <w:rFonts w:hint="eastAsia" w:ascii="仿宋_GB2312" w:hAnsi="微软雅黑" w:eastAsia="仿宋_GB2312" w:cs="宋体"/>
                <w:kern w:val="0"/>
                <w:sz w:val="18"/>
                <w:szCs w:val="18"/>
              </w:rPr>
            </w:pPr>
          </w:p>
          <w:p>
            <w:pPr>
              <w:rPr>
                <w:rFonts w:hint="eastAsia" w:ascii="仿宋_GB2312" w:hAnsi="微软雅黑" w:eastAsia="仿宋_GB2312" w:cs="宋体"/>
                <w:kern w:val="0"/>
                <w:sz w:val="18"/>
                <w:szCs w:val="18"/>
              </w:rPr>
            </w:pPr>
          </w:p>
          <w:p>
            <w:pPr>
              <w:rPr>
                <w:rFonts w:hint="eastAsia" w:ascii="仿宋_GB2312" w:hAnsi="微软雅黑" w:eastAsia="仿宋_GB2312" w:cs="宋体"/>
                <w:kern w:val="0"/>
                <w:sz w:val="18"/>
                <w:szCs w:val="18"/>
              </w:rPr>
            </w:pPr>
          </w:p>
          <w:p>
            <w:pPr>
              <w:rPr>
                <w:rFonts w:hint="eastAsia" w:ascii="仿宋_GB2312" w:hAnsi="微软雅黑" w:eastAsia="仿宋_GB2312" w:cs="宋体"/>
                <w:kern w:val="0"/>
                <w:sz w:val="18"/>
                <w:szCs w:val="18"/>
              </w:rPr>
            </w:pPr>
          </w:p>
          <w:p>
            <w:pPr>
              <w:rPr>
                <w:rFonts w:hint="eastAsia" w:ascii="仿宋_GB2312" w:hAnsi="微软雅黑" w:eastAsia="仿宋_GB2312" w:cs="宋体"/>
                <w:kern w:val="0"/>
                <w:sz w:val="18"/>
                <w:szCs w:val="18"/>
              </w:rPr>
            </w:pPr>
          </w:p>
          <w:p>
            <w:r>
              <w:rPr>
                <w:rFonts w:hint="eastAsia" w:ascii="仿宋_GB2312" w:hAnsi="微软雅黑" w:eastAsia="仿宋_GB2312" w:cs="宋体"/>
                <w:kern w:val="0"/>
                <w:sz w:val="18"/>
                <w:szCs w:val="18"/>
              </w:rPr>
              <w:t>高新区管委会</w:t>
            </w:r>
          </w:p>
        </w:tc>
        <w:tc>
          <w:tcPr>
            <w:tcW w:w="1293" w:type="dxa"/>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line="240" w:lineRule="atLeast"/>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■政府网站  </w:t>
            </w:r>
            <w:r>
              <w:rPr>
                <w:rFonts w:hint="eastAsia" w:ascii="仿宋_GB2312" w:hAnsi="微软雅黑" w:eastAsia="仿宋_GB2312" w:cs="宋体"/>
                <w:kern w:val="0"/>
                <w:sz w:val="18"/>
                <w:szCs w:val="18"/>
              </w:rPr>
              <w:br w:type="textWrapping"/>
            </w:r>
            <w:r>
              <w:rPr>
                <w:rFonts w:hint="eastAsia" w:ascii="仿宋_GB2312" w:hAnsi="微软雅黑" w:eastAsia="仿宋_GB2312" w:cs="宋体"/>
                <w:kern w:val="0"/>
                <w:sz w:val="18"/>
                <w:szCs w:val="18"/>
              </w:rPr>
              <w:t>■两微一端  </w:t>
            </w:r>
            <w:r>
              <w:rPr>
                <w:rFonts w:hint="eastAsia" w:ascii="仿宋_GB2312" w:hAnsi="微软雅黑" w:eastAsia="仿宋_GB2312" w:cs="宋体"/>
                <w:kern w:val="0"/>
                <w:sz w:val="18"/>
                <w:szCs w:val="18"/>
              </w:rPr>
              <w:br w:type="textWrapping"/>
            </w:r>
            <w:r>
              <w:rPr>
                <w:rFonts w:hint="eastAsia" w:ascii="仿宋_GB2312" w:hAnsi="微软雅黑" w:eastAsia="仿宋_GB2312" w:cs="宋体"/>
                <w:kern w:val="0"/>
                <w:sz w:val="18"/>
                <w:szCs w:val="18"/>
              </w:rPr>
              <w:t>■广播电视 ■纸质媒体</w:t>
            </w:r>
            <w:r>
              <w:rPr>
                <w:rFonts w:hint="eastAsia" w:ascii="仿宋_GB2312" w:hAnsi="微软雅黑" w:eastAsia="仿宋_GB2312" w:cs="宋体"/>
                <w:kern w:val="0"/>
                <w:sz w:val="18"/>
                <w:szCs w:val="18"/>
              </w:rPr>
              <w:br w:type="textWrapping"/>
            </w:r>
            <w:r>
              <w:rPr>
                <w:rFonts w:hint="eastAsia" w:ascii="仿宋_GB2312" w:hAnsi="微软雅黑" w:eastAsia="仿宋_GB2312" w:cs="宋体"/>
                <w:kern w:val="0"/>
                <w:sz w:val="18"/>
                <w:szCs w:val="18"/>
              </w:rPr>
              <w:t>■公开查阅点 ■政务服务中心</w:t>
            </w:r>
          </w:p>
        </w:tc>
        <w:tc>
          <w:tcPr>
            <w:tcW w:w="474" w:type="dxa"/>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620" w:type="dxa"/>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微软雅黑" w:hAnsi="微软雅黑" w:eastAsia="微软雅黑" w:cs="宋体"/>
                <w:kern w:val="0"/>
                <w:sz w:val="24"/>
                <w:szCs w:val="24"/>
              </w:rPr>
            </w:pPr>
          </w:p>
        </w:tc>
        <w:tc>
          <w:tcPr>
            <w:tcW w:w="474" w:type="dxa"/>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620" w:type="dxa"/>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微软雅黑" w:hAnsi="微软雅黑" w:eastAsia="微软雅黑" w:cs="宋体"/>
                <w:kern w:val="0"/>
                <w:sz w:val="24"/>
                <w:szCs w:val="24"/>
              </w:rPr>
            </w:pPr>
          </w:p>
        </w:tc>
        <w:tc>
          <w:tcPr>
            <w:tcW w:w="474" w:type="dxa"/>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722" w:type="dxa"/>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r>
      <w:tr>
        <w:tblPrEx>
          <w:tblCellMar>
            <w:top w:w="15" w:type="dxa"/>
            <w:left w:w="15" w:type="dxa"/>
            <w:bottom w:w="15" w:type="dxa"/>
            <w:right w:w="15" w:type="dxa"/>
          </w:tblCellMar>
        </w:tblPrEx>
        <w:trPr>
          <w:trHeight w:val="1080" w:hRule="atLeast"/>
        </w:trPr>
        <w:tc>
          <w:tcPr>
            <w:tcW w:w="474"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仿宋_GB2312" w:hAnsi="微软雅黑" w:eastAsia="仿宋_GB2312" w:cs="宋体"/>
                <w:kern w:val="0"/>
                <w:sz w:val="18"/>
                <w:szCs w:val="18"/>
              </w:rPr>
              <w:t>7</w:t>
            </w:r>
          </w:p>
        </w:tc>
        <w:tc>
          <w:tcPr>
            <w:tcW w:w="0" w:type="auto"/>
            <w:vMerge w:val="continue"/>
            <w:tcBorders>
              <w:top w:val="nil"/>
              <w:left w:val="nil"/>
              <w:bottom w:val="nil"/>
              <w:right w:val="single" w:color="auto" w:sz="6" w:space="0"/>
            </w:tcBorders>
            <w:vAlign w:val="center"/>
          </w:tcPr>
          <w:p>
            <w:pPr>
              <w:widowControl/>
              <w:jc w:val="left"/>
              <w:rPr>
                <w:rFonts w:ascii="微软雅黑" w:hAnsi="微软雅黑" w:eastAsia="微软雅黑" w:cs="宋体"/>
                <w:kern w:val="0"/>
                <w:sz w:val="24"/>
                <w:szCs w:val="24"/>
              </w:rPr>
            </w:pPr>
          </w:p>
        </w:tc>
        <w:tc>
          <w:tcPr>
            <w:tcW w:w="93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重要会议</w:t>
            </w:r>
          </w:p>
        </w:tc>
        <w:tc>
          <w:tcPr>
            <w:tcW w:w="281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以会议讨论作出重要改革方案等重大决策时，经党组研究认为有必要公开讨论决策过程的会议</w:t>
            </w:r>
          </w:p>
        </w:tc>
        <w:tc>
          <w:tcPr>
            <w:tcW w:w="16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《政府信息公开条例》、《关于全面推进政务公开工作的意见》</w:t>
            </w:r>
          </w:p>
        </w:tc>
        <w:tc>
          <w:tcPr>
            <w:tcW w:w="18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提前一周发通知邀请</w:t>
            </w:r>
          </w:p>
        </w:tc>
        <w:tc>
          <w:tcPr>
            <w:tcW w:w="944" w:type="dxa"/>
            <w:tcBorders>
              <w:top w:val="nil"/>
              <w:left w:val="nil"/>
              <w:bottom w:val="single" w:color="auto" w:sz="6" w:space="0"/>
              <w:right w:val="single" w:color="auto" w:sz="6" w:space="0"/>
            </w:tcBorders>
            <w:tcMar>
              <w:top w:w="0" w:type="dxa"/>
              <w:left w:w="105" w:type="dxa"/>
              <w:bottom w:w="0" w:type="dxa"/>
              <w:right w:w="105" w:type="dxa"/>
            </w:tcMar>
          </w:tcPr>
          <w:p>
            <w:pPr>
              <w:rPr>
                <w:rFonts w:hint="eastAsia" w:ascii="仿宋_GB2312" w:hAnsi="微软雅黑" w:eastAsia="仿宋_GB2312" w:cs="宋体"/>
                <w:kern w:val="0"/>
                <w:sz w:val="18"/>
                <w:szCs w:val="18"/>
              </w:rPr>
            </w:pPr>
          </w:p>
          <w:p>
            <w:pPr>
              <w:rPr>
                <w:rFonts w:hint="eastAsia" w:ascii="仿宋_GB2312" w:hAnsi="微软雅黑" w:eastAsia="仿宋_GB2312" w:cs="宋体"/>
                <w:kern w:val="0"/>
                <w:sz w:val="18"/>
                <w:szCs w:val="18"/>
              </w:rPr>
            </w:pPr>
          </w:p>
          <w:p>
            <w:r>
              <w:rPr>
                <w:rFonts w:hint="eastAsia" w:ascii="仿宋_GB2312" w:hAnsi="微软雅黑" w:eastAsia="仿宋_GB2312" w:cs="宋体"/>
                <w:kern w:val="0"/>
                <w:sz w:val="18"/>
                <w:szCs w:val="18"/>
              </w:rPr>
              <w:t>高新区管委会</w:t>
            </w:r>
          </w:p>
        </w:tc>
        <w:tc>
          <w:tcPr>
            <w:tcW w:w="12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line="240" w:lineRule="atLeast"/>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 xml:space="preserve">■政府网站■便民服务站 </w:t>
            </w: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6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微软雅黑" w:hAnsi="微软雅黑" w:eastAsia="微软雅黑" w:cs="宋体"/>
                <w:kern w:val="0"/>
                <w:sz w:val="24"/>
                <w:szCs w:val="24"/>
              </w:rPr>
            </w:pP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6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微软雅黑" w:hAnsi="微软雅黑" w:eastAsia="微软雅黑" w:cs="宋体"/>
                <w:kern w:val="0"/>
                <w:sz w:val="24"/>
                <w:szCs w:val="24"/>
              </w:rPr>
            </w:pP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7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r>
      <w:tr>
        <w:tblPrEx>
          <w:tblCellMar>
            <w:top w:w="15" w:type="dxa"/>
            <w:left w:w="15" w:type="dxa"/>
            <w:bottom w:w="15" w:type="dxa"/>
            <w:right w:w="15" w:type="dxa"/>
          </w:tblCellMar>
        </w:tblPrEx>
        <w:trPr>
          <w:trHeight w:val="1080" w:hRule="atLeast"/>
        </w:trPr>
        <w:tc>
          <w:tcPr>
            <w:tcW w:w="474"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仿宋_GB2312" w:hAnsi="微软雅黑" w:eastAsia="仿宋_GB2312" w:cs="宋体"/>
                <w:kern w:val="0"/>
                <w:sz w:val="18"/>
                <w:szCs w:val="18"/>
              </w:rPr>
              <w:t>8</w:t>
            </w:r>
          </w:p>
        </w:tc>
        <w:tc>
          <w:tcPr>
            <w:tcW w:w="7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仿宋_GB2312" w:hAnsi="微软雅黑" w:eastAsia="仿宋_GB2312" w:cs="宋体"/>
                <w:kern w:val="0"/>
                <w:sz w:val="18"/>
                <w:szCs w:val="18"/>
              </w:rPr>
              <w:t>政策</w:t>
            </w:r>
          </w:p>
          <w:p>
            <w:pPr>
              <w:widowControl/>
              <w:wordWrap w:val="0"/>
              <w:spacing w:before="450" w:after="450"/>
              <w:jc w:val="center"/>
              <w:rPr>
                <w:rFonts w:ascii="微软雅黑" w:hAnsi="微软雅黑" w:eastAsia="微软雅黑" w:cs="宋体"/>
                <w:kern w:val="0"/>
                <w:sz w:val="24"/>
                <w:szCs w:val="24"/>
              </w:rPr>
            </w:pPr>
            <w:r>
              <w:rPr>
                <w:rFonts w:hint="eastAsia" w:ascii="仿宋_GB2312" w:hAnsi="微软雅黑" w:eastAsia="仿宋_GB2312" w:cs="宋体"/>
                <w:kern w:val="0"/>
                <w:sz w:val="18"/>
                <w:szCs w:val="18"/>
              </w:rPr>
              <w:t>文件</w:t>
            </w:r>
          </w:p>
        </w:tc>
        <w:tc>
          <w:tcPr>
            <w:tcW w:w="93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征集采纳社会公众意见情况</w:t>
            </w:r>
          </w:p>
        </w:tc>
        <w:tc>
          <w:tcPr>
            <w:tcW w:w="281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重大决策草案公布后征集到的社会公众意见情况、采纳与否情况及理由等</w:t>
            </w:r>
          </w:p>
        </w:tc>
        <w:tc>
          <w:tcPr>
            <w:tcW w:w="1693" w:type="dxa"/>
            <w:tcBorders>
              <w:top w:val="nil"/>
              <w:left w:val="nil"/>
              <w:bottom w:val="single" w:color="auto" w:sz="6" w:space="0"/>
              <w:right w:val="single" w:color="auto" w:sz="6" w:space="0"/>
            </w:tcBorders>
            <w:tcMar>
              <w:top w:w="0" w:type="dxa"/>
              <w:left w:w="105" w:type="dxa"/>
              <w:bottom w:w="0" w:type="dxa"/>
              <w:right w:w="105" w:type="dxa"/>
            </w:tcMar>
          </w:tcPr>
          <w:p>
            <w:pPr>
              <w:widowControl/>
              <w:wordWrap w:val="0"/>
              <w:spacing w:before="450" w:after="450"/>
              <w:jc w:val="center"/>
              <w:rPr>
                <w:rFonts w:ascii="微软雅黑" w:hAnsi="微软雅黑" w:eastAsia="微软雅黑" w:cs="宋体"/>
                <w:kern w:val="0"/>
                <w:sz w:val="24"/>
                <w:szCs w:val="24"/>
              </w:rPr>
            </w:pPr>
            <w:r>
              <w:rPr>
                <w:rFonts w:hint="eastAsia" w:ascii="仿宋_GB2312" w:hAnsi="微软雅黑" w:eastAsia="仿宋_GB2312" w:cs="宋体"/>
                <w:kern w:val="0"/>
                <w:sz w:val="18"/>
                <w:szCs w:val="18"/>
              </w:rPr>
              <w:t>《政府信息公开条例》、《关于全面推进政务公开工作的意见》</w:t>
            </w:r>
          </w:p>
        </w:tc>
        <w:tc>
          <w:tcPr>
            <w:tcW w:w="18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征求意见时对外公布的时限内公开</w:t>
            </w:r>
          </w:p>
        </w:tc>
        <w:tc>
          <w:tcPr>
            <w:tcW w:w="944" w:type="dxa"/>
            <w:tcBorders>
              <w:top w:val="nil"/>
              <w:left w:val="nil"/>
              <w:bottom w:val="single" w:color="auto" w:sz="6" w:space="0"/>
              <w:right w:val="single" w:color="auto" w:sz="6" w:space="0"/>
            </w:tcBorders>
            <w:tcMar>
              <w:top w:w="0" w:type="dxa"/>
              <w:left w:w="105" w:type="dxa"/>
              <w:bottom w:w="0" w:type="dxa"/>
              <w:right w:w="105" w:type="dxa"/>
            </w:tcMar>
          </w:tcPr>
          <w:p>
            <w:pPr>
              <w:rPr>
                <w:rFonts w:hint="eastAsia" w:ascii="仿宋_GB2312" w:hAnsi="微软雅黑" w:eastAsia="仿宋_GB2312" w:cs="宋体"/>
                <w:kern w:val="0"/>
                <w:sz w:val="18"/>
                <w:szCs w:val="18"/>
              </w:rPr>
            </w:pPr>
          </w:p>
          <w:p>
            <w:pPr>
              <w:rPr>
                <w:rFonts w:hint="eastAsia" w:ascii="仿宋_GB2312" w:hAnsi="微软雅黑" w:eastAsia="仿宋_GB2312" w:cs="宋体"/>
                <w:kern w:val="0"/>
                <w:sz w:val="18"/>
                <w:szCs w:val="18"/>
              </w:rPr>
            </w:pPr>
          </w:p>
          <w:p>
            <w:pPr>
              <w:rPr>
                <w:rFonts w:hint="eastAsia" w:ascii="仿宋_GB2312" w:hAnsi="微软雅黑" w:eastAsia="仿宋_GB2312" w:cs="宋体"/>
                <w:kern w:val="0"/>
                <w:sz w:val="18"/>
                <w:szCs w:val="18"/>
              </w:rPr>
            </w:pPr>
          </w:p>
          <w:p>
            <w:r>
              <w:rPr>
                <w:rFonts w:hint="eastAsia" w:ascii="仿宋_GB2312" w:hAnsi="微软雅黑" w:eastAsia="仿宋_GB2312" w:cs="宋体"/>
                <w:kern w:val="0"/>
                <w:sz w:val="18"/>
                <w:szCs w:val="18"/>
              </w:rPr>
              <w:t>高新区管委会</w:t>
            </w:r>
          </w:p>
        </w:tc>
        <w:tc>
          <w:tcPr>
            <w:tcW w:w="12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line="240" w:lineRule="atLeast"/>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 xml:space="preserve">■政府网站 ■两微一端 ■公开查阅点 </w:t>
            </w: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6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微软雅黑" w:hAnsi="微软雅黑" w:eastAsia="微软雅黑" w:cs="宋体"/>
                <w:kern w:val="0"/>
                <w:sz w:val="24"/>
                <w:szCs w:val="24"/>
              </w:rPr>
            </w:pP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6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微软雅黑" w:hAnsi="微软雅黑" w:eastAsia="微软雅黑" w:cs="宋体"/>
                <w:kern w:val="0"/>
                <w:sz w:val="24"/>
                <w:szCs w:val="24"/>
              </w:rPr>
            </w:pP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7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r>
      <w:tr>
        <w:tblPrEx>
          <w:tblCellMar>
            <w:top w:w="15" w:type="dxa"/>
            <w:left w:w="15" w:type="dxa"/>
            <w:bottom w:w="15" w:type="dxa"/>
            <w:right w:w="15" w:type="dxa"/>
          </w:tblCellMar>
        </w:tblPrEx>
        <w:trPr>
          <w:trHeight w:val="1080" w:hRule="atLeast"/>
        </w:trPr>
        <w:tc>
          <w:tcPr>
            <w:tcW w:w="474"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仿宋_GB2312" w:hAnsi="微软雅黑" w:eastAsia="仿宋_GB2312" w:cs="宋体"/>
                <w:kern w:val="0"/>
                <w:sz w:val="18"/>
                <w:szCs w:val="18"/>
              </w:rPr>
              <w:t>9</w:t>
            </w:r>
          </w:p>
        </w:tc>
        <w:tc>
          <w:tcPr>
            <w:tcW w:w="776" w:type="dxa"/>
            <w:vMerge w:val="restart"/>
            <w:tcBorders>
              <w:top w:val="nil"/>
              <w:left w:val="nil"/>
              <w:bottom w:val="nil"/>
              <w:right w:val="single" w:color="auto" w:sz="6"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仿宋_GB2312" w:hAnsi="微软雅黑" w:eastAsia="仿宋_GB2312" w:cs="宋体"/>
                <w:kern w:val="0"/>
                <w:sz w:val="18"/>
                <w:szCs w:val="18"/>
              </w:rPr>
              <w:t>备灾</w:t>
            </w:r>
          </w:p>
          <w:p>
            <w:pPr>
              <w:widowControl/>
              <w:wordWrap w:val="0"/>
              <w:spacing w:before="450" w:after="450"/>
              <w:jc w:val="center"/>
              <w:rPr>
                <w:rFonts w:ascii="微软雅黑" w:hAnsi="微软雅黑" w:eastAsia="微软雅黑" w:cs="宋体"/>
                <w:kern w:val="0"/>
                <w:sz w:val="24"/>
                <w:szCs w:val="24"/>
              </w:rPr>
            </w:pPr>
            <w:r>
              <w:rPr>
                <w:rFonts w:hint="eastAsia" w:ascii="仿宋_GB2312" w:hAnsi="微软雅黑" w:eastAsia="仿宋_GB2312" w:cs="宋体"/>
                <w:kern w:val="0"/>
                <w:sz w:val="18"/>
                <w:szCs w:val="18"/>
              </w:rPr>
              <w:t>管理</w:t>
            </w:r>
          </w:p>
        </w:tc>
        <w:tc>
          <w:tcPr>
            <w:tcW w:w="93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综合减灾示范社区</w:t>
            </w:r>
          </w:p>
        </w:tc>
        <w:tc>
          <w:tcPr>
            <w:tcW w:w="281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综合减灾示范社区分布情况（其具体位置、创建时间、创建级别等）</w:t>
            </w:r>
          </w:p>
        </w:tc>
        <w:tc>
          <w:tcPr>
            <w:tcW w:w="16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《政府信息公开条例》、《社会救助暂行办法》、《国家综合防灾减灾规划（2016-2020年）》</w:t>
            </w:r>
          </w:p>
        </w:tc>
        <w:tc>
          <w:tcPr>
            <w:tcW w:w="18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信息形成或变更之日起20个工作日内</w:t>
            </w:r>
          </w:p>
        </w:tc>
        <w:tc>
          <w:tcPr>
            <w:tcW w:w="944" w:type="dxa"/>
            <w:tcBorders>
              <w:top w:val="nil"/>
              <w:left w:val="nil"/>
              <w:bottom w:val="single" w:color="auto" w:sz="6" w:space="0"/>
              <w:right w:val="single" w:color="auto" w:sz="6" w:space="0"/>
            </w:tcBorders>
            <w:tcMar>
              <w:top w:w="0" w:type="dxa"/>
              <w:left w:w="105" w:type="dxa"/>
              <w:bottom w:w="0" w:type="dxa"/>
              <w:right w:w="105" w:type="dxa"/>
            </w:tcMar>
          </w:tcPr>
          <w:p>
            <w:pPr>
              <w:rPr>
                <w:rFonts w:hint="eastAsia" w:ascii="仿宋_GB2312" w:hAnsi="微软雅黑" w:eastAsia="仿宋_GB2312" w:cs="宋体"/>
                <w:kern w:val="0"/>
                <w:sz w:val="18"/>
                <w:szCs w:val="18"/>
              </w:rPr>
            </w:pPr>
          </w:p>
          <w:p>
            <w:pPr>
              <w:rPr>
                <w:rFonts w:hint="eastAsia" w:ascii="仿宋_GB2312" w:hAnsi="微软雅黑" w:eastAsia="仿宋_GB2312" w:cs="宋体"/>
                <w:kern w:val="0"/>
                <w:sz w:val="18"/>
                <w:szCs w:val="18"/>
              </w:rPr>
            </w:pPr>
          </w:p>
          <w:p>
            <w:pPr>
              <w:rPr>
                <w:rFonts w:hint="eastAsia" w:ascii="仿宋_GB2312" w:hAnsi="微软雅黑" w:eastAsia="仿宋_GB2312" w:cs="宋体"/>
                <w:kern w:val="0"/>
                <w:sz w:val="18"/>
                <w:szCs w:val="18"/>
              </w:rPr>
            </w:pPr>
          </w:p>
          <w:p>
            <w:pPr>
              <w:rPr>
                <w:rFonts w:hint="eastAsia" w:ascii="仿宋_GB2312" w:hAnsi="微软雅黑" w:eastAsia="仿宋_GB2312" w:cs="宋体"/>
                <w:kern w:val="0"/>
                <w:sz w:val="18"/>
                <w:szCs w:val="18"/>
              </w:rPr>
            </w:pPr>
          </w:p>
          <w:p>
            <w:r>
              <w:rPr>
                <w:rFonts w:hint="eastAsia" w:ascii="仿宋_GB2312" w:hAnsi="微软雅黑" w:eastAsia="仿宋_GB2312" w:cs="宋体"/>
                <w:kern w:val="0"/>
                <w:sz w:val="18"/>
                <w:szCs w:val="18"/>
              </w:rPr>
              <w:t>高新区管委会</w:t>
            </w:r>
          </w:p>
        </w:tc>
        <w:tc>
          <w:tcPr>
            <w:tcW w:w="12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line="240" w:lineRule="atLeast"/>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■政府网站  </w:t>
            </w:r>
            <w:r>
              <w:rPr>
                <w:rFonts w:hint="eastAsia" w:ascii="仿宋_GB2312" w:hAnsi="微软雅黑" w:eastAsia="仿宋_GB2312" w:cs="宋体"/>
                <w:kern w:val="0"/>
                <w:sz w:val="18"/>
                <w:szCs w:val="18"/>
              </w:rPr>
              <w:br w:type="textWrapping"/>
            </w:r>
            <w:r>
              <w:rPr>
                <w:rFonts w:hint="eastAsia" w:ascii="仿宋_GB2312" w:hAnsi="微软雅黑" w:eastAsia="仿宋_GB2312" w:cs="宋体"/>
                <w:kern w:val="0"/>
                <w:sz w:val="18"/>
                <w:szCs w:val="18"/>
              </w:rPr>
              <w:t>■两微一端  </w:t>
            </w:r>
            <w:r>
              <w:rPr>
                <w:rFonts w:hint="eastAsia" w:ascii="仿宋_GB2312" w:hAnsi="微软雅黑" w:eastAsia="仿宋_GB2312" w:cs="宋体"/>
                <w:kern w:val="0"/>
                <w:sz w:val="18"/>
                <w:szCs w:val="18"/>
              </w:rPr>
              <w:br w:type="textWrapping"/>
            </w:r>
            <w:r>
              <w:rPr>
                <w:rFonts w:hint="eastAsia" w:ascii="仿宋_GB2312" w:hAnsi="微软雅黑" w:eastAsia="仿宋_GB2312" w:cs="宋体"/>
                <w:kern w:val="0"/>
                <w:sz w:val="18"/>
                <w:szCs w:val="18"/>
              </w:rPr>
              <w:t>■广播电视  </w:t>
            </w:r>
            <w:r>
              <w:rPr>
                <w:rFonts w:hint="eastAsia" w:ascii="仿宋_GB2312" w:hAnsi="微软雅黑" w:eastAsia="仿宋_GB2312" w:cs="宋体"/>
                <w:kern w:val="0"/>
                <w:sz w:val="18"/>
                <w:szCs w:val="18"/>
              </w:rPr>
              <w:br w:type="textWrapping"/>
            </w:r>
            <w:r>
              <w:rPr>
                <w:rFonts w:hint="eastAsia" w:ascii="仿宋_GB2312" w:hAnsi="微软雅黑" w:eastAsia="仿宋_GB2312" w:cs="宋体"/>
                <w:kern w:val="0"/>
                <w:sz w:val="18"/>
                <w:szCs w:val="18"/>
              </w:rPr>
              <w:t xml:space="preserve">■公开查阅点 </w:t>
            </w: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6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微软雅黑" w:hAnsi="微软雅黑" w:eastAsia="微软雅黑" w:cs="宋体"/>
                <w:kern w:val="0"/>
                <w:sz w:val="24"/>
                <w:szCs w:val="24"/>
              </w:rPr>
            </w:pP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6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微软雅黑" w:hAnsi="微软雅黑" w:eastAsia="微软雅黑" w:cs="宋体"/>
                <w:kern w:val="0"/>
                <w:sz w:val="24"/>
                <w:szCs w:val="24"/>
              </w:rPr>
            </w:pP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7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r>
      <w:tr>
        <w:tblPrEx>
          <w:tblCellMar>
            <w:top w:w="15" w:type="dxa"/>
            <w:left w:w="15" w:type="dxa"/>
            <w:bottom w:w="15" w:type="dxa"/>
            <w:right w:w="15" w:type="dxa"/>
          </w:tblCellMar>
        </w:tblPrEx>
        <w:trPr>
          <w:trHeight w:val="1080" w:hRule="atLeast"/>
        </w:trPr>
        <w:tc>
          <w:tcPr>
            <w:tcW w:w="474"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仿宋_GB2312" w:hAnsi="微软雅黑" w:eastAsia="仿宋_GB2312" w:cs="宋体"/>
                <w:kern w:val="0"/>
                <w:sz w:val="18"/>
                <w:szCs w:val="18"/>
              </w:rPr>
              <w:t>10</w:t>
            </w:r>
          </w:p>
        </w:tc>
        <w:tc>
          <w:tcPr>
            <w:tcW w:w="0" w:type="auto"/>
            <w:vMerge w:val="continue"/>
            <w:tcBorders>
              <w:top w:val="nil"/>
              <w:left w:val="nil"/>
              <w:bottom w:val="nil"/>
              <w:right w:val="single" w:color="auto" w:sz="6" w:space="0"/>
            </w:tcBorders>
            <w:vAlign w:val="center"/>
          </w:tcPr>
          <w:p>
            <w:pPr>
              <w:widowControl/>
              <w:jc w:val="left"/>
              <w:rPr>
                <w:rFonts w:ascii="微软雅黑" w:hAnsi="微软雅黑" w:eastAsia="微软雅黑" w:cs="宋体"/>
                <w:kern w:val="0"/>
                <w:sz w:val="24"/>
                <w:szCs w:val="24"/>
              </w:rPr>
            </w:pPr>
          </w:p>
        </w:tc>
        <w:tc>
          <w:tcPr>
            <w:tcW w:w="93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灾害信息员队伍</w:t>
            </w:r>
          </w:p>
        </w:tc>
        <w:tc>
          <w:tcPr>
            <w:tcW w:w="281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县乡两级灾害信息员工作职责和办公电话</w:t>
            </w:r>
          </w:p>
        </w:tc>
        <w:tc>
          <w:tcPr>
            <w:tcW w:w="16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同上</w:t>
            </w:r>
          </w:p>
        </w:tc>
        <w:tc>
          <w:tcPr>
            <w:tcW w:w="18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信息形成或变更之日起20个工作日内</w:t>
            </w:r>
          </w:p>
        </w:tc>
        <w:tc>
          <w:tcPr>
            <w:tcW w:w="944" w:type="dxa"/>
            <w:tcBorders>
              <w:top w:val="nil"/>
              <w:left w:val="nil"/>
              <w:bottom w:val="single" w:color="auto" w:sz="6" w:space="0"/>
              <w:right w:val="single" w:color="auto" w:sz="6" w:space="0"/>
            </w:tcBorders>
            <w:tcMar>
              <w:top w:w="0" w:type="dxa"/>
              <w:left w:w="105" w:type="dxa"/>
              <w:bottom w:w="0" w:type="dxa"/>
              <w:right w:w="105" w:type="dxa"/>
            </w:tcMar>
          </w:tcPr>
          <w:p>
            <w:pPr>
              <w:rPr>
                <w:rFonts w:hint="eastAsia" w:ascii="仿宋_GB2312" w:hAnsi="微软雅黑" w:eastAsia="仿宋_GB2312" w:cs="宋体"/>
                <w:kern w:val="0"/>
                <w:sz w:val="18"/>
                <w:szCs w:val="18"/>
              </w:rPr>
            </w:pPr>
          </w:p>
          <w:p>
            <w:pPr>
              <w:rPr>
                <w:rFonts w:hint="eastAsia" w:ascii="仿宋_GB2312" w:hAnsi="微软雅黑" w:eastAsia="仿宋_GB2312" w:cs="宋体"/>
                <w:kern w:val="0"/>
                <w:sz w:val="18"/>
                <w:szCs w:val="18"/>
              </w:rPr>
            </w:pPr>
          </w:p>
          <w:p>
            <w:pPr>
              <w:rPr>
                <w:rFonts w:hint="eastAsia" w:ascii="仿宋_GB2312" w:hAnsi="微软雅黑" w:eastAsia="仿宋_GB2312" w:cs="宋体"/>
                <w:kern w:val="0"/>
                <w:sz w:val="18"/>
                <w:szCs w:val="18"/>
              </w:rPr>
            </w:pPr>
          </w:p>
          <w:p>
            <w:r>
              <w:rPr>
                <w:rFonts w:hint="eastAsia" w:ascii="仿宋_GB2312" w:hAnsi="微软雅黑" w:eastAsia="仿宋_GB2312" w:cs="宋体"/>
                <w:kern w:val="0"/>
                <w:sz w:val="18"/>
                <w:szCs w:val="18"/>
              </w:rPr>
              <w:t>高新区管委会</w:t>
            </w:r>
          </w:p>
        </w:tc>
        <w:tc>
          <w:tcPr>
            <w:tcW w:w="12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line="240" w:lineRule="atLeast"/>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■政府网站  </w:t>
            </w:r>
            <w:r>
              <w:rPr>
                <w:rFonts w:hint="eastAsia" w:ascii="仿宋_GB2312" w:hAnsi="微软雅黑" w:eastAsia="仿宋_GB2312" w:cs="宋体"/>
                <w:kern w:val="0"/>
                <w:sz w:val="18"/>
                <w:szCs w:val="18"/>
              </w:rPr>
              <w:br w:type="textWrapping"/>
            </w:r>
            <w:r>
              <w:rPr>
                <w:rFonts w:hint="eastAsia" w:ascii="仿宋_GB2312" w:hAnsi="微软雅黑" w:eastAsia="仿宋_GB2312" w:cs="宋体"/>
                <w:kern w:val="0"/>
                <w:sz w:val="18"/>
                <w:szCs w:val="18"/>
              </w:rPr>
              <w:t>■两微一端  </w:t>
            </w:r>
            <w:r>
              <w:rPr>
                <w:rFonts w:hint="eastAsia" w:ascii="仿宋_GB2312" w:hAnsi="微软雅黑" w:eastAsia="仿宋_GB2312" w:cs="宋体"/>
                <w:kern w:val="0"/>
                <w:sz w:val="18"/>
                <w:szCs w:val="18"/>
              </w:rPr>
              <w:br w:type="textWrapping"/>
            </w:r>
            <w:r>
              <w:rPr>
                <w:rFonts w:hint="eastAsia" w:ascii="仿宋_GB2312" w:hAnsi="微软雅黑" w:eastAsia="仿宋_GB2312" w:cs="宋体"/>
                <w:kern w:val="0"/>
                <w:sz w:val="18"/>
                <w:szCs w:val="18"/>
              </w:rPr>
              <w:t>■广播电视  </w:t>
            </w:r>
            <w:r>
              <w:rPr>
                <w:rFonts w:hint="eastAsia" w:ascii="仿宋_GB2312" w:hAnsi="微软雅黑" w:eastAsia="仿宋_GB2312" w:cs="宋体"/>
                <w:kern w:val="0"/>
                <w:sz w:val="18"/>
                <w:szCs w:val="18"/>
              </w:rPr>
              <w:br w:type="textWrapping"/>
            </w:r>
            <w:r>
              <w:rPr>
                <w:rFonts w:hint="eastAsia" w:ascii="仿宋_GB2312" w:hAnsi="微软雅黑" w:eastAsia="仿宋_GB2312" w:cs="宋体"/>
                <w:kern w:val="0"/>
                <w:sz w:val="18"/>
                <w:szCs w:val="18"/>
              </w:rPr>
              <w:t>■公开查阅点</w:t>
            </w: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6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微软雅黑" w:hAnsi="微软雅黑" w:eastAsia="微软雅黑" w:cs="宋体"/>
                <w:kern w:val="0"/>
                <w:sz w:val="24"/>
                <w:szCs w:val="24"/>
              </w:rPr>
            </w:pP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6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微软雅黑" w:hAnsi="微软雅黑" w:eastAsia="微软雅黑" w:cs="宋体"/>
                <w:kern w:val="0"/>
                <w:sz w:val="24"/>
                <w:szCs w:val="24"/>
              </w:rPr>
            </w:pP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7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微软雅黑" w:hAnsi="微软雅黑" w:eastAsia="微软雅黑" w:cs="宋体"/>
                <w:kern w:val="0"/>
                <w:sz w:val="24"/>
                <w:szCs w:val="24"/>
              </w:rPr>
            </w:pPr>
          </w:p>
        </w:tc>
      </w:tr>
      <w:tr>
        <w:tblPrEx>
          <w:tblCellMar>
            <w:top w:w="15" w:type="dxa"/>
            <w:left w:w="15" w:type="dxa"/>
            <w:bottom w:w="15" w:type="dxa"/>
            <w:right w:w="15" w:type="dxa"/>
          </w:tblCellMar>
        </w:tblPrEx>
        <w:trPr>
          <w:trHeight w:val="1080" w:hRule="atLeast"/>
        </w:trPr>
        <w:tc>
          <w:tcPr>
            <w:tcW w:w="474"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仿宋_GB2312" w:hAnsi="微软雅黑" w:eastAsia="仿宋_GB2312" w:cs="宋体"/>
                <w:kern w:val="0"/>
                <w:sz w:val="18"/>
                <w:szCs w:val="18"/>
              </w:rPr>
              <w:t>11</w:t>
            </w:r>
          </w:p>
        </w:tc>
        <w:tc>
          <w:tcPr>
            <w:tcW w:w="7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仿宋_GB2312" w:hAnsi="微软雅黑" w:eastAsia="仿宋_GB2312" w:cs="宋体"/>
                <w:kern w:val="0"/>
                <w:sz w:val="18"/>
                <w:szCs w:val="18"/>
              </w:rPr>
              <w:t>灾后</w:t>
            </w:r>
          </w:p>
          <w:p>
            <w:pPr>
              <w:widowControl/>
              <w:wordWrap w:val="0"/>
              <w:spacing w:before="450" w:after="450"/>
              <w:jc w:val="center"/>
              <w:rPr>
                <w:rFonts w:ascii="微软雅黑" w:hAnsi="微软雅黑" w:eastAsia="微软雅黑" w:cs="宋体"/>
                <w:kern w:val="0"/>
                <w:sz w:val="24"/>
                <w:szCs w:val="24"/>
              </w:rPr>
            </w:pPr>
            <w:r>
              <w:rPr>
                <w:rFonts w:hint="eastAsia" w:ascii="仿宋_GB2312" w:hAnsi="微软雅黑" w:eastAsia="仿宋_GB2312" w:cs="宋体"/>
                <w:kern w:val="0"/>
                <w:sz w:val="18"/>
                <w:szCs w:val="18"/>
              </w:rPr>
              <w:t>救助</w:t>
            </w:r>
          </w:p>
        </w:tc>
        <w:tc>
          <w:tcPr>
            <w:tcW w:w="93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灾情核定信息</w:t>
            </w:r>
          </w:p>
        </w:tc>
        <w:tc>
          <w:tcPr>
            <w:tcW w:w="281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本行政区域内因自然灾害造成的损失情况（受灾时间、灾害种类、受灾范围、灾害造成的损失等）</w:t>
            </w:r>
          </w:p>
        </w:tc>
        <w:tc>
          <w:tcPr>
            <w:tcW w:w="16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《政府信息公开条例》、《自然灾害救助条例》</w:t>
            </w:r>
          </w:p>
        </w:tc>
        <w:tc>
          <w:tcPr>
            <w:tcW w:w="18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信息形成或变更之日起20个工作日内</w:t>
            </w:r>
          </w:p>
        </w:tc>
        <w:tc>
          <w:tcPr>
            <w:tcW w:w="944" w:type="dxa"/>
            <w:tcBorders>
              <w:top w:val="nil"/>
              <w:left w:val="nil"/>
              <w:bottom w:val="single" w:color="auto" w:sz="6" w:space="0"/>
              <w:right w:val="single" w:color="auto" w:sz="6" w:space="0"/>
            </w:tcBorders>
            <w:tcMar>
              <w:top w:w="0" w:type="dxa"/>
              <w:left w:w="105" w:type="dxa"/>
              <w:bottom w:w="0" w:type="dxa"/>
              <w:right w:w="105" w:type="dxa"/>
            </w:tcMar>
          </w:tcPr>
          <w:p>
            <w:pPr>
              <w:rPr>
                <w:rFonts w:hint="eastAsia" w:ascii="仿宋_GB2312" w:hAnsi="微软雅黑" w:eastAsia="仿宋_GB2312" w:cs="宋体"/>
                <w:kern w:val="0"/>
                <w:sz w:val="18"/>
                <w:szCs w:val="18"/>
              </w:rPr>
            </w:pPr>
          </w:p>
          <w:p>
            <w:pPr>
              <w:rPr>
                <w:rFonts w:hint="eastAsia" w:ascii="仿宋_GB2312" w:hAnsi="微软雅黑" w:eastAsia="仿宋_GB2312" w:cs="宋体"/>
                <w:kern w:val="0"/>
                <w:sz w:val="18"/>
                <w:szCs w:val="18"/>
              </w:rPr>
            </w:pPr>
          </w:p>
          <w:p>
            <w:pPr>
              <w:rPr>
                <w:rFonts w:hint="eastAsia" w:ascii="仿宋_GB2312" w:hAnsi="微软雅黑" w:eastAsia="仿宋_GB2312" w:cs="宋体"/>
                <w:kern w:val="0"/>
                <w:sz w:val="18"/>
                <w:szCs w:val="18"/>
              </w:rPr>
            </w:pPr>
          </w:p>
          <w:p>
            <w:pPr>
              <w:rPr>
                <w:rFonts w:hint="eastAsia" w:ascii="仿宋_GB2312" w:hAnsi="微软雅黑" w:eastAsia="仿宋_GB2312" w:cs="宋体"/>
                <w:kern w:val="0"/>
                <w:sz w:val="18"/>
                <w:szCs w:val="18"/>
              </w:rPr>
            </w:pPr>
          </w:p>
          <w:p>
            <w:pPr>
              <w:rPr>
                <w:rFonts w:hint="eastAsia" w:ascii="仿宋_GB2312" w:hAnsi="微软雅黑" w:eastAsia="仿宋_GB2312" w:cs="宋体"/>
                <w:kern w:val="0"/>
                <w:sz w:val="18"/>
                <w:szCs w:val="18"/>
              </w:rPr>
            </w:pPr>
          </w:p>
          <w:p>
            <w:r>
              <w:rPr>
                <w:rFonts w:hint="eastAsia" w:ascii="仿宋_GB2312" w:hAnsi="微软雅黑" w:eastAsia="仿宋_GB2312" w:cs="宋体"/>
                <w:kern w:val="0"/>
                <w:sz w:val="18"/>
                <w:szCs w:val="18"/>
              </w:rPr>
              <w:t>高新区管委会</w:t>
            </w:r>
          </w:p>
        </w:tc>
        <w:tc>
          <w:tcPr>
            <w:tcW w:w="12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line="240" w:lineRule="atLeast"/>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■政府网站  </w:t>
            </w:r>
            <w:r>
              <w:rPr>
                <w:rFonts w:hint="eastAsia" w:ascii="仿宋_GB2312" w:hAnsi="微软雅黑" w:eastAsia="仿宋_GB2312" w:cs="宋体"/>
                <w:kern w:val="0"/>
                <w:sz w:val="18"/>
                <w:szCs w:val="18"/>
              </w:rPr>
              <w:br w:type="textWrapping"/>
            </w:r>
            <w:r>
              <w:rPr>
                <w:rFonts w:hint="eastAsia" w:ascii="仿宋_GB2312" w:hAnsi="微软雅黑" w:eastAsia="仿宋_GB2312" w:cs="宋体"/>
                <w:kern w:val="0"/>
                <w:sz w:val="18"/>
                <w:szCs w:val="18"/>
              </w:rPr>
              <w:t>■两微一端  </w:t>
            </w:r>
            <w:r>
              <w:rPr>
                <w:rFonts w:hint="eastAsia" w:ascii="仿宋_GB2312" w:hAnsi="微软雅黑" w:eastAsia="仿宋_GB2312" w:cs="宋体"/>
                <w:kern w:val="0"/>
                <w:sz w:val="18"/>
                <w:szCs w:val="18"/>
              </w:rPr>
              <w:br w:type="textWrapping"/>
            </w:r>
            <w:r>
              <w:rPr>
                <w:rFonts w:hint="eastAsia" w:ascii="仿宋_GB2312" w:hAnsi="微软雅黑" w:eastAsia="仿宋_GB2312" w:cs="宋体"/>
                <w:kern w:val="0"/>
                <w:sz w:val="18"/>
                <w:szCs w:val="18"/>
              </w:rPr>
              <w:t>■广播电视</w:t>
            </w:r>
            <w:r>
              <w:rPr>
                <w:rFonts w:hint="eastAsia" w:ascii="微软雅黑" w:hAnsi="微软雅黑" w:eastAsia="微软雅黑" w:cs="宋体"/>
                <w:kern w:val="0"/>
                <w:sz w:val="24"/>
                <w:szCs w:val="24"/>
              </w:rPr>
              <w:t xml:space="preserve"> </w:t>
            </w:r>
            <w:r>
              <w:rPr>
                <w:rFonts w:hint="eastAsia" w:ascii="仿宋_GB2312" w:hAnsi="微软雅黑" w:eastAsia="仿宋_GB2312" w:cs="宋体"/>
                <w:kern w:val="0"/>
                <w:sz w:val="18"/>
                <w:szCs w:val="18"/>
              </w:rPr>
              <w:t>■纸质媒体</w:t>
            </w:r>
            <w:r>
              <w:rPr>
                <w:rFonts w:hint="eastAsia" w:ascii="仿宋_GB2312" w:hAnsi="微软雅黑" w:eastAsia="仿宋_GB2312" w:cs="宋体"/>
                <w:kern w:val="0"/>
                <w:sz w:val="18"/>
                <w:szCs w:val="18"/>
              </w:rPr>
              <w:br w:type="textWrapping"/>
            </w:r>
            <w:r>
              <w:rPr>
                <w:rFonts w:hint="eastAsia" w:ascii="仿宋_GB2312" w:hAnsi="微软雅黑" w:eastAsia="仿宋_GB2312" w:cs="宋体"/>
                <w:kern w:val="0"/>
                <w:sz w:val="18"/>
                <w:szCs w:val="18"/>
              </w:rPr>
              <w:t xml:space="preserve">■公开查阅点 </w:t>
            </w: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6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微软雅黑" w:hAnsi="微软雅黑" w:eastAsia="微软雅黑" w:cs="宋体"/>
                <w:kern w:val="0"/>
                <w:sz w:val="24"/>
                <w:szCs w:val="24"/>
              </w:rPr>
            </w:pP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6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微软雅黑" w:hAnsi="微软雅黑" w:eastAsia="微软雅黑" w:cs="宋体"/>
                <w:kern w:val="0"/>
                <w:sz w:val="24"/>
                <w:szCs w:val="24"/>
              </w:rPr>
            </w:pP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7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微软雅黑" w:hAnsi="微软雅黑" w:eastAsia="微软雅黑" w:cs="宋体"/>
                <w:kern w:val="0"/>
                <w:sz w:val="24"/>
                <w:szCs w:val="24"/>
              </w:rPr>
            </w:pPr>
          </w:p>
        </w:tc>
      </w:tr>
      <w:tr>
        <w:tblPrEx>
          <w:tblCellMar>
            <w:top w:w="15" w:type="dxa"/>
            <w:left w:w="15" w:type="dxa"/>
            <w:bottom w:w="15" w:type="dxa"/>
            <w:right w:w="15" w:type="dxa"/>
          </w:tblCellMar>
        </w:tblPrEx>
        <w:trPr>
          <w:trHeight w:val="1080" w:hRule="atLeast"/>
        </w:trPr>
        <w:tc>
          <w:tcPr>
            <w:tcW w:w="474"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仿宋_GB2312" w:hAnsi="微软雅黑" w:eastAsia="仿宋_GB2312" w:cs="宋体"/>
                <w:kern w:val="0"/>
                <w:sz w:val="18"/>
                <w:szCs w:val="18"/>
              </w:rPr>
              <w:t>12</w:t>
            </w:r>
          </w:p>
        </w:tc>
        <w:tc>
          <w:tcPr>
            <w:tcW w:w="7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仿宋_GB2312" w:hAnsi="微软雅黑" w:eastAsia="仿宋_GB2312" w:cs="宋体"/>
                <w:kern w:val="0"/>
                <w:sz w:val="18"/>
                <w:szCs w:val="18"/>
              </w:rPr>
              <w:t>灾后</w:t>
            </w:r>
          </w:p>
          <w:p>
            <w:pPr>
              <w:widowControl/>
              <w:wordWrap w:val="0"/>
              <w:spacing w:before="450" w:after="450"/>
              <w:jc w:val="center"/>
              <w:rPr>
                <w:rFonts w:ascii="微软雅黑" w:hAnsi="微软雅黑" w:eastAsia="微软雅黑" w:cs="宋体"/>
                <w:kern w:val="0"/>
                <w:sz w:val="24"/>
                <w:szCs w:val="24"/>
              </w:rPr>
            </w:pPr>
            <w:r>
              <w:rPr>
                <w:rFonts w:hint="eastAsia" w:ascii="仿宋_GB2312" w:hAnsi="微软雅黑" w:eastAsia="仿宋_GB2312" w:cs="宋体"/>
                <w:kern w:val="0"/>
                <w:sz w:val="18"/>
                <w:szCs w:val="18"/>
              </w:rPr>
              <w:t>救助</w:t>
            </w:r>
          </w:p>
        </w:tc>
        <w:tc>
          <w:tcPr>
            <w:tcW w:w="93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救助审定信息</w:t>
            </w:r>
          </w:p>
        </w:tc>
        <w:tc>
          <w:tcPr>
            <w:tcW w:w="281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自然灾害救助（6类）的救助对象、申报材料、办理程序及时限等</w:t>
            </w:r>
          </w:p>
        </w:tc>
        <w:tc>
          <w:tcPr>
            <w:tcW w:w="16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《政府信息公开条例》、《自然灾害救助条例》</w:t>
            </w:r>
          </w:p>
        </w:tc>
        <w:tc>
          <w:tcPr>
            <w:tcW w:w="18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信息形成或变更之日起20个工作日内</w:t>
            </w:r>
          </w:p>
        </w:tc>
        <w:tc>
          <w:tcPr>
            <w:tcW w:w="944" w:type="dxa"/>
            <w:tcBorders>
              <w:top w:val="nil"/>
              <w:left w:val="nil"/>
              <w:bottom w:val="single" w:color="auto" w:sz="6" w:space="0"/>
              <w:right w:val="single" w:color="auto" w:sz="6" w:space="0"/>
            </w:tcBorders>
            <w:tcMar>
              <w:top w:w="0" w:type="dxa"/>
              <w:left w:w="105" w:type="dxa"/>
              <w:bottom w:w="0" w:type="dxa"/>
              <w:right w:w="105" w:type="dxa"/>
            </w:tcMar>
          </w:tcPr>
          <w:p>
            <w:pPr>
              <w:rPr>
                <w:rFonts w:hint="eastAsia" w:ascii="仿宋_GB2312" w:hAnsi="微软雅黑" w:eastAsia="仿宋_GB2312" w:cs="宋体"/>
                <w:kern w:val="0"/>
                <w:sz w:val="18"/>
                <w:szCs w:val="18"/>
              </w:rPr>
            </w:pPr>
          </w:p>
          <w:p>
            <w:pPr>
              <w:rPr>
                <w:rFonts w:hint="eastAsia" w:ascii="仿宋_GB2312" w:hAnsi="微软雅黑" w:eastAsia="仿宋_GB2312" w:cs="宋体"/>
                <w:kern w:val="0"/>
                <w:sz w:val="18"/>
                <w:szCs w:val="18"/>
              </w:rPr>
            </w:pPr>
          </w:p>
          <w:p>
            <w:pPr>
              <w:rPr>
                <w:rFonts w:hint="eastAsia" w:ascii="仿宋_GB2312" w:hAnsi="微软雅黑" w:eastAsia="仿宋_GB2312" w:cs="宋体"/>
                <w:kern w:val="0"/>
                <w:sz w:val="18"/>
                <w:szCs w:val="18"/>
              </w:rPr>
            </w:pPr>
          </w:p>
          <w:p>
            <w:r>
              <w:rPr>
                <w:rFonts w:hint="eastAsia" w:ascii="仿宋_GB2312" w:hAnsi="微软雅黑" w:eastAsia="仿宋_GB2312" w:cs="宋体"/>
                <w:kern w:val="0"/>
                <w:sz w:val="18"/>
                <w:szCs w:val="18"/>
              </w:rPr>
              <w:t>高新区管委会</w:t>
            </w:r>
          </w:p>
        </w:tc>
        <w:tc>
          <w:tcPr>
            <w:tcW w:w="12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line="240" w:lineRule="atLeast"/>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■政府网站  </w:t>
            </w:r>
            <w:r>
              <w:rPr>
                <w:rFonts w:hint="eastAsia" w:ascii="仿宋_GB2312" w:hAnsi="微软雅黑" w:eastAsia="仿宋_GB2312" w:cs="宋体"/>
                <w:kern w:val="0"/>
                <w:sz w:val="18"/>
                <w:szCs w:val="18"/>
              </w:rPr>
              <w:br w:type="textWrapping"/>
            </w:r>
            <w:r>
              <w:rPr>
                <w:rFonts w:hint="eastAsia" w:ascii="仿宋_GB2312" w:hAnsi="微软雅黑" w:eastAsia="仿宋_GB2312" w:cs="宋体"/>
                <w:kern w:val="0"/>
                <w:sz w:val="18"/>
                <w:szCs w:val="18"/>
              </w:rPr>
              <w:t>■两微一端  </w:t>
            </w:r>
            <w:r>
              <w:rPr>
                <w:rFonts w:hint="eastAsia" w:ascii="仿宋_GB2312" w:hAnsi="微软雅黑" w:eastAsia="仿宋_GB2312" w:cs="宋体"/>
                <w:kern w:val="0"/>
                <w:sz w:val="18"/>
                <w:szCs w:val="18"/>
              </w:rPr>
              <w:br w:type="textWrapping"/>
            </w:r>
            <w:r>
              <w:rPr>
                <w:rFonts w:hint="eastAsia" w:ascii="仿宋_GB2312" w:hAnsi="微软雅黑" w:eastAsia="仿宋_GB2312" w:cs="宋体"/>
                <w:kern w:val="0"/>
                <w:sz w:val="18"/>
                <w:szCs w:val="18"/>
              </w:rPr>
              <w:t>■广播电视 ■纸质媒体</w:t>
            </w:r>
            <w:r>
              <w:rPr>
                <w:rFonts w:hint="eastAsia" w:ascii="仿宋_GB2312" w:hAnsi="微软雅黑" w:eastAsia="仿宋_GB2312" w:cs="宋体"/>
                <w:kern w:val="0"/>
                <w:sz w:val="18"/>
                <w:szCs w:val="18"/>
              </w:rPr>
              <w:br w:type="textWrapping"/>
            </w:r>
            <w:r>
              <w:rPr>
                <w:rFonts w:hint="eastAsia" w:ascii="仿宋_GB2312" w:hAnsi="微软雅黑" w:eastAsia="仿宋_GB2312" w:cs="宋体"/>
                <w:kern w:val="0"/>
                <w:sz w:val="18"/>
                <w:szCs w:val="18"/>
              </w:rPr>
              <w:t xml:space="preserve">■公开查阅点 </w:t>
            </w: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6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微软雅黑" w:hAnsi="微软雅黑" w:eastAsia="微软雅黑" w:cs="宋体"/>
                <w:kern w:val="0"/>
                <w:sz w:val="24"/>
                <w:szCs w:val="24"/>
              </w:rPr>
            </w:pP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微软雅黑" w:hAnsi="微软雅黑" w:eastAsia="微软雅黑" w:cs="宋体"/>
                <w:kern w:val="0"/>
                <w:sz w:val="24"/>
                <w:szCs w:val="24"/>
              </w:rPr>
            </w:pPr>
          </w:p>
        </w:tc>
        <w:tc>
          <w:tcPr>
            <w:tcW w:w="6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7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r>
      <w:tr>
        <w:tblPrEx>
          <w:tblCellMar>
            <w:top w:w="15" w:type="dxa"/>
            <w:left w:w="15" w:type="dxa"/>
            <w:bottom w:w="15" w:type="dxa"/>
            <w:right w:w="15" w:type="dxa"/>
          </w:tblCellMar>
        </w:tblPrEx>
        <w:trPr>
          <w:trHeight w:val="1110" w:hRule="atLeast"/>
        </w:trPr>
        <w:tc>
          <w:tcPr>
            <w:tcW w:w="474"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仿宋_GB2312" w:hAnsi="微软雅黑" w:eastAsia="仿宋_GB2312" w:cs="宋体"/>
                <w:kern w:val="0"/>
                <w:sz w:val="18"/>
                <w:szCs w:val="18"/>
              </w:rPr>
              <w:t>13</w:t>
            </w:r>
          </w:p>
        </w:tc>
        <w:tc>
          <w:tcPr>
            <w:tcW w:w="776" w:type="dxa"/>
            <w:vMerge w:val="restart"/>
            <w:tcBorders>
              <w:top w:val="nil"/>
              <w:left w:val="nil"/>
              <w:bottom w:val="nil"/>
              <w:right w:val="single" w:color="auto" w:sz="6"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仿宋_GB2312" w:hAnsi="微软雅黑" w:eastAsia="仿宋_GB2312" w:cs="宋体"/>
                <w:kern w:val="0"/>
                <w:sz w:val="18"/>
                <w:szCs w:val="18"/>
              </w:rPr>
              <w:t>灾害</w:t>
            </w:r>
          </w:p>
          <w:p>
            <w:pPr>
              <w:widowControl/>
              <w:wordWrap w:val="0"/>
              <w:spacing w:before="450" w:after="450"/>
              <w:jc w:val="center"/>
              <w:rPr>
                <w:rFonts w:ascii="微软雅黑" w:hAnsi="微软雅黑" w:eastAsia="微软雅黑" w:cs="宋体"/>
                <w:kern w:val="0"/>
                <w:sz w:val="24"/>
                <w:szCs w:val="24"/>
              </w:rPr>
            </w:pPr>
            <w:r>
              <w:rPr>
                <w:rFonts w:hint="eastAsia" w:ascii="仿宋_GB2312" w:hAnsi="微软雅黑" w:eastAsia="仿宋_GB2312" w:cs="宋体"/>
                <w:kern w:val="0"/>
                <w:sz w:val="18"/>
                <w:szCs w:val="18"/>
              </w:rPr>
              <w:t>救助</w:t>
            </w:r>
          </w:p>
        </w:tc>
        <w:tc>
          <w:tcPr>
            <w:tcW w:w="93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应急管理部门审批</w:t>
            </w:r>
          </w:p>
        </w:tc>
        <w:tc>
          <w:tcPr>
            <w:tcW w:w="281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救助款物通知及划拨情况</w:t>
            </w:r>
          </w:p>
        </w:tc>
        <w:tc>
          <w:tcPr>
            <w:tcW w:w="16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《政府信息公开条例》、《自然灾害救助条例》</w:t>
            </w:r>
          </w:p>
        </w:tc>
        <w:tc>
          <w:tcPr>
            <w:tcW w:w="18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信息形成或变更之日起20个工作日内</w:t>
            </w:r>
          </w:p>
        </w:tc>
        <w:tc>
          <w:tcPr>
            <w:tcW w:w="944" w:type="dxa"/>
            <w:tcBorders>
              <w:top w:val="nil"/>
              <w:left w:val="nil"/>
              <w:bottom w:val="single" w:color="auto" w:sz="6" w:space="0"/>
              <w:right w:val="single" w:color="auto" w:sz="6" w:space="0"/>
            </w:tcBorders>
            <w:tcMar>
              <w:top w:w="0" w:type="dxa"/>
              <w:left w:w="105" w:type="dxa"/>
              <w:bottom w:w="0" w:type="dxa"/>
              <w:right w:w="105" w:type="dxa"/>
            </w:tcMar>
          </w:tcPr>
          <w:p>
            <w:pPr>
              <w:rPr>
                <w:rFonts w:hint="eastAsia" w:ascii="仿宋_GB2312" w:hAnsi="微软雅黑" w:eastAsia="仿宋_GB2312" w:cs="宋体"/>
                <w:kern w:val="0"/>
                <w:sz w:val="18"/>
                <w:szCs w:val="18"/>
              </w:rPr>
            </w:pPr>
          </w:p>
          <w:p>
            <w:pPr>
              <w:rPr>
                <w:rFonts w:hint="eastAsia" w:ascii="仿宋_GB2312" w:hAnsi="微软雅黑" w:eastAsia="仿宋_GB2312" w:cs="宋体"/>
                <w:kern w:val="0"/>
                <w:sz w:val="18"/>
                <w:szCs w:val="18"/>
              </w:rPr>
            </w:pPr>
          </w:p>
          <w:p>
            <w:pPr>
              <w:rPr>
                <w:rFonts w:hint="eastAsia" w:ascii="仿宋_GB2312" w:hAnsi="微软雅黑" w:eastAsia="仿宋_GB2312" w:cs="宋体"/>
                <w:kern w:val="0"/>
                <w:sz w:val="18"/>
                <w:szCs w:val="18"/>
              </w:rPr>
            </w:pPr>
          </w:p>
          <w:p>
            <w:r>
              <w:rPr>
                <w:rFonts w:hint="eastAsia" w:ascii="仿宋_GB2312" w:hAnsi="微软雅黑" w:eastAsia="仿宋_GB2312" w:cs="宋体"/>
                <w:kern w:val="0"/>
                <w:sz w:val="18"/>
                <w:szCs w:val="18"/>
              </w:rPr>
              <w:t>高新区管委会</w:t>
            </w:r>
          </w:p>
        </w:tc>
        <w:tc>
          <w:tcPr>
            <w:tcW w:w="12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line="240" w:lineRule="atLeast"/>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■政府网站  </w:t>
            </w:r>
            <w:r>
              <w:rPr>
                <w:rFonts w:hint="eastAsia" w:ascii="仿宋_GB2312" w:hAnsi="微软雅黑" w:eastAsia="仿宋_GB2312" w:cs="宋体"/>
                <w:kern w:val="0"/>
                <w:sz w:val="18"/>
                <w:szCs w:val="18"/>
              </w:rPr>
              <w:br w:type="textWrapping"/>
            </w:r>
            <w:r>
              <w:rPr>
                <w:rFonts w:hint="eastAsia" w:ascii="仿宋_GB2312" w:hAnsi="微软雅黑" w:eastAsia="仿宋_GB2312" w:cs="宋体"/>
                <w:kern w:val="0"/>
                <w:sz w:val="18"/>
                <w:szCs w:val="18"/>
              </w:rPr>
              <w:t>■两微一端  </w:t>
            </w:r>
            <w:r>
              <w:rPr>
                <w:rFonts w:hint="eastAsia" w:ascii="仿宋_GB2312" w:hAnsi="微软雅黑" w:eastAsia="仿宋_GB2312" w:cs="宋体"/>
                <w:kern w:val="0"/>
                <w:sz w:val="18"/>
                <w:szCs w:val="18"/>
              </w:rPr>
              <w:br w:type="textWrapping"/>
            </w:r>
            <w:r>
              <w:rPr>
                <w:rFonts w:hint="eastAsia" w:ascii="仿宋_GB2312" w:hAnsi="微软雅黑" w:eastAsia="仿宋_GB2312" w:cs="宋体"/>
                <w:kern w:val="0"/>
                <w:sz w:val="18"/>
                <w:szCs w:val="18"/>
              </w:rPr>
              <w:t>■广播电视 ■纸质媒体</w:t>
            </w:r>
            <w:r>
              <w:rPr>
                <w:rFonts w:hint="eastAsia" w:ascii="仿宋_GB2312" w:hAnsi="微软雅黑" w:eastAsia="仿宋_GB2312" w:cs="宋体"/>
                <w:kern w:val="0"/>
                <w:sz w:val="18"/>
                <w:szCs w:val="18"/>
              </w:rPr>
              <w:br w:type="textWrapping"/>
            </w:r>
            <w:r>
              <w:rPr>
                <w:rFonts w:hint="eastAsia" w:ascii="仿宋_GB2312" w:hAnsi="微软雅黑" w:eastAsia="仿宋_GB2312" w:cs="宋体"/>
                <w:kern w:val="0"/>
                <w:sz w:val="18"/>
                <w:szCs w:val="18"/>
              </w:rPr>
              <w:t>■公开查阅点</w:t>
            </w: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6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微软雅黑" w:hAnsi="微软雅黑" w:eastAsia="微软雅黑" w:cs="宋体"/>
                <w:kern w:val="0"/>
                <w:sz w:val="24"/>
                <w:szCs w:val="24"/>
              </w:rPr>
            </w:pP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6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微软雅黑" w:hAnsi="微软雅黑" w:eastAsia="微软雅黑" w:cs="宋体"/>
                <w:kern w:val="0"/>
                <w:sz w:val="24"/>
                <w:szCs w:val="24"/>
              </w:rPr>
            </w:pP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7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r>
      <w:tr>
        <w:tblPrEx>
          <w:tblCellMar>
            <w:top w:w="15" w:type="dxa"/>
            <w:left w:w="15" w:type="dxa"/>
            <w:bottom w:w="15" w:type="dxa"/>
            <w:right w:w="15" w:type="dxa"/>
          </w:tblCellMar>
        </w:tblPrEx>
        <w:trPr>
          <w:trHeight w:val="2400" w:hRule="atLeast"/>
        </w:trPr>
        <w:tc>
          <w:tcPr>
            <w:tcW w:w="474"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仿宋_GB2312" w:hAnsi="微软雅黑" w:eastAsia="仿宋_GB2312" w:cs="宋体"/>
                <w:kern w:val="0"/>
                <w:sz w:val="18"/>
                <w:szCs w:val="18"/>
              </w:rPr>
              <w:t>14</w:t>
            </w:r>
          </w:p>
        </w:tc>
        <w:tc>
          <w:tcPr>
            <w:tcW w:w="0" w:type="auto"/>
            <w:vMerge w:val="continue"/>
            <w:tcBorders>
              <w:top w:val="nil"/>
              <w:left w:val="nil"/>
              <w:bottom w:val="nil"/>
              <w:right w:val="single" w:color="auto" w:sz="6" w:space="0"/>
            </w:tcBorders>
            <w:vAlign w:val="center"/>
          </w:tcPr>
          <w:p>
            <w:pPr>
              <w:widowControl/>
              <w:jc w:val="left"/>
              <w:rPr>
                <w:rFonts w:ascii="微软雅黑" w:hAnsi="微软雅黑" w:eastAsia="微软雅黑" w:cs="宋体"/>
                <w:kern w:val="0"/>
                <w:sz w:val="24"/>
                <w:szCs w:val="24"/>
              </w:rPr>
            </w:pPr>
          </w:p>
        </w:tc>
        <w:tc>
          <w:tcPr>
            <w:tcW w:w="93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因灾过渡期生活救助</w:t>
            </w:r>
          </w:p>
        </w:tc>
        <w:tc>
          <w:tcPr>
            <w:tcW w:w="2812" w:type="dxa"/>
            <w:tcBorders>
              <w:top w:val="nil"/>
              <w:left w:val="nil"/>
              <w:bottom w:val="single" w:color="auto" w:sz="6" w:space="0"/>
              <w:right w:val="single" w:color="auto" w:sz="6" w:space="0"/>
            </w:tcBorders>
            <w:tcMar>
              <w:top w:w="0" w:type="dxa"/>
              <w:left w:w="105" w:type="dxa"/>
              <w:bottom w:w="0" w:type="dxa"/>
              <w:right w:w="105" w:type="dxa"/>
            </w:tcMar>
          </w:tcPr>
          <w:p>
            <w:pPr>
              <w:widowControl/>
              <w:wordWrap w:val="0"/>
              <w:spacing w:before="450" w:after="450"/>
              <w:rPr>
                <w:rFonts w:ascii="仿宋_GB2312" w:hAnsi="微软雅黑" w:eastAsia="仿宋_GB2312" w:cs="宋体"/>
                <w:kern w:val="0"/>
                <w:sz w:val="18"/>
                <w:szCs w:val="18"/>
              </w:rPr>
            </w:pPr>
            <w:r>
              <w:rPr>
                <w:rFonts w:hint="eastAsia" w:ascii="仿宋_GB2312" w:hAnsi="微软雅黑" w:eastAsia="仿宋_GB2312" w:cs="宋体"/>
                <w:kern w:val="0"/>
                <w:sz w:val="18"/>
                <w:szCs w:val="18"/>
              </w:rPr>
              <w:t>因灾过渡期生活救助标准、过渡期生活救助对象评议结果公示（灾民姓名、受灾情况、拟救助金额、监督举报电话）过渡期生活救助对象确定（灾民姓名、受灾情况、救助金额、监督举报电话)</w:t>
            </w:r>
          </w:p>
        </w:tc>
        <w:tc>
          <w:tcPr>
            <w:tcW w:w="16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《政府信息公开条例》、《自然灾害救助条例》</w:t>
            </w:r>
          </w:p>
        </w:tc>
        <w:tc>
          <w:tcPr>
            <w:tcW w:w="18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信息形成或变更之日起20个工作日内</w:t>
            </w:r>
          </w:p>
        </w:tc>
        <w:tc>
          <w:tcPr>
            <w:tcW w:w="944" w:type="dxa"/>
            <w:tcBorders>
              <w:top w:val="nil"/>
              <w:left w:val="nil"/>
              <w:bottom w:val="single" w:color="auto" w:sz="6" w:space="0"/>
              <w:right w:val="single" w:color="auto" w:sz="6" w:space="0"/>
            </w:tcBorders>
            <w:tcMar>
              <w:top w:w="0" w:type="dxa"/>
              <w:left w:w="105" w:type="dxa"/>
              <w:bottom w:w="0" w:type="dxa"/>
              <w:right w:w="105" w:type="dxa"/>
            </w:tcMar>
          </w:tcPr>
          <w:p>
            <w:pPr>
              <w:rPr>
                <w:rFonts w:hint="eastAsia" w:ascii="仿宋_GB2312" w:hAnsi="微软雅黑" w:eastAsia="仿宋_GB2312" w:cs="宋体"/>
                <w:kern w:val="0"/>
                <w:sz w:val="18"/>
                <w:szCs w:val="18"/>
              </w:rPr>
            </w:pPr>
          </w:p>
          <w:p>
            <w:pPr>
              <w:rPr>
                <w:rFonts w:hint="eastAsia" w:ascii="仿宋_GB2312" w:hAnsi="微软雅黑" w:eastAsia="仿宋_GB2312" w:cs="宋体"/>
                <w:kern w:val="0"/>
                <w:sz w:val="18"/>
                <w:szCs w:val="18"/>
              </w:rPr>
            </w:pPr>
          </w:p>
          <w:p>
            <w:pPr>
              <w:rPr>
                <w:rFonts w:hint="eastAsia" w:ascii="仿宋_GB2312" w:hAnsi="微软雅黑" w:eastAsia="仿宋_GB2312" w:cs="宋体"/>
                <w:kern w:val="0"/>
                <w:sz w:val="18"/>
                <w:szCs w:val="18"/>
              </w:rPr>
            </w:pPr>
          </w:p>
          <w:p>
            <w:r>
              <w:rPr>
                <w:rFonts w:hint="eastAsia" w:ascii="仿宋_GB2312" w:hAnsi="微软雅黑" w:eastAsia="仿宋_GB2312" w:cs="宋体"/>
                <w:kern w:val="0"/>
                <w:sz w:val="18"/>
                <w:szCs w:val="18"/>
              </w:rPr>
              <w:t>高新区管委会</w:t>
            </w:r>
          </w:p>
        </w:tc>
        <w:tc>
          <w:tcPr>
            <w:tcW w:w="12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line="240" w:lineRule="atLeast"/>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■政府网站  </w:t>
            </w:r>
            <w:r>
              <w:rPr>
                <w:rFonts w:hint="eastAsia" w:ascii="仿宋_GB2312" w:hAnsi="微软雅黑" w:eastAsia="仿宋_GB2312" w:cs="宋体"/>
                <w:kern w:val="0"/>
                <w:sz w:val="18"/>
                <w:szCs w:val="18"/>
              </w:rPr>
              <w:br w:type="textWrapping"/>
            </w:r>
            <w:r>
              <w:rPr>
                <w:rFonts w:hint="eastAsia" w:ascii="仿宋_GB2312" w:hAnsi="微软雅黑" w:eastAsia="仿宋_GB2312" w:cs="宋体"/>
                <w:kern w:val="0"/>
                <w:sz w:val="18"/>
                <w:szCs w:val="18"/>
              </w:rPr>
              <w:t>■两微一端  </w:t>
            </w:r>
            <w:r>
              <w:rPr>
                <w:rFonts w:hint="eastAsia" w:ascii="仿宋_GB2312" w:hAnsi="微软雅黑" w:eastAsia="仿宋_GB2312" w:cs="宋体"/>
                <w:kern w:val="0"/>
                <w:sz w:val="18"/>
                <w:szCs w:val="18"/>
              </w:rPr>
              <w:br w:type="textWrapping"/>
            </w:r>
            <w:r>
              <w:rPr>
                <w:rFonts w:hint="eastAsia" w:ascii="仿宋_GB2312" w:hAnsi="微软雅黑" w:eastAsia="仿宋_GB2312" w:cs="宋体"/>
                <w:kern w:val="0"/>
                <w:sz w:val="18"/>
                <w:szCs w:val="18"/>
              </w:rPr>
              <w:t>■广播电视 ■纸质媒体</w:t>
            </w:r>
            <w:r>
              <w:rPr>
                <w:rFonts w:hint="eastAsia" w:ascii="仿宋_GB2312" w:hAnsi="微软雅黑" w:eastAsia="仿宋_GB2312" w:cs="宋体"/>
                <w:kern w:val="0"/>
                <w:sz w:val="18"/>
                <w:szCs w:val="18"/>
              </w:rPr>
              <w:br w:type="textWrapping"/>
            </w:r>
            <w:r>
              <w:rPr>
                <w:rFonts w:hint="eastAsia" w:ascii="仿宋_GB2312" w:hAnsi="微软雅黑" w:eastAsia="仿宋_GB2312" w:cs="宋体"/>
                <w:kern w:val="0"/>
                <w:sz w:val="18"/>
                <w:szCs w:val="18"/>
              </w:rPr>
              <w:t>■公开查阅点</w:t>
            </w: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6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微软雅黑" w:hAnsi="微软雅黑" w:eastAsia="微软雅黑" w:cs="宋体"/>
                <w:kern w:val="0"/>
                <w:sz w:val="24"/>
                <w:szCs w:val="24"/>
              </w:rPr>
            </w:pP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6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微软雅黑" w:hAnsi="微软雅黑" w:eastAsia="微软雅黑" w:cs="宋体"/>
                <w:kern w:val="0"/>
                <w:sz w:val="24"/>
                <w:szCs w:val="24"/>
              </w:rPr>
            </w:pP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7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r>
      <w:tr>
        <w:tblPrEx>
          <w:tblCellMar>
            <w:top w:w="15" w:type="dxa"/>
            <w:left w:w="15" w:type="dxa"/>
            <w:bottom w:w="15" w:type="dxa"/>
            <w:right w:w="15" w:type="dxa"/>
          </w:tblCellMar>
        </w:tblPrEx>
        <w:trPr>
          <w:trHeight w:val="1080" w:hRule="atLeast"/>
        </w:trPr>
        <w:tc>
          <w:tcPr>
            <w:tcW w:w="474"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仿宋_GB2312" w:hAnsi="微软雅黑" w:eastAsia="仿宋_GB2312" w:cs="宋体"/>
                <w:kern w:val="0"/>
                <w:sz w:val="18"/>
                <w:szCs w:val="18"/>
              </w:rPr>
              <w:t>15</w:t>
            </w:r>
          </w:p>
        </w:tc>
        <w:tc>
          <w:tcPr>
            <w:tcW w:w="7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仿宋_GB2312" w:hAnsi="微软雅黑" w:eastAsia="仿宋_GB2312" w:cs="宋体"/>
                <w:kern w:val="0"/>
                <w:sz w:val="18"/>
                <w:szCs w:val="18"/>
              </w:rPr>
              <w:t>灾后</w:t>
            </w:r>
          </w:p>
          <w:p>
            <w:pPr>
              <w:widowControl/>
              <w:wordWrap w:val="0"/>
              <w:spacing w:before="450" w:after="450"/>
              <w:jc w:val="center"/>
              <w:rPr>
                <w:rFonts w:ascii="微软雅黑" w:hAnsi="微软雅黑" w:eastAsia="微软雅黑" w:cs="宋体"/>
                <w:kern w:val="0"/>
                <w:sz w:val="24"/>
                <w:szCs w:val="24"/>
              </w:rPr>
            </w:pPr>
            <w:r>
              <w:rPr>
                <w:rFonts w:hint="eastAsia" w:ascii="仿宋_GB2312" w:hAnsi="微软雅黑" w:eastAsia="仿宋_GB2312" w:cs="宋体"/>
                <w:kern w:val="0"/>
                <w:sz w:val="18"/>
                <w:szCs w:val="18"/>
              </w:rPr>
              <w:t>救助</w:t>
            </w:r>
          </w:p>
        </w:tc>
        <w:tc>
          <w:tcPr>
            <w:tcW w:w="93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居民住房恢复重建救助</w:t>
            </w:r>
          </w:p>
        </w:tc>
        <w:tc>
          <w:tcPr>
            <w:tcW w:w="281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仿宋_GB2312" w:hAnsi="微软雅黑" w:eastAsia="仿宋_GB2312" w:cs="宋体"/>
                <w:kern w:val="0"/>
                <w:sz w:val="18"/>
                <w:szCs w:val="18"/>
              </w:rPr>
            </w:pPr>
            <w:r>
              <w:rPr>
                <w:rFonts w:hint="eastAsia" w:ascii="仿宋_GB2312" w:hAnsi="微软雅黑" w:eastAsia="仿宋_GB2312" w:cs="宋体"/>
                <w:kern w:val="0"/>
                <w:sz w:val="18"/>
                <w:szCs w:val="18"/>
              </w:rPr>
              <w:t>居民住房恢复重建救助标准（居民因灾倒房、损房恢复重建具体救助标准）</w:t>
            </w:r>
          </w:p>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居民住房恢复重建救助对象评议结果公示（公开灾民姓名、受灾情况、拟救助标准、监督举报电话）</w:t>
            </w:r>
          </w:p>
        </w:tc>
        <w:tc>
          <w:tcPr>
            <w:tcW w:w="16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《政府信息公开条例》、《自然灾害救助条例》</w:t>
            </w:r>
          </w:p>
        </w:tc>
        <w:tc>
          <w:tcPr>
            <w:tcW w:w="18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信息形成或变更之日起20个工作日内</w:t>
            </w:r>
          </w:p>
        </w:tc>
        <w:tc>
          <w:tcPr>
            <w:tcW w:w="944" w:type="dxa"/>
            <w:tcBorders>
              <w:top w:val="nil"/>
              <w:left w:val="nil"/>
              <w:bottom w:val="single" w:color="auto" w:sz="6" w:space="0"/>
              <w:right w:val="single" w:color="auto" w:sz="6" w:space="0"/>
            </w:tcBorders>
            <w:tcMar>
              <w:top w:w="0" w:type="dxa"/>
              <w:left w:w="105" w:type="dxa"/>
              <w:bottom w:w="0" w:type="dxa"/>
              <w:right w:w="105" w:type="dxa"/>
            </w:tcMar>
          </w:tcPr>
          <w:p>
            <w:pPr>
              <w:rPr>
                <w:rFonts w:hint="eastAsia" w:ascii="仿宋_GB2312" w:hAnsi="微软雅黑" w:eastAsia="仿宋_GB2312" w:cs="宋体"/>
                <w:kern w:val="0"/>
                <w:sz w:val="18"/>
                <w:szCs w:val="18"/>
              </w:rPr>
            </w:pPr>
          </w:p>
          <w:p>
            <w:pPr>
              <w:rPr>
                <w:rFonts w:hint="eastAsia" w:ascii="仿宋_GB2312" w:hAnsi="微软雅黑" w:eastAsia="仿宋_GB2312" w:cs="宋体"/>
                <w:kern w:val="0"/>
                <w:sz w:val="18"/>
                <w:szCs w:val="18"/>
              </w:rPr>
            </w:pPr>
          </w:p>
          <w:p>
            <w:pPr>
              <w:rPr>
                <w:rFonts w:hint="eastAsia" w:ascii="仿宋_GB2312" w:hAnsi="微软雅黑" w:eastAsia="仿宋_GB2312" w:cs="宋体"/>
                <w:kern w:val="0"/>
                <w:sz w:val="18"/>
                <w:szCs w:val="18"/>
              </w:rPr>
            </w:pPr>
          </w:p>
          <w:p>
            <w:pPr>
              <w:rPr>
                <w:rFonts w:hint="eastAsia" w:ascii="仿宋_GB2312" w:hAnsi="微软雅黑" w:eastAsia="仿宋_GB2312" w:cs="宋体"/>
                <w:kern w:val="0"/>
                <w:sz w:val="18"/>
                <w:szCs w:val="18"/>
              </w:rPr>
            </w:pPr>
          </w:p>
          <w:p>
            <w:pPr>
              <w:rPr>
                <w:rFonts w:hint="eastAsia" w:ascii="仿宋_GB2312" w:hAnsi="微软雅黑" w:eastAsia="仿宋_GB2312" w:cs="宋体"/>
                <w:kern w:val="0"/>
                <w:sz w:val="18"/>
                <w:szCs w:val="18"/>
              </w:rPr>
            </w:pPr>
          </w:p>
          <w:p>
            <w:r>
              <w:rPr>
                <w:rFonts w:hint="eastAsia" w:ascii="仿宋_GB2312" w:hAnsi="微软雅黑" w:eastAsia="仿宋_GB2312" w:cs="宋体"/>
                <w:kern w:val="0"/>
                <w:sz w:val="18"/>
                <w:szCs w:val="18"/>
              </w:rPr>
              <w:t>高新区管委会</w:t>
            </w:r>
          </w:p>
        </w:tc>
        <w:tc>
          <w:tcPr>
            <w:tcW w:w="12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line="240" w:lineRule="atLeast"/>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■政府网站  </w:t>
            </w:r>
            <w:r>
              <w:rPr>
                <w:rFonts w:hint="eastAsia" w:ascii="仿宋_GB2312" w:hAnsi="微软雅黑" w:eastAsia="仿宋_GB2312" w:cs="宋体"/>
                <w:kern w:val="0"/>
                <w:sz w:val="18"/>
                <w:szCs w:val="18"/>
              </w:rPr>
              <w:br w:type="textWrapping"/>
            </w:r>
            <w:r>
              <w:rPr>
                <w:rFonts w:hint="eastAsia" w:ascii="仿宋_GB2312" w:hAnsi="微软雅黑" w:eastAsia="仿宋_GB2312" w:cs="宋体"/>
                <w:kern w:val="0"/>
                <w:sz w:val="18"/>
                <w:szCs w:val="18"/>
              </w:rPr>
              <w:t>■两微一端  </w:t>
            </w:r>
            <w:r>
              <w:rPr>
                <w:rFonts w:hint="eastAsia" w:ascii="仿宋_GB2312" w:hAnsi="微软雅黑" w:eastAsia="仿宋_GB2312" w:cs="宋体"/>
                <w:kern w:val="0"/>
                <w:sz w:val="18"/>
                <w:szCs w:val="18"/>
              </w:rPr>
              <w:br w:type="textWrapping"/>
            </w:r>
            <w:r>
              <w:rPr>
                <w:rFonts w:hint="eastAsia" w:ascii="仿宋_GB2312" w:hAnsi="微软雅黑" w:eastAsia="仿宋_GB2312" w:cs="宋体"/>
                <w:kern w:val="0"/>
                <w:sz w:val="18"/>
                <w:szCs w:val="18"/>
              </w:rPr>
              <w:t>■广播电视 ■纸质媒体</w:t>
            </w:r>
            <w:r>
              <w:rPr>
                <w:rFonts w:hint="eastAsia" w:ascii="仿宋_GB2312" w:hAnsi="微软雅黑" w:eastAsia="仿宋_GB2312" w:cs="宋体"/>
                <w:kern w:val="0"/>
                <w:sz w:val="18"/>
                <w:szCs w:val="18"/>
              </w:rPr>
              <w:br w:type="textWrapping"/>
            </w:r>
            <w:r>
              <w:rPr>
                <w:rFonts w:hint="eastAsia" w:ascii="仿宋_GB2312" w:hAnsi="微软雅黑" w:eastAsia="仿宋_GB2312" w:cs="宋体"/>
                <w:kern w:val="0"/>
                <w:sz w:val="18"/>
                <w:szCs w:val="18"/>
              </w:rPr>
              <w:t>■公开查阅点</w:t>
            </w: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6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微软雅黑" w:hAnsi="微软雅黑" w:eastAsia="微软雅黑" w:cs="宋体"/>
                <w:kern w:val="0"/>
                <w:sz w:val="24"/>
                <w:szCs w:val="24"/>
              </w:rPr>
            </w:pP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6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微软雅黑" w:hAnsi="微软雅黑" w:eastAsia="微软雅黑" w:cs="宋体"/>
                <w:kern w:val="0"/>
                <w:sz w:val="24"/>
                <w:szCs w:val="24"/>
              </w:rPr>
            </w:pP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7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r>
      <w:tr>
        <w:tblPrEx>
          <w:tblCellMar>
            <w:top w:w="15" w:type="dxa"/>
            <w:left w:w="15" w:type="dxa"/>
            <w:bottom w:w="15" w:type="dxa"/>
            <w:right w:w="15" w:type="dxa"/>
          </w:tblCellMar>
        </w:tblPrEx>
        <w:trPr>
          <w:trHeight w:val="1080" w:hRule="atLeast"/>
        </w:trPr>
        <w:tc>
          <w:tcPr>
            <w:tcW w:w="474"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仿宋_GB2312" w:hAnsi="微软雅黑" w:eastAsia="仿宋_GB2312" w:cs="宋体"/>
                <w:kern w:val="0"/>
                <w:sz w:val="18"/>
                <w:szCs w:val="18"/>
              </w:rPr>
              <w:t>16</w:t>
            </w:r>
          </w:p>
        </w:tc>
        <w:tc>
          <w:tcPr>
            <w:tcW w:w="776" w:type="dxa"/>
            <w:vMerge w:val="restart"/>
            <w:tcBorders>
              <w:top w:val="nil"/>
              <w:left w:val="nil"/>
              <w:bottom w:val="nil"/>
              <w:right w:val="single" w:color="auto" w:sz="6"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仿宋_GB2312" w:hAnsi="微软雅黑" w:eastAsia="仿宋_GB2312" w:cs="宋体"/>
                <w:kern w:val="0"/>
                <w:sz w:val="18"/>
                <w:szCs w:val="18"/>
              </w:rPr>
              <w:t>款物</w:t>
            </w:r>
          </w:p>
          <w:p>
            <w:pPr>
              <w:widowControl/>
              <w:wordWrap w:val="0"/>
              <w:spacing w:before="450" w:after="450"/>
              <w:jc w:val="center"/>
              <w:rPr>
                <w:rFonts w:ascii="微软雅黑" w:hAnsi="微软雅黑" w:eastAsia="微软雅黑" w:cs="宋体"/>
                <w:kern w:val="0"/>
                <w:sz w:val="24"/>
                <w:szCs w:val="24"/>
              </w:rPr>
            </w:pPr>
            <w:r>
              <w:rPr>
                <w:rFonts w:hint="eastAsia" w:ascii="仿宋_GB2312" w:hAnsi="微软雅黑" w:eastAsia="仿宋_GB2312" w:cs="宋体"/>
                <w:kern w:val="0"/>
                <w:sz w:val="18"/>
                <w:szCs w:val="18"/>
              </w:rPr>
              <w:t>管理</w:t>
            </w:r>
          </w:p>
        </w:tc>
        <w:tc>
          <w:tcPr>
            <w:tcW w:w="93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捐赠款物信息</w:t>
            </w:r>
          </w:p>
        </w:tc>
        <w:tc>
          <w:tcPr>
            <w:tcW w:w="281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年度捐赠款物信息以及款物使用情况</w:t>
            </w:r>
          </w:p>
        </w:tc>
        <w:tc>
          <w:tcPr>
            <w:tcW w:w="16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《政府信息公开条例》</w:t>
            </w:r>
          </w:p>
        </w:tc>
        <w:tc>
          <w:tcPr>
            <w:tcW w:w="18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按进展情况及时公开</w:t>
            </w:r>
          </w:p>
        </w:tc>
        <w:tc>
          <w:tcPr>
            <w:tcW w:w="944" w:type="dxa"/>
            <w:tcBorders>
              <w:top w:val="nil"/>
              <w:left w:val="nil"/>
              <w:bottom w:val="single" w:color="auto" w:sz="6" w:space="0"/>
              <w:right w:val="single" w:color="auto" w:sz="6" w:space="0"/>
            </w:tcBorders>
            <w:tcMar>
              <w:top w:w="0" w:type="dxa"/>
              <w:left w:w="105" w:type="dxa"/>
              <w:bottom w:w="0" w:type="dxa"/>
              <w:right w:w="105" w:type="dxa"/>
            </w:tcMar>
          </w:tcPr>
          <w:p>
            <w:pPr>
              <w:rPr>
                <w:rFonts w:hint="eastAsia" w:ascii="仿宋_GB2312" w:hAnsi="微软雅黑" w:eastAsia="仿宋_GB2312" w:cs="宋体"/>
                <w:kern w:val="0"/>
                <w:sz w:val="18"/>
                <w:szCs w:val="18"/>
              </w:rPr>
            </w:pPr>
          </w:p>
          <w:p>
            <w:pPr>
              <w:rPr>
                <w:rFonts w:hint="eastAsia" w:ascii="仿宋_GB2312" w:hAnsi="微软雅黑" w:eastAsia="仿宋_GB2312" w:cs="宋体"/>
                <w:kern w:val="0"/>
                <w:sz w:val="18"/>
                <w:szCs w:val="18"/>
              </w:rPr>
            </w:pPr>
          </w:p>
          <w:p>
            <w:r>
              <w:rPr>
                <w:rFonts w:hint="eastAsia" w:ascii="仿宋_GB2312" w:hAnsi="微软雅黑" w:eastAsia="仿宋_GB2312" w:cs="宋体"/>
                <w:kern w:val="0"/>
                <w:sz w:val="18"/>
                <w:szCs w:val="18"/>
              </w:rPr>
              <w:t>高新区管委会</w:t>
            </w:r>
          </w:p>
        </w:tc>
        <w:tc>
          <w:tcPr>
            <w:tcW w:w="12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line="240" w:lineRule="atLeast"/>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■政府网站  </w:t>
            </w:r>
            <w:r>
              <w:rPr>
                <w:rFonts w:hint="eastAsia" w:ascii="仿宋_GB2312" w:hAnsi="微软雅黑" w:eastAsia="仿宋_GB2312" w:cs="宋体"/>
                <w:kern w:val="0"/>
                <w:sz w:val="18"/>
                <w:szCs w:val="18"/>
              </w:rPr>
              <w:br w:type="textWrapping"/>
            </w:r>
            <w:r>
              <w:rPr>
                <w:rFonts w:hint="eastAsia" w:ascii="仿宋_GB2312" w:hAnsi="微软雅黑" w:eastAsia="仿宋_GB2312" w:cs="宋体"/>
                <w:kern w:val="0"/>
                <w:sz w:val="18"/>
                <w:szCs w:val="18"/>
              </w:rPr>
              <w:t>■两微一端  </w:t>
            </w:r>
            <w:r>
              <w:rPr>
                <w:rFonts w:hint="eastAsia" w:ascii="仿宋_GB2312" w:hAnsi="微软雅黑" w:eastAsia="仿宋_GB2312" w:cs="宋体"/>
                <w:kern w:val="0"/>
                <w:sz w:val="18"/>
                <w:szCs w:val="18"/>
              </w:rPr>
              <w:br w:type="textWrapping"/>
            </w:r>
            <w:r>
              <w:rPr>
                <w:rFonts w:hint="eastAsia" w:ascii="仿宋_GB2312" w:hAnsi="微软雅黑" w:eastAsia="仿宋_GB2312" w:cs="宋体"/>
                <w:kern w:val="0"/>
                <w:sz w:val="18"/>
                <w:szCs w:val="18"/>
              </w:rPr>
              <w:t>■广播电视 ■纸质媒体</w:t>
            </w:r>
            <w:r>
              <w:rPr>
                <w:rFonts w:hint="eastAsia" w:ascii="仿宋_GB2312" w:hAnsi="微软雅黑" w:eastAsia="仿宋_GB2312" w:cs="宋体"/>
                <w:kern w:val="0"/>
                <w:sz w:val="18"/>
                <w:szCs w:val="18"/>
              </w:rPr>
              <w:br w:type="textWrapping"/>
            </w:r>
            <w:r>
              <w:rPr>
                <w:rFonts w:hint="eastAsia" w:ascii="仿宋_GB2312" w:hAnsi="微软雅黑" w:eastAsia="仿宋_GB2312" w:cs="宋体"/>
                <w:kern w:val="0"/>
                <w:sz w:val="18"/>
                <w:szCs w:val="18"/>
              </w:rPr>
              <w:t>■公开查阅点</w:t>
            </w: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6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微软雅黑" w:hAnsi="微软雅黑" w:eastAsia="微软雅黑" w:cs="宋体"/>
                <w:kern w:val="0"/>
                <w:sz w:val="24"/>
                <w:szCs w:val="24"/>
              </w:rPr>
            </w:pP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6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微软雅黑" w:hAnsi="微软雅黑" w:eastAsia="微软雅黑" w:cs="宋体"/>
                <w:kern w:val="0"/>
                <w:sz w:val="24"/>
                <w:szCs w:val="24"/>
              </w:rPr>
            </w:pP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7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r>
      <w:tr>
        <w:tblPrEx>
          <w:tblCellMar>
            <w:top w:w="15" w:type="dxa"/>
            <w:left w:w="15" w:type="dxa"/>
            <w:bottom w:w="15" w:type="dxa"/>
            <w:right w:w="15" w:type="dxa"/>
          </w:tblCellMar>
        </w:tblPrEx>
        <w:trPr>
          <w:trHeight w:val="1080" w:hRule="atLeast"/>
        </w:trPr>
        <w:tc>
          <w:tcPr>
            <w:tcW w:w="474"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仿宋_GB2312" w:hAnsi="微软雅黑" w:eastAsia="仿宋_GB2312" w:cs="宋体"/>
                <w:kern w:val="0"/>
                <w:sz w:val="18"/>
                <w:szCs w:val="18"/>
              </w:rPr>
              <w:t>17</w:t>
            </w:r>
          </w:p>
        </w:tc>
        <w:tc>
          <w:tcPr>
            <w:tcW w:w="0" w:type="auto"/>
            <w:vMerge w:val="continue"/>
            <w:tcBorders>
              <w:top w:val="nil"/>
              <w:left w:val="nil"/>
              <w:bottom w:val="nil"/>
              <w:right w:val="single" w:color="auto" w:sz="6" w:space="0"/>
            </w:tcBorders>
            <w:vAlign w:val="center"/>
          </w:tcPr>
          <w:p>
            <w:pPr>
              <w:widowControl/>
              <w:jc w:val="left"/>
              <w:rPr>
                <w:rFonts w:ascii="微软雅黑" w:hAnsi="微软雅黑" w:eastAsia="微软雅黑" w:cs="宋体"/>
                <w:kern w:val="0"/>
                <w:sz w:val="24"/>
                <w:szCs w:val="24"/>
              </w:rPr>
            </w:pPr>
          </w:p>
        </w:tc>
        <w:tc>
          <w:tcPr>
            <w:tcW w:w="93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年度款物使用情况</w:t>
            </w:r>
          </w:p>
        </w:tc>
        <w:tc>
          <w:tcPr>
            <w:tcW w:w="281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年度救灾资金和救灾物资等使用情况</w:t>
            </w:r>
          </w:p>
        </w:tc>
        <w:tc>
          <w:tcPr>
            <w:tcW w:w="16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《政府信息公开条例》</w:t>
            </w:r>
          </w:p>
        </w:tc>
        <w:tc>
          <w:tcPr>
            <w:tcW w:w="18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按进展情况及时公开</w:t>
            </w:r>
          </w:p>
        </w:tc>
        <w:tc>
          <w:tcPr>
            <w:tcW w:w="944" w:type="dxa"/>
            <w:tcBorders>
              <w:top w:val="nil"/>
              <w:left w:val="nil"/>
              <w:bottom w:val="single" w:color="auto" w:sz="6" w:space="0"/>
              <w:right w:val="single" w:color="auto" w:sz="6" w:space="0"/>
            </w:tcBorders>
            <w:tcMar>
              <w:top w:w="0" w:type="dxa"/>
              <w:left w:w="105" w:type="dxa"/>
              <w:bottom w:w="0" w:type="dxa"/>
              <w:right w:w="105" w:type="dxa"/>
            </w:tcMar>
          </w:tcPr>
          <w:p>
            <w:pPr>
              <w:rPr>
                <w:rFonts w:hint="eastAsia" w:ascii="仿宋_GB2312" w:hAnsi="微软雅黑" w:eastAsia="仿宋_GB2312" w:cs="宋体"/>
                <w:kern w:val="0"/>
                <w:sz w:val="18"/>
                <w:szCs w:val="18"/>
              </w:rPr>
            </w:pPr>
          </w:p>
          <w:p>
            <w:pPr>
              <w:rPr>
                <w:rFonts w:hint="eastAsia" w:ascii="仿宋_GB2312" w:hAnsi="微软雅黑" w:eastAsia="仿宋_GB2312" w:cs="宋体"/>
                <w:kern w:val="0"/>
                <w:sz w:val="18"/>
                <w:szCs w:val="18"/>
              </w:rPr>
            </w:pPr>
          </w:p>
          <w:p>
            <w:pPr>
              <w:rPr>
                <w:rFonts w:hint="eastAsia" w:ascii="仿宋_GB2312" w:hAnsi="微软雅黑" w:eastAsia="仿宋_GB2312" w:cs="宋体"/>
                <w:kern w:val="0"/>
                <w:sz w:val="18"/>
                <w:szCs w:val="18"/>
              </w:rPr>
            </w:pPr>
          </w:p>
          <w:p>
            <w:pPr>
              <w:rPr>
                <w:rFonts w:hint="eastAsia" w:ascii="仿宋_GB2312" w:hAnsi="微软雅黑" w:eastAsia="仿宋_GB2312" w:cs="宋体"/>
                <w:kern w:val="0"/>
                <w:sz w:val="18"/>
                <w:szCs w:val="18"/>
              </w:rPr>
            </w:pPr>
          </w:p>
          <w:p>
            <w:pPr>
              <w:rPr>
                <w:rFonts w:hint="eastAsia" w:ascii="仿宋_GB2312" w:hAnsi="微软雅黑" w:eastAsia="仿宋_GB2312" w:cs="宋体"/>
                <w:kern w:val="0"/>
                <w:sz w:val="18"/>
                <w:szCs w:val="18"/>
              </w:rPr>
            </w:pPr>
          </w:p>
          <w:p>
            <w:r>
              <w:rPr>
                <w:rFonts w:hint="eastAsia" w:ascii="仿宋_GB2312" w:hAnsi="微软雅黑" w:eastAsia="仿宋_GB2312" w:cs="宋体"/>
                <w:kern w:val="0"/>
                <w:sz w:val="18"/>
                <w:szCs w:val="18"/>
              </w:rPr>
              <w:t>高新区管委会</w:t>
            </w:r>
          </w:p>
        </w:tc>
        <w:tc>
          <w:tcPr>
            <w:tcW w:w="12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line="240" w:lineRule="atLeast"/>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■政府网站 ■两微一端 ■广播电视 ■纸质媒体</w:t>
            </w:r>
            <w:r>
              <w:rPr>
                <w:rFonts w:hint="eastAsia" w:ascii="仿宋_GB2312" w:hAnsi="微软雅黑" w:eastAsia="仿宋_GB2312" w:cs="宋体"/>
                <w:kern w:val="0"/>
                <w:sz w:val="18"/>
                <w:szCs w:val="18"/>
              </w:rPr>
              <w:br w:type="textWrapping"/>
            </w:r>
            <w:r>
              <w:rPr>
                <w:rFonts w:hint="eastAsia" w:ascii="仿宋_GB2312" w:hAnsi="微软雅黑" w:eastAsia="仿宋_GB2312" w:cs="宋体"/>
                <w:kern w:val="0"/>
                <w:sz w:val="18"/>
                <w:szCs w:val="18"/>
              </w:rPr>
              <w:t>■公开查阅点</w:t>
            </w: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6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微软雅黑" w:hAnsi="微软雅黑" w:eastAsia="微软雅黑" w:cs="宋体"/>
                <w:kern w:val="0"/>
                <w:sz w:val="24"/>
                <w:szCs w:val="24"/>
              </w:rPr>
            </w:pP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6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微软雅黑" w:hAnsi="微软雅黑" w:eastAsia="微软雅黑" w:cs="宋体"/>
                <w:kern w:val="0"/>
                <w:sz w:val="24"/>
                <w:szCs w:val="24"/>
              </w:rPr>
            </w:pP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7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r>
      <w:tr>
        <w:tblPrEx>
          <w:tblCellMar>
            <w:top w:w="15" w:type="dxa"/>
            <w:left w:w="15" w:type="dxa"/>
            <w:bottom w:w="15" w:type="dxa"/>
            <w:right w:w="15" w:type="dxa"/>
          </w:tblCellMar>
        </w:tblPrEx>
        <w:trPr>
          <w:trHeight w:val="1080" w:hRule="atLeast"/>
        </w:trPr>
        <w:tc>
          <w:tcPr>
            <w:tcW w:w="474"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仿宋_GB2312" w:hAnsi="微软雅黑" w:eastAsia="仿宋_GB2312" w:cs="宋体"/>
                <w:kern w:val="0"/>
                <w:sz w:val="18"/>
                <w:szCs w:val="18"/>
              </w:rPr>
              <w:t>18</w:t>
            </w:r>
          </w:p>
        </w:tc>
        <w:tc>
          <w:tcPr>
            <w:tcW w:w="7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center"/>
              <w:rPr>
                <w:rFonts w:ascii="微软雅黑" w:hAnsi="微软雅黑" w:eastAsia="微软雅黑" w:cs="宋体"/>
                <w:kern w:val="0"/>
                <w:sz w:val="24"/>
                <w:szCs w:val="24"/>
              </w:rPr>
            </w:pPr>
            <w:r>
              <w:rPr>
                <w:rFonts w:hint="eastAsia" w:ascii="仿宋_GB2312" w:hAnsi="微软雅黑" w:eastAsia="仿宋_GB2312" w:cs="宋体"/>
                <w:kern w:val="0"/>
                <w:sz w:val="18"/>
                <w:szCs w:val="18"/>
              </w:rPr>
              <w:t>工作</w:t>
            </w:r>
          </w:p>
          <w:p>
            <w:pPr>
              <w:widowControl/>
              <w:wordWrap w:val="0"/>
              <w:spacing w:before="450" w:after="450"/>
              <w:jc w:val="center"/>
              <w:rPr>
                <w:rFonts w:ascii="微软雅黑" w:hAnsi="微软雅黑" w:eastAsia="微软雅黑" w:cs="宋体"/>
                <w:kern w:val="0"/>
                <w:sz w:val="24"/>
                <w:szCs w:val="24"/>
              </w:rPr>
            </w:pPr>
            <w:r>
              <w:rPr>
                <w:rFonts w:hint="eastAsia" w:ascii="仿宋_GB2312" w:hAnsi="微软雅黑" w:eastAsia="仿宋_GB2312" w:cs="宋体"/>
                <w:kern w:val="0"/>
                <w:sz w:val="18"/>
                <w:szCs w:val="18"/>
              </w:rPr>
              <w:t>动态</w:t>
            </w:r>
          </w:p>
        </w:tc>
        <w:tc>
          <w:tcPr>
            <w:tcW w:w="93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工作信息</w:t>
            </w:r>
          </w:p>
        </w:tc>
        <w:tc>
          <w:tcPr>
            <w:tcW w:w="281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防灾减灾救灾其他相关动态信息</w:t>
            </w:r>
          </w:p>
        </w:tc>
        <w:tc>
          <w:tcPr>
            <w:tcW w:w="16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《政府信息公开条例》</w:t>
            </w:r>
          </w:p>
        </w:tc>
        <w:tc>
          <w:tcPr>
            <w:tcW w:w="18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按进展情况及时公开</w:t>
            </w:r>
          </w:p>
        </w:tc>
        <w:tc>
          <w:tcPr>
            <w:tcW w:w="944" w:type="dxa"/>
            <w:tcBorders>
              <w:top w:val="nil"/>
              <w:left w:val="nil"/>
              <w:bottom w:val="single" w:color="auto" w:sz="6" w:space="0"/>
              <w:right w:val="single" w:color="auto" w:sz="6" w:space="0"/>
            </w:tcBorders>
            <w:tcMar>
              <w:top w:w="0" w:type="dxa"/>
              <w:left w:w="105" w:type="dxa"/>
              <w:bottom w:w="0" w:type="dxa"/>
              <w:right w:w="105" w:type="dxa"/>
            </w:tcMar>
          </w:tcPr>
          <w:p>
            <w:pPr>
              <w:rPr>
                <w:rFonts w:hint="eastAsia" w:ascii="仿宋_GB2312" w:hAnsi="微软雅黑" w:eastAsia="仿宋_GB2312" w:cs="宋体"/>
                <w:kern w:val="0"/>
                <w:sz w:val="18"/>
                <w:szCs w:val="18"/>
              </w:rPr>
            </w:pPr>
          </w:p>
          <w:p>
            <w:pPr>
              <w:rPr>
                <w:rFonts w:hint="eastAsia" w:ascii="仿宋_GB2312" w:hAnsi="微软雅黑" w:eastAsia="仿宋_GB2312" w:cs="宋体"/>
                <w:kern w:val="0"/>
                <w:sz w:val="18"/>
                <w:szCs w:val="18"/>
              </w:rPr>
            </w:pPr>
          </w:p>
          <w:p>
            <w:r>
              <w:rPr>
                <w:rFonts w:hint="eastAsia" w:ascii="仿宋_GB2312" w:hAnsi="微软雅黑" w:eastAsia="仿宋_GB2312" w:cs="宋体"/>
                <w:kern w:val="0"/>
                <w:sz w:val="18"/>
                <w:szCs w:val="18"/>
              </w:rPr>
              <w:t>高新区管委会</w:t>
            </w:r>
          </w:p>
        </w:tc>
        <w:tc>
          <w:tcPr>
            <w:tcW w:w="12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line="240" w:lineRule="atLeast"/>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■政府网站  </w:t>
            </w:r>
            <w:r>
              <w:rPr>
                <w:rFonts w:hint="eastAsia" w:ascii="仿宋_GB2312" w:hAnsi="微软雅黑" w:eastAsia="仿宋_GB2312" w:cs="宋体"/>
                <w:kern w:val="0"/>
                <w:sz w:val="18"/>
                <w:szCs w:val="18"/>
              </w:rPr>
              <w:br w:type="textWrapping"/>
            </w:r>
            <w:r>
              <w:rPr>
                <w:rFonts w:hint="eastAsia" w:ascii="仿宋_GB2312" w:hAnsi="微软雅黑" w:eastAsia="仿宋_GB2312" w:cs="宋体"/>
                <w:kern w:val="0"/>
                <w:sz w:val="18"/>
                <w:szCs w:val="18"/>
              </w:rPr>
              <w:t>■两微一端  </w:t>
            </w:r>
            <w:r>
              <w:rPr>
                <w:rFonts w:hint="eastAsia" w:ascii="仿宋_GB2312" w:hAnsi="微软雅黑" w:eastAsia="仿宋_GB2312" w:cs="宋体"/>
                <w:kern w:val="0"/>
                <w:sz w:val="18"/>
                <w:szCs w:val="18"/>
              </w:rPr>
              <w:br w:type="textWrapping"/>
            </w:r>
            <w:r>
              <w:rPr>
                <w:rFonts w:hint="eastAsia" w:ascii="仿宋_GB2312" w:hAnsi="微软雅黑" w:eastAsia="仿宋_GB2312" w:cs="宋体"/>
                <w:kern w:val="0"/>
                <w:sz w:val="18"/>
                <w:szCs w:val="18"/>
              </w:rPr>
              <w:t>■广播电视 ■纸质媒体</w:t>
            </w:r>
            <w:r>
              <w:rPr>
                <w:rFonts w:hint="eastAsia" w:ascii="仿宋_GB2312" w:hAnsi="微软雅黑" w:eastAsia="仿宋_GB2312" w:cs="宋体"/>
                <w:kern w:val="0"/>
                <w:sz w:val="18"/>
                <w:szCs w:val="18"/>
              </w:rPr>
              <w:br w:type="textWrapping"/>
            </w:r>
            <w:r>
              <w:rPr>
                <w:rFonts w:hint="eastAsia" w:ascii="仿宋_GB2312" w:hAnsi="微软雅黑" w:eastAsia="仿宋_GB2312" w:cs="宋体"/>
                <w:kern w:val="0"/>
                <w:sz w:val="18"/>
                <w:szCs w:val="18"/>
              </w:rPr>
              <w:t>■公开查阅点</w:t>
            </w: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6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微软雅黑" w:hAnsi="微软雅黑" w:eastAsia="微软雅黑" w:cs="宋体"/>
                <w:kern w:val="0"/>
                <w:sz w:val="24"/>
                <w:szCs w:val="24"/>
              </w:rPr>
            </w:pP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6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微软雅黑" w:hAnsi="微软雅黑" w:eastAsia="微软雅黑" w:cs="宋体"/>
                <w:kern w:val="0"/>
                <w:sz w:val="24"/>
                <w:szCs w:val="24"/>
              </w:rPr>
            </w:pPr>
          </w:p>
        </w:tc>
        <w:tc>
          <w:tcPr>
            <w:tcW w:w="4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c>
          <w:tcPr>
            <w:tcW w:w="7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450" w:after="450"/>
              <w:jc w:val="left"/>
              <w:rPr>
                <w:rFonts w:ascii="微软雅黑" w:hAnsi="微软雅黑" w:eastAsia="微软雅黑" w:cs="宋体"/>
                <w:kern w:val="0"/>
                <w:sz w:val="24"/>
                <w:szCs w:val="24"/>
              </w:rPr>
            </w:pPr>
            <w:r>
              <w:rPr>
                <w:rFonts w:hint="eastAsia" w:ascii="仿宋_GB2312" w:hAnsi="微软雅黑" w:eastAsia="仿宋_GB2312" w:cs="宋体"/>
                <w:kern w:val="0"/>
                <w:sz w:val="18"/>
                <w:szCs w:val="18"/>
              </w:rPr>
              <w:t>√</w:t>
            </w:r>
          </w:p>
        </w:tc>
      </w:tr>
    </w:tbl>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1E4"/>
    <w:rsid w:val="000D7866"/>
    <w:rsid w:val="00150F7F"/>
    <w:rsid w:val="00160FFC"/>
    <w:rsid w:val="00166FDB"/>
    <w:rsid w:val="00197624"/>
    <w:rsid w:val="00403BAC"/>
    <w:rsid w:val="00512E5C"/>
    <w:rsid w:val="005B4221"/>
    <w:rsid w:val="00607636"/>
    <w:rsid w:val="00640151"/>
    <w:rsid w:val="006F0721"/>
    <w:rsid w:val="00830E4C"/>
    <w:rsid w:val="008A0068"/>
    <w:rsid w:val="00AF269D"/>
    <w:rsid w:val="00F82C8E"/>
    <w:rsid w:val="00FC60E2"/>
    <w:rsid w:val="00FE01E4"/>
    <w:rsid w:val="75E03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374</Words>
  <Characters>2138</Characters>
  <Lines>17</Lines>
  <Paragraphs>5</Paragraphs>
  <TotalTime>14</TotalTime>
  <ScaleCrop>false</ScaleCrop>
  <LinksUpToDate>false</LinksUpToDate>
  <CharactersWithSpaces>2507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2020-09-21T02:36:00Z</dcterms:created>
  <dc:creator>Windows 用户</dc:creator>
  <cp:lastModifiedBy>Administrator</cp:lastModifiedBy>
  <dcterms:modified xsi:type="dcterms:W3CDTF">2020-09-23T07:48:43Z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