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left="89"/>
        <w:jc w:val="left"/>
        <w:rPr>
          <w:rFonts w:ascii="黑体" w:hAnsi="宋体" w:eastAsia="黑体" w:cs="宋体"/>
          <w:b/>
          <w:bCs/>
          <w:color w:val="000000"/>
          <w:kern w:val="0"/>
          <w:sz w:val="32"/>
          <w:szCs w:val="32"/>
        </w:rPr>
      </w:pPr>
      <w:r>
        <w:rPr>
          <w:rFonts w:hint="eastAsia" w:ascii="黑体" w:hAnsi="宋体" w:eastAsia="黑体" w:cs="宋体"/>
          <w:bCs/>
          <w:color w:val="000000"/>
          <w:kern w:val="0"/>
          <w:sz w:val="32"/>
          <w:szCs w:val="32"/>
        </w:rPr>
        <w:t>附件</w:t>
      </w:r>
      <w:r>
        <w:rPr>
          <w:rFonts w:ascii="黑体" w:hAnsi="宋体" w:eastAsia="黑体" w:cs="宋体"/>
          <w:bCs/>
          <w:color w:val="000000"/>
          <w:kern w:val="0"/>
          <w:sz w:val="32"/>
          <w:szCs w:val="32"/>
        </w:rPr>
        <w:t>2-1</w:t>
      </w:r>
    </w:p>
    <w:p>
      <w:pPr>
        <w:widowControl/>
        <w:spacing w:beforeLines="10" w:afterLines="10"/>
        <w:jc w:val="center"/>
        <w:rPr>
          <w:rFonts w:ascii="方正小标宋简体" w:hAnsi="华文中宋" w:eastAsia="方正小标宋简体" w:cs="宋体"/>
          <w:bCs/>
          <w:color w:val="000000"/>
          <w:kern w:val="0"/>
          <w:sz w:val="36"/>
          <w:szCs w:val="36"/>
        </w:rPr>
      </w:pPr>
      <w:r>
        <w:rPr>
          <w:rFonts w:hint="eastAsia" w:ascii="方正小标宋简体" w:hAnsi="华文中宋" w:eastAsia="方正小标宋简体" w:cs="宋体"/>
          <w:bCs/>
          <w:color w:val="000000"/>
          <w:kern w:val="0"/>
          <w:sz w:val="36"/>
          <w:szCs w:val="36"/>
        </w:rPr>
        <w:t>南宁市应急管理局安全生产领域政务公开目录</w:t>
      </w:r>
    </w:p>
    <w:tbl>
      <w:tblPr>
        <w:tblStyle w:val="3"/>
        <w:tblW w:w="5266" w:type="pct"/>
        <w:jc w:val="center"/>
        <w:tblLayout w:type="autofit"/>
        <w:tblCellMar>
          <w:top w:w="0" w:type="dxa"/>
          <w:left w:w="57" w:type="dxa"/>
          <w:bottom w:w="0" w:type="dxa"/>
          <w:right w:w="57" w:type="dxa"/>
        </w:tblCellMar>
      </w:tblPr>
      <w:tblGrid>
        <w:gridCol w:w="731"/>
        <w:gridCol w:w="462"/>
        <w:gridCol w:w="665"/>
        <w:gridCol w:w="3437"/>
        <w:gridCol w:w="3459"/>
        <w:gridCol w:w="1155"/>
        <w:gridCol w:w="1766"/>
        <w:gridCol w:w="1323"/>
        <w:gridCol w:w="792"/>
        <w:gridCol w:w="514"/>
        <w:gridCol w:w="517"/>
      </w:tblGrid>
      <w:tr>
        <w:tblPrEx>
          <w:tblCellMar>
            <w:top w:w="0" w:type="dxa"/>
            <w:left w:w="57" w:type="dxa"/>
            <w:bottom w:w="0" w:type="dxa"/>
            <w:right w:w="57" w:type="dxa"/>
          </w:tblCellMar>
        </w:tblPrEx>
        <w:trPr>
          <w:cantSplit/>
          <w:trHeight w:val="390" w:hRule="atLeast"/>
          <w:tblHeader/>
          <w:jc w:val="center"/>
        </w:trPr>
        <w:tc>
          <w:tcPr>
            <w:tcW w:w="190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公开事项</w:t>
            </w:r>
          </w:p>
        </w:tc>
        <w:tc>
          <w:tcPr>
            <w:tcW w:w="363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公开内容</w:t>
            </w:r>
          </w:p>
        </w:tc>
        <w:tc>
          <w:tcPr>
            <w:tcW w:w="361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公开依据</w:t>
            </w:r>
          </w:p>
        </w:tc>
        <w:tc>
          <w:tcPr>
            <w:tcW w:w="119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公开时限</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公开负责部门</w:t>
            </w:r>
          </w:p>
        </w:tc>
        <w:tc>
          <w:tcPr>
            <w:tcW w:w="137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公开渠道</w:t>
            </w:r>
          </w:p>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和载体</w:t>
            </w:r>
          </w:p>
        </w:tc>
        <w:tc>
          <w:tcPr>
            <w:tcW w:w="826"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公开对象</w:t>
            </w:r>
          </w:p>
        </w:tc>
        <w:tc>
          <w:tcPr>
            <w:tcW w:w="1053"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w:t>
            </w:r>
          </w:p>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方式</w:t>
            </w:r>
          </w:p>
        </w:tc>
      </w:tr>
      <w:tr>
        <w:tblPrEx>
          <w:tblCellMar>
            <w:top w:w="0" w:type="dxa"/>
            <w:left w:w="57" w:type="dxa"/>
            <w:bottom w:w="0" w:type="dxa"/>
            <w:right w:w="57" w:type="dxa"/>
          </w:tblCellMar>
        </w:tblPrEx>
        <w:trPr>
          <w:cantSplit/>
          <w:trHeight w:val="696" w:hRule="atLeast"/>
          <w:tblHeader/>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一级事项</w:t>
            </w:r>
          </w:p>
        </w:tc>
        <w:tc>
          <w:tcPr>
            <w:tcW w:w="1169"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二级事项</w:t>
            </w:r>
          </w:p>
        </w:tc>
        <w:tc>
          <w:tcPr>
            <w:tcW w:w="3638"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p>
        </w:tc>
        <w:tc>
          <w:tcPr>
            <w:tcW w:w="361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p>
        </w:tc>
        <w:tc>
          <w:tcPr>
            <w:tcW w:w="826" w:type="dxa"/>
            <w:tcBorders>
              <w:top w:val="nil"/>
              <w:left w:val="nil"/>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全社会</w:t>
            </w:r>
          </w:p>
        </w:tc>
        <w:tc>
          <w:tcPr>
            <w:tcW w:w="526" w:type="dxa"/>
            <w:tcBorders>
              <w:top w:val="nil"/>
              <w:left w:val="nil"/>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主动</w:t>
            </w:r>
          </w:p>
        </w:tc>
        <w:tc>
          <w:tcPr>
            <w:tcW w:w="527" w:type="dxa"/>
            <w:tcBorders>
              <w:top w:val="nil"/>
              <w:left w:val="nil"/>
              <w:bottom w:val="single" w:color="auto" w:sz="4" w:space="0"/>
              <w:right w:val="single" w:color="auto" w:sz="4" w:space="0"/>
            </w:tcBorders>
            <w:vAlign w:val="center"/>
          </w:tcPr>
          <w:p>
            <w:pPr>
              <w:spacing w:line="20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依申请</w:t>
            </w:r>
          </w:p>
        </w:tc>
      </w:tr>
      <w:tr>
        <w:tblPrEx>
          <w:tblCellMar>
            <w:top w:w="0" w:type="dxa"/>
            <w:left w:w="57" w:type="dxa"/>
            <w:bottom w:w="0" w:type="dxa"/>
            <w:right w:w="57" w:type="dxa"/>
          </w:tblCellMar>
        </w:tblPrEx>
        <w:trPr>
          <w:trHeight w:val="1157" w:hRule="atLeast"/>
          <w:jc w:val="center"/>
        </w:trPr>
        <w:tc>
          <w:tcPr>
            <w:tcW w:w="731" w:type="dxa"/>
            <w:vMerge w:val="restart"/>
            <w:tcBorders>
              <w:top w:val="nil"/>
              <w:left w:val="single" w:color="auto" w:sz="4" w:space="0"/>
              <w:right w:val="single" w:color="000000" w:sz="4" w:space="0"/>
            </w:tcBorders>
            <w:noWrap/>
            <w:vAlign w:val="center"/>
          </w:tcPr>
          <w:p>
            <w:pPr>
              <w:spacing w:line="26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w:t>
            </w:r>
          </w:p>
          <w:p>
            <w:pPr>
              <w:spacing w:line="26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策</w:t>
            </w:r>
          </w:p>
          <w:p>
            <w:pPr>
              <w:spacing w:line="26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文</w:t>
            </w:r>
          </w:p>
          <w:p>
            <w:pPr>
              <w:spacing w:line="260" w:lineRule="exact"/>
              <w:jc w:val="center"/>
              <w:rPr>
                <w:rFonts w:ascii="仿宋" w:hAnsi="仿宋" w:eastAsia="仿宋" w:cs="宋体"/>
                <w:color w:val="000000"/>
                <w:kern w:val="0"/>
                <w:sz w:val="24"/>
                <w:szCs w:val="24"/>
              </w:rPr>
            </w:pPr>
            <w:r>
              <w:rPr>
                <w:rFonts w:hint="eastAsia" w:ascii="仿宋" w:hAnsi="仿宋" w:eastAsia="仿宋" w:cs="宋体"/>
                <w:bCs/>
                <w:color w:val="000000"/>
                <w:kern w:val="0"/>
                <w:sz w:val="24"/>
                <w:szCs w:val="24"/>
              </w:rPr>
              <w:t>件</w:t>
            </w:r>
          </w:p>
        </w:tc>
        <w:tc>
          <w:tcPr>
            <w:tcW w:w="480" w:type="dxa"/>
            <w:tcBorders>
              <w:top w:val="nil"/>
              <w:left w:val="nil"/>
              <w:bottom w:val="single" w:color="auto" w:sz="4" w:space="0"/>
              <w:right w:val="single" w:color="auto" w:sz="4" w:space="0"/>
            </w:tcBorders>
            <w:vAlign w:val="center"/>
          </w:tcPr>
          <w:p>
            <w:pPr>
              <w:spacing w:line="26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1</w:t>
            </w:r>
          </w:p>
        </w:tc>
        <w:tc>
          <w:tcPr>
            <w:tcW w:w="689"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政策</w:t>
            </w:r>
          </w:p>
          <w:p>
            <w:pPr>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文件</w:t>
            </w:r>
          </w:p>
        </w:tc>
        <w:tc>
          <w:tcPr>
            <w:tcW w:w="363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与安全生产有关的政策文件，包括改革方案、发展规划、专项规划、工作计划等</w:t>
            </w:r>
          </w:p>
        </w:tc>
        <w:tc>
          <w:tcPr>
            <w:tcW w:w="3615"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w:t>
            </w:r>
          </w:p>
        </w:tc>
        <w:tc>
          <w:tcPr>
            <w:tcW w:w="119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信息形成或变更之日起</w:t>
            </w:r>
            <w:r>
              <w:rPr>
                <w:rFonts w:ascii="仿宋" w:hAnsi="仿宋" w:eastAsia="仿宋" w:cs="宋体"/>
                <w:bCs/>
                <w:color w:val="000000"/>
                <w:kern w:val="0"/>
                <w:sz w:val="24"/>
                <w:szCs w:val="24"/>
              </w:rPr>
              <w:t>20</w:t>
            </w:r>
            <w:r>
              <w:rPr>
                <w:rFonts w:hint="eastAsia" w:ascii="仿宋" w:hAnsi="仿宋" w:eastAsia="仿宋" w:cs="宋体"/>
                <w:bCs/>
                <w:color w:val="000000"/>
                <w:kern w:val="0"/>
                <w:sz w:val="24"/>
                <w:szCs w:val="24"/>
              </w:rPr>
              <w:t>个工作日内</w:t>
            </w:r>
          </w:p>
        </w:tc>
        <w:tc>
          <w:tcPr>
            <w:tcW w:w="1856" w:type="dxa"/>
            <w:tcBorders>
              <w:top w:val="nil"/>
              <w:left w:val="nil"/>
              <w:bottom w:val="nil"/>
              <w:right w:val="single" w:color="auto" w:sz="4" w:space="0"/>
            </w:tcBorders>
            <w:vAlign w:val="center"/>
          </w:tcPr>
          <w:p>
            <w:pPr>
              <w:spacing w:line="260" w:lineRule="exact"/>
              <w:rPr>
                <w:rFonts w:ascii="仿宋" w:hAnsi="仿宋" w:eastAsia="仿宋" w:cs="宋体"/>
                <w:bCs/>
                <w:spacing w:val="-6"/>
                <w:kern w:val="0"/>
                <w:sz w:val="24"/>
                <w:szCs w:val="24"/>
              </w:rPr>
            </w:pPr>
            <w:r>
              <w:rPr>
                <w:rFonts w:hint="eastAsia" w:ascii="仿宋" w:hAnsi="仿宋" w:eastAsia="仿宋" w:cs="宋体"/>
                <w:bCs/>
                <w:spacing w:val="-6"/>
                <w:kern w:val="0"/>
                <w:sz w:val="24"/>
                <w:szCs w:val="24"/>
              </w:rPr>
              <w:t>政策法规科牵头，各相关业务科室配合</w:t>
            </w:r>
          </w:p>
        </w:tc>
        <w:tc>
          <w:tcPr>
            <w:tcW w:w="1379" w:type="dxa"/>
            <w:tcBorders>
              <w:top w:val="nil"/>
              <w:left w:val="nil"/>
              <w:bottom w:val="nil"/>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p>
        </w:tc>
        <w:tc>
          <w:tcPr>
            <w:tcW w:w="826" w:type="dxa"/>
            <w:tcBorders>
              <w:top w:val="nil"/>
              <w:left w:val="nil"/>
              <w:bottom w:val="single" w:color="auto" w:sz="4" w:space="0"/>
              <w:right w:val="single" w:color="auto" w:sz="4" w:space="0"/>
            </w:tcBorders>
            <w:vAlign w:val="center"/>
          </w:tcPr>
          <w:p>
            <w:pPr>
              <w:spacing w:line="260" w:lineRule="exact"/>
              <w:jc w:val="center"/>
              <w:rPr>
                <w:rFonts w:ascii="仿宋" w:hAnsi="仿宋" w:eastAsia="仿宋" w:cs="宋体"/>
                <w:bCs/>
                <w:color w:val="000000"/>
                <w:kern w:val="0"/>
                <w:sz w:val="24"/>
                <w:szCs w:val="24"/>
              </w:rPr>
            </w:pPr>
            <w:r>
              <w:rPr>
                <w:rFonts w:hint="eastAsia" w:ascii="仿宋" w:hAnsi="仿宋" w:eastAsia="仿宋" w:cs="宋体"/>
                <w:bCs/>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1185" w:hRule="atLeast"/>
          <w:jc w:val="center"/>
        </w:trPr>
        <w:tc>
          <w:tcPr>
            <w:tcW w:w="731" w:type="dxa"/>
            <w:vMerge w:val="continue"/>
            <w:tcBorders>
              <w:left w:val="single" w:color="auto" w:sz="4" w:space="0"/>
              <w:right w:val="single" w:color="000000" w:sz="4" w:space="0"/>
            </w:tcBorders>
            <w:vAlign w:val="center"/>
          </w:tcPr>
          <w:p>
            <w:pPr>
              <w:spacing w:line="260" w:lineRule="exact"/>
              <w:rPr>
                <w:rFonts w:ascii="仿宋" w:hAnsi="仿宋" w:eastAsia="仿宋" w:cs="宋体"/>
                <w:color w:val="000000"/>
                <w:kern w:val="0"/>
                <w:sz w:val="24"/>
                <w:szCs w:val="24"/>
              </w:rPr>
            </w:pPr>
          </w:p>
        </w:tc>
        <w:tc>
          <w:tcPr>
            <w:tcW w:w="480" w:type="dxa"/>
            <w:tcBorders>
              <w:top w:val="nil"/>
              <w:left w:val="nil"/>
              <w:bottom w:val="single" w:color="auto" w:sz="4" w:space="0"/>
              <w:right w:val="single" w:color="auto" w:sz="4" w:space="0"/>
            </w:tcBorders>
            <w:vAlign w:val="center"/>
          </w:tcPr>
          <w:p>
            <w:pPr>
              <w:spacing w:line="26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2</w:t>
            </w:r>
          </w:p>
        </w:tc>
        <w:tc>
          <w:tcPr>
            <w:tcW w:w="689"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重大</w:t>
            </w:r>
          </w:p>
          <w:p>
            <w:pPr>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决策</w:t>
            </w:r>
          </w:p>
          <w:p>
            <w:pPr>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草案</w:t>
            </w:r>
          </w:p>
        </w:tc>
        <w:tc>
          <w:tcPr>
            <w:tcW w:w="363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涉及管理相对人切身利益、需社会广泛知晓的重要改革方案等重大决策，决策前向社会公开决策草案、决策依据</w:t>
            </w:r>
          </w:p>
        </w:tc>
        <w:tc>
          <w:tcPr>
            <w:tcW w:w="3615"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号），中央办公厅、国务院办公厅《关于全面推进政务公开工作的意见》</w:t>
            </w:r>
          </w:p>
        </w:tc>
        <w:tc>
          <w:tcPr>
            <w:tcW w:w="119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按进展情况及时公开</w:t>
            </w:r>
          </w:p>
        </w:tc>
        <w:tc>
          <w:tcPr>
            <w:tcW w:w="1856" w:type="dxa"/>
            <w:tcBorders>
              <w:top w:val="single" w:color="auto" w:sz="4" w:space="0"/>
              <w:left w:val="nil"/>
              <w:bottom w:val="single" w:color="auto" w:sz="4" w:space="0"/>
              <w:right w:val="single" w:color="auto" w:sz="4" w:space="0"/>
            </w:tcBorders>
            <w:vAlign w:val="center"/>
          </w:tcPr>
          <w:p>
            <w:pPr>
              <w:spacing w:line="260" w:lineRule="exact"/>
              <w:rPr>
                <w:rFonts w:ascii="仿宋" w:hAnsi="仿宋" w:eastAsia="仿宋" w:cs="宋体"/>
                <w:bCs/>
                <w:spacing w:val="-6"/>
                <w:kern w:val="0"/>
                <w:sz w:val="24"/>
                <w:szCs w:val="24"/>
              </w:rPr>
            </w:pPr>
            <w:r>
              <w:rPr>
                <w:rFonts w:hint="eastAsia" w:ascii="仿宋" w:hAnsi="仿宋" w:eastAsia="仿宋" w:cs="宋体"/>
                <w:bCs/>
                <w:spacing w:val="-6"/>
                <w:kern w:val="0"/>
                <w:sz w:val="24"/>
                <w:szCs w:val="24"/>
              </w:rPr>
              <w:t>政策法规科牵头，各相关业务科室配合</w:t>
            </w:r>
          </w:p>
        </w:tc>
        <w:tc>
          <w:tcPr>
            <w:tcW w:w="1379" w:type="dxa"/>
            <w:tcBorders>
              <w:top w:val="single" w:color="auto" w:sz="4" w:space="0"/>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r>
              <w:rPr>
                <w:rFonts w:ascii="仿宋" w:hAnsi="仿宋" w:eastAsia="仿宋" w:cs="宋体"/>
                <w:bCs/>
                <w:kern w:val="0"/>
                <w:sz w:val="24"/>
                <w:szCs w:val="24"/>
              </w:rPr>
              <w:t xml:space="preserve">   </w:t>
            </w:r>
          </w:p>
        </w:tc>
        <w:tc>
          <w:tcPr>
            <w:tcW w:w="826" w:type="dxa"/>
            <w:tcBorders>
              <w:top w:val="nil"/>
              <w:left w:val="nil"/>
              <w:bottom w:val="single" w:color="auto" w:sz="4" w:space="0"/>
              <w:right w:val="single" w:color="auto" w:sz="4" w:space="0"/>
            </w:tcBorders>
            <w:vAlign w:val="center"/>
          </w:tcPr>
          <w:p>
            <w:pPr>
              <w:spacing w:line="260" w:lineRule="exact"/>
              <w:jc w:val="center"/>
              <w:rPr>
                <w:rFonts w:ascii="仿宋" w:hAnsi="仿宋" w:eastAsia="仿宋" w:cs="宋体"/>
                <w:bCs/>
                <w:color w:val="000000"/>
                <w:kern w:val="0"/>
                <w:sz w:val="24"/>
                <w:szCs w:val="24"/>
              </w:rPr>
            </w:pPr>
            <w:r>
              <w:rPr>
                <w:rFonts w:hint="eastAsia" w:ascii="仿宋" w:hAnsi="仿宋" w:eastAsia="仿宋" w:cs="宋体"/>
                <w:bCs/>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854" w:hRule="atLeast"/>
          <w:jc w:val="center"/>
        </w:trPr>
        <w:tc>
          <w:tcPr>
            <w:tcW w:w="731" w:type="dxa"/>
            <w:vMerge w:val="continue"/>
            <w:tcBorders>
              <w:left w:val="single" w:color="auto" w:sz="4" w:space="0"/>
              <w:right w:val="single" w:color="000000" w:sz="4" w:space="0"/>
            </w:tcBorders>
            <w:noWrap/>
            <w:vAlign w:val="center"/>
          </w:tcPr>
          <w:p>
            <w:pPr>
              <w:spacing w:line="260" w:lineRule="exact"/>
              <w:rPr>
                <w:rFonts w:ascii="仿宋" w:hAnsi="仿宋" w:eastAsia="仿宋" w:cs="宋体"/>
                <w:bCs/>
                <w:color w:val="000000"/>
                <w:kern w:val="0"/>
                <w:sz w:val="24"/>
                <w:szCs w:val="24"/>
              </w:rPr>
            </w:pPr>
          </w:p>
        </w:tc>
        <w:tc>
          <w:tcPr>
            <w:tcW w:w="480" w:type="dxa"/>
            <w:tcBorders>
              <w:top w:val="nil"/>
              <w:left w:val="nil"/>
              <w:bottom w:val="single" w:color="auto" w:sz="4" w:space="0"/>
              <w:right w:val="single" w:color="auto" w:sz="4" w:space="0"/>
            </w:tcBorders>
            <w:vAlign w:val="center"/>
          </w:tcPr>
          <w:p>
            <w:pPr>
              <w:spacing w:line="26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3</w:t>
            </w:r>
          </w:p>
        </w:tc>
        <w:tc>
          <w:tcPr>
            <w:tcW w:w="689"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重大政策解读</w:t>
            </w:r>
          </w:p>
          <w:p>
            <w:pPr>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及回应</w:t>
            </w:r>
          </w:p>
        </w:tc>
        <w:tc>
          <w:tcPr>
            <w:tcW w:w="363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有关重大政策的解读与回应，安全生产相关热点问题的解读与回应</w:t>
            </w:r>
          </w:p>
        </w:tc>
        <w:tc>
          <w:tcPr>
            <w:tcW w:w="3615"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号）、中办国办《关于全面推进政务公开工作的意见》</w:t>
            </w:r>
          </w:p>
        </w:tc>
        <w:tc>
          <w:tcPr>
            <w:tcW w:w="119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重大决策作出后及时公开</w:t>
            </w:r>
          </w:p>
        </w:tc>
        <w:tc>
          <w:tcPr>
            <w:tcW w:w="1856"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spacing w:val="-6"/>
                <w:kern w:val="0"/>
                <w:sz w:val="24"/>
                <w:szCs w:val="24"/>
              </w:rPr>
            </w:pPr>
            <w:r>
              <w:rPr>
                <w:rFonts w:hint="eastAsia" w:ascii="仿宋" w:hAnsi="仿宋" w:eastAsia="仿宋" w:cs="宋体"/>
                <w:bCs/>
                <w:spacing w:val="-6"/>
                <w:kern w:val="0"/>
                <w:sz w:val="24"/>
                <w:szCs w:val="24"/>
              </w:rPr>
              <w:t>政策法规科牵头，各相关业务科室配合</w:t>
            </w:r>
          </w:p>
        </w:tc>
        <w:tc>
          <w:tcPr>
            <w:tcW w:w="1379"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r>
              <w:rPr>
                <w:rFonts w:ascii="仿宋" w:hAnsi="仿宋" w:eastAsia="仿宋" w:cs="宋体"/>
                <w:bCs/>
                <w:kern w:val="0"/>
                <w:sz w:val="24"/>
                <w:szCs w:val="24"/>
              </w:rPr>
              <w:t xml:space="preserve"> </w:t>
            </w:r>
          </w:p>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■两微一端</w:t>
            </w:r>
          </w:p>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■发布会</w:t>
            </w:r>
          </w:p>
        </w:tc>
        <w:tc>
          <w:tcPr>
            <w:tcW w:w="826" w:type="dxa"/>
            <w:tcBorders>
              <w:top w:val="nil"/>
              <w:left w:val="nil"/>
              <w:bottom w:val="single" w:color="auto" w:sz="4" w:space="0"/>
              <w:right w:val="single" w:color="auto" w:sz="4" w:space="0"/>
            </w:tcBorders>
            <w:vAlign w:val="center"/>
          </w:tcPr>
          <w:p>
            <w:pPr>
              <w:spacing w:line="260" w:lineRule="exact"/>
              <w:jc w:val="center"/>
              <w:rPr>
                <w:rFonts w:ascii="仿宋" w:hAnsi="仿宋" w:eastAsia="仿宋" w:cs="宋体"/>
                <w:bCs/>
                <w:color w:val="000000"/>
                <w:kern w:val="0"/>
                <w:sz w:val="24"/>
                <w:szCs w:val="24"/>
              </w:rPr>
            </w:pPr>
            <w:r>
              <w:rPr>
                <w:rFonts w:hint="eastAsia" w:ascii="仿宋" w:hAnsi="仿宋" w:eastAsia="仿宋" w:cs="宋体"/>
                <w:bCs/>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1332" w:hRule="atLeast"/>
          <w:jc w:val="center"/>
        </w:trPr>
        <w:tc>
          <w:tcPr>
            <w:tcW w:w="731" w:type="dxa"/>
            <w:vMerge w:val="continue"/>
            <w:tcBorders>
              <w:left w:val="single" w:color="auto" w:sz="4" w:space="0"/>
              <w:right w:val="single" w:color="000000" w:sz="4" w:space="0"/>
            </w:tcBorders>
            <w:vAlign w:val="center"/>
          </w:tcPr>
          <w:p>
            <w:pPr>
              <w:spacing w:line="260" w:lineRule="exact"/>
              <w:rPr>
                <w:rFonts w:ascii="仿宋" w:hAnsi="仿宋" w:eastAsia="仿宋" w:cs="宋体"/>
                <w:bCs/>
                <w:color w:val="000000"/>
                <w:kern w:val="0"/>
                <w:sz w:val="24"/>
                <w:szCs w:val="24"/>
              </w:rPr>
            </w:pPr>
          </w:p>
        </w:tc>
        <w:tc>
          <w:tcPr>
            <w:tcW w:w="480" w:type="dxa"/>
            <w:tcBorders>
              <w:top w:val="nil"/>
              <w:left w:val="nil"/>
              <w:bottom w:val="single" w:color="auto" w:sz="4" w:space="0"/>
              <w:right w:val="single" w:color="auto" w:sz="4" w:space="0"/>
            </w:tcBorders>
            <w:vAlign w:val="center"/>
          </w:tcPr>
          <w:p>
            <w:pPr>
              <w:spacing w:line="26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4</w:t>
            </w:r>
          </w:p>
        </w:tc>
        <w:tc>
          <w:tcPr>
            <w:tcW w:w="689"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宋体"/>
                <w:bCs/>
                <w:kern w:val="0"/>
                <w:sz w:val="24"/>
                <w:szCs w:val="24"/>
              </w:rPr>
            </w:pPr>
            <w:r>
              <w:rPr>
                <w:rFonts w:hint="eastAsia" w:ascii="仿宋" w:hAnsi="仿宋" w:eastAsia="仿宋" w:cs="宋体"/>
                <w:bCs/>
                <w:kern w:val="0"/>
                <w:sz w:val="24"/>
                <w:szCs w:val="24"/>
              </w:rPr>
              <w:t>重要</w:t>
            </w:r>
          </w:p>
          <w:p>
            <w:pPr>
              <w:spacing w:line="240" w:lineRule="exact"/>
              <w:jc w:val="center"/>
              <w:rPr>
                <w:rFonts w:ascii="仿宋" w:hAnsi="仿宋" w:eastAsia="仿宋" w:cs="宋体"/>
                <w:bCs/>
                <w:kern w:val="0"/>
                <w:sz w:val="24"/>
                <w:szCs w:val="24"/>
              </w:rPr>
            </w:pPr>
            <w:r>
              <w:rPr>
                <w:rFonts w:hint="eastAsia" w:ascii="仿宋" w:hAnsi="仿宋" w:eastAsia="仿宋" w:cs="宋体"/>
                <w:bCs/>
                <w:kern w:val="0"/>
                <w:sz w:val="24"/>
                <w:szCs w:val="24"/>
              </w:rPr>
              <w:t>会议</w:t>
            </w:r>
          </w:p>
        </w:tc>
        <w:tc>
          <w:tcPr>
            <w:tcW w:w="363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通过会议讨论作出重要改革方案等重大决策时，经党组研究认为有必要公开讨论决策过程的会议</w:t>
            </w:r>
          </w:p>
        </w:tc>
        <w:tc>
          <w:tcPr>
            <w:tcW w:w="3615"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中央办公厅、国务院办公厅《关于全面推进政务公开工作的意见》</w:t>
            </w:r>
          </w:p>
        </w:tc>
        <w:tc>
          <w:tcPr>
            <w:tcW w:w="119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提前一周发通知邀请</w:t>
            </w:r>
          </w:p>
        </w:tc>
        <w:tc>
          <w:tcPr>
            <w:tcW w:w="1856"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办公室、政策法规科及有关业务科室</w:t>
            </w:r>
          </w:p>
        </w:tc>
        <w:tc>
          <w:tcPr>
            <w:tcW w:w="1379"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r>
              <w:rPr>
                <w:rFonts w:ascii="仿宋" w:hAnsi="仿宋" w:eastAsia="仿宋" w:cs="宋体"/>
                <w:bCs/>
                <w:kern w:val="0"/>
                <w:sz w:val="24"/>
                <w:szCs w:val="24"/>
              </w:rPr>
              <w:t xml:space="preserve">  </w:t>
            </w:r>
          </w:p>
        </w:tc>
        <w:tc>
          <w:tcPr>
            <w:tcW w:w="826" w:type="dxa"/>
            <w:tcBorders>
              <w:top w:val="nil"/>
              <w:left w:val="nil"/>
              <w:bottom w:val="single" w:color="auto" w:sz="4" w:space="0"/>
              <w:right w:val="single" w:color="auto" w:sz="4" w:space="0"/>
            </w:tcBorders>
            <w:vAlign w:val="center"/>
          </w:tcPr>
          <w:p>
            <w:pPr>
              <w:spacing w:line="260" w:lineRule="exact"/>
              <w:jc w:val="center"/>
              <w:rPr>
                <w:rFonts w:ascii="仿宋" w:hAnsi="仿宋" w:eastAsia="仿宋" w:cs="宋体"/>
                <w:bCs/>
                <w:kern w:val="0"/>
                <w:sz w:val="24"/>
                <w:szCs w:val="24"/>
              </w:rPr>
            </w:pPr>
            <w:r>
              <w:rPr>
                <w:rFonts w:hint="eastAsia" w:ascii="仿宋" w:hAnsi="仿宋" w:eastAsia="仿宋" w:cs="宋体"/>
                <w:bCs/>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805" w:hRule="atLeast"/>
          <w:jc w:val="center"/>
        </w:trPr>
        <w:tc>
          <w:tcPr>
            <w:tcW w:w="731" w:type="dxa"/>
            <w:vMerge w:val="continue"/>
            <w:tcBorders>
              <w:left w:val="single" w:color="auto" w:sz="4" w:space="0"/>
              <w:bottom w:val="single" w:color="000000" w:sz="4" w:space="0"/>
              <w:right w:val="single" w:color="000000" w:sz="4" w:space="0"/>
            </w:tcBorders>
            <w:vAlign w:val="center"/>
          </w:tcPr>
          <w:p>
            <w:pPr>
              <w:spacing w:line="320" w:lineRule="exact"/>
              <w:rPr>
                <w:rFonts w:ascii="仿宋" w:hAnsi="仿宋" w:eastAsia="仿宋" w:cs="宋体"/>
                <w:bCs/>
                <w:color w:val="000000"/>
                <w:w w:val="90"/>
                <w:kern w:val="0"/>
                <w:sz w:val="24"/>
                <w:szCs w:val="24"/>
              </w:rPr>
            </w:pP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w w:val="90"/>
                <w:kern w:val="0"/>
                <w:sz w:val="24"/>
                <w:szCs w:val="24"/>
              </w:rPr>
            </w:pPr>
            <w:r>
              <w:rPr>
                <w:rFonts w:ascii="仿宋" w:hAnsi="仿宋" w:eastAsia="仿宋" w:cs="宋体"/>
                <w:bCs/>
                <w:color w:val="000000"/>
                <w:w w:val="90"/>
                <w:kern w:val="0"/>
                <w:sz w:val="24"/>
                <w:szCs w:val="24"/>
              </w:rPr>
              <w:t>5</w:t>
            </w:r>
          </w:p>
        </w:tc>
        <w:tc>
          <w:tcPr>
            <w:tcW w:w="689"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征集采纳社会</w:t>
            </w:r>
          </w:p>
          <w:p>
            <w:pPr>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公众意见情况</w:t>
            </w:r>
          </w:p>
        </w:tc>
        <w:tc>
          <w:tcPr>
            <w:tcW w:w="363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重大决策草案公布后征集到的社会公众意见情况、采纳与否情况及理由等</w:t>
            </w:r>
          </w:p>
        </w:tc>
        <w:tc>
          <w:tcPr>
            <w:tcW w:w="3615"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号），中央办公厅、国务院办公厅《关于全面推进政务公开工作的意见》</w:t>
            </w:r>
          </w:p>
        </w:tc>
        <w:tc>
          <w:tcPr>
            <w:tcW w:w="119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征求意见时对外公布的时限内公开</w:t>
            </w:r>
          </w:p>
        </w:tc>
        <w:tc>
          <w:tcPr>
            <w:tcW w:w="1856"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政策法规科及有关业务科室</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■政府网站</w:t>
            </w:r>
            <w:r>
              <w:rPr>
                <w:rFonts w:ascii="仿宋" w:hAnsi="仿宋" w:eastAsia="仿宋" w:cs="宋体"/>
                <w:bCs/>
                <w:kern w:val="0"/>
                <w:sz w:val="24"/>
                <w:szCs w:val="24"/>
              </w:rPr>
              <w:t xml:space="preserve">   </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1239" w:hRule="atLeast"/>
          <w:jc w:val="center"/>
        </w:trPr>
        <w:tc>
          <w:tcPr>
            <w:tcW w:w="731" w:type="dxa"/>
            <w:vMerge w:val="restart"/>
            <w:tcBorders>
              <w:top w:val="single" w:color="auto" w:sz="4" w:space="0"/>
              <w:left w:val="single" w:color="auto" w:sz="4" w:space="0"/>
              <w:bottom w:val="single" w:color="000000" w:sz="4" w:space="0"/>
              <w:right w:val="single" w:color="000000"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依</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法</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w:t>
            </w: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1</w:t>
            </w:r>
          </w:p>
        </w:tc>
        <w:tc>
          <w:tcPr>
            <w:tcW w:w="689"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行政</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许可</w:t>
            </w:r>
          </w:p>
        </w:tc>
        <w:tc>
          <w:tcPr>
            <w:tcW w:w="3638" w:type="dxa"/>
            <w:tcBorders>
              <w:top w:val="nil"/>
              <w:left w:val="nil"/>
              <w:bottom w:val="nil"/>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对外管理服务事项的依据、条件、程序</w:t>
            </w:r>
          </w:p>
        </w:tc>
        <w:tc>
          <w:tcPr>
            <w:tcW w:w="3615"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号）、《中共中央</w:t>
            </w: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国务院关于推进安全生产领域改革发展的意见》</w:t>
            </w:r>
          </w:p>
        </w:tc>
        <w:tc>
          <w:tcPr>
            <w:tcW w:w="119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信息形成或变更之日起</w:t>
            </w:r>
            <w:r>
              <w:rPr>
                <w:rFonts w:ascii="仿宋" w:hAnsi="仿宋" w:eastAsia="仿宋" w:cs="宋体"/>
                <w:bCs/>
                <w:color w:val="000000"/>
                <w:kern w:val="0"/>
                <w:sz w:val="24"/>
                <w:szCs w:val="24"/>
              </w:rPr>
              <w:t>20</w:t>
            </w:r>
            <w:r>
              <w:rPr>
                <w:rFonts w:hint="eastAsia" w:ascii="仿宋" w:hAnsi="仿宋" w:eastAsia="仿宋" w:cs="宋体"/>
                <w:bCs/>
                <w:color w:val="000000"/>
                <w:kern w:val="0"/>
                <w:sz w:val="24"/>
                <w:szCs w:val="24"/>
              </w:rPr>
              <w:t>个工作日内</w:t>
            </w:r>
          </w:p>
        </w:tc>
        <w:tc>
          <w:tcPr>
            <w:tcW w:w="1856"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政策法规科</w:t>
            </w:r>
          </w:p>
        </w:tc>
        <w:tc>
          <w:tcPr>
            <w:tcW w:w="1379"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p>
          <w:p>
            <w:pPr>
              <w:spacing w:line="260" w:lineRule="exact"/>
              <w:ind w:left="240" w:hanging="240" w:hangingChars="100"/>
              <w:rPr>
                <w:rFonts w:ascii="仿宋" w:hAnsi="仿宋" w:eastAsia="仿宋" w:cs="宋体"/>
                <w:bCs/>
                <w:kern w:val="0"/>
                <w:sz w:val="24"/>
                <w:szCs w:val="24"/>
              </w:rPr>
            </w:pPr>
            <w:r>
              <w:rPr>
                <w:rFonts w:hint="eastAsia" w:ascii="仿宋" w:hAnsi="仿宋" w:eastAsia="仿宋" w:cs="宋体"/>
                <w:bCs/>
                <w:kern w:val="0"/>
                <w:sz w:val="24"/>
                <w:szCs w:val="24"/>
              </w:rPr>
              <w:t>■公开查阅点</w:t>
            </w:r>
          </w:p>
          <w:p>
            <w:pPr>
              <w:spacing w:line="260" w:lineRule="exact"/>
              <w:ind w:left="240" w:hanging="240" w:hangingChars="100"/>
              <w:rPr>
                <w:rFonts w:ascii="仿宋" w:hAnsi="仿宋" w:eastAsia="仿宋" w:cs="宋体"/>
                <w:bCs/>
                <w:kern w:val="0"/>
                <w:sz w:val="24"/>
                <w:szCs w:val="24"/>
              </w:rPr>
            </w:pPr>
            <w:r>
              <w:rPr>
                <w:rFonts w:hint="eastAsia" w:ascii="仿宋" w:hAnsi="仿宋" w:eastAsia="仿宋" w:cs="宋体"/>
                <w:bCs/>
                <w:kern w:val="0"/>
                <w:sz w:val="24"/>
                <w:szCs w:val="24"/>
              </w:rPr>
              <w:t>■政务服务中心</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1190" w:hRule="atLeast"/>
          <w:jc w:val="center"/>
        </w:trPr>
        <w:tc>
          <w:tcPr>
            <w:tcW w:w="731" w:type="dxa"/>
            <w:vMerge w:val="continue"/>
            <w:tcBorders>
              <w:top w:val="single" w:color="auto" w:sz="4" w:space="0"/>
              <w:left w:val="single" w:color="auto" w:sz="4" w:space="0"/>
              <w:bottom w:val="single" w:color="000000" w:sz="4" w:space="0"/>
              <w:right w:val="single" w:color="000000" w:sz="4" w:space="0"/>
            </w:tcBorders>
            <w:vAlign w:val="center"/>
          </w:tcPr>
          <w:p>
            <w:pPr>
              <w:spacing w:line="320" w:lineRule="exact"/>
              <w:rPr>
                <w:rFonts w:ascii="仿宋" w:hAnsi="仿宋" w:eastAsia="仿宋" w:cs="宋体"/>
                <w:bCs/>
                <w:color w:val="000000"/>
                <w:kern w:val="0"/>
                <w:sz w:val="24"/>
                <w:szCs w:val="24"/>
              </w:rPr>
            </w:pP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2</w:t>
            </w:r>
          </w:p>
        </w:tc>
        <w:tc>
          <w:tcPr>
            <w:tcW w:w="689" w:type="dxa"/>
            <w:tcBorders>
              <w:top w:val="nil"/>
              <w:left w:val="nil"/>
              <w:bottom w:val="nil"/>
              <w:right w:val="nil"/>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行政</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处罚</w:t>
            </w:r>
          </w:p>
        </w:tc>
        <w:tc>
          <w:tcPr>
            <w:tcW w:w="3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办理行政处罚的依据、条件、程序以及本级行政机关认为具有一定社会影响的行政处罚决定</w:t>
            </w:r>
          </w:p>
        </w:tc>
        <w:tc>
          <w:tcPr>
            <w:tcW w:w="3615"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号）、《中共中央</w:t>
            </w: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国务院关于推进安全生产领域改革发展的意见》</w:t>
            </w:r>
          </w:p>
        </w:tc>
        <w:tc>
          <w:tcPr>
            <w:tcW w:w="119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信息形成或变更之日起</w:t>
            </w:r>
            <w:r>
              <w:rPr>
                <w:rFonts w:ascii="仿宋" w:hAnsi="仿宋" w:eastAsia="仿宋" w:cs="宋体"/>
                <w:bCs/>
                <w:color w:val="000000"/>
                <w:kern w:val="0"/>
                <w:sz w:val="24"/>
                <w:szCs w:val="24"/>
              </w:rPr>
              <w:t>20</w:t>
            </w:r>
            <w:r>
              <w:rPr>
                <w:rFonts w:hint="eastAsia" w:ascii="仿宋" w:hAnsi="仿宋" w:eastAsia="仿宋" w:cs="宋体"/>
                <w:bCs/>
                <w:color w:val="000000"/>
                <w:kern w:val="0"/>
                <w:sz w:val="24"/>
                <w:szCs w:val="24"/>
              </w:rPr>
              <w:t>个工作日内</w:t>
            </w:r>
          </w:p>
        </w:tc>
        <w:tc>
          <w:tcPr>
            <w:tcW w:w="1856"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政策法规科</w:t>
            </w:r>
          </w:p>
        </w:tc>
        <w:tc>
          <w:tcPr>
            <w:tcW w:w="1379"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r>
              <w:rPr>
                <w:rFonts w:ascii="仿宋" w:hAnsi="仿宋" w:eastAsia="仿宋" w:cs="宋体"/>
                <w:bCs/>
                <w:kern w:val="0"/>
                <w:sz w:val="24"/>
                <w:szCs w:val="24"/>
              </w:rPr>
              <w:t xml:space="preserve">   </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1867" w:hRule="atLeast"/>
          <w:jc w:val="center"/>
        </w:trPr>
        <w:tc>
          <w:tcPr>
            <w:tcW w:w="731" w:type="dxa"/>
            <w:vMerge w:val="continue"/>
            <w:tcBorders>
              <w:top w:val="single" w:color="auto" w:sz="4" w:space="0"/>
              <w:left w:val="single" w:color="auto" w:sz="4" w:space="0"/>
              <w:bottom w:val="single" w:color="000000" w:sz="4" w:space="0"/>
              <w:right w:val="single" w:color="000000" w:sz="4" w:space="0"/>
            </w:tcBorders>
            <w:vAlign w:val="center"/>
          </w:tcPr>
          <w:p>
            <w:pPr>
              <w:spacing w:line="320" w:lineRule="exact"/>
              <w:rPr>
                <w:rFonts w:ascii="仿宋" w:hAnsi="仿宋" w:eastAsia="仿宋" w:cs="宋体"/>
                <w:bCs/>
                <w:color w:val="000000"/>
                <w:kern w:val="0"/>
                <w:sz w:val="24"/>
                <w:szCs w:val="24"/>
              </w:rPr>
            </w:pP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3</w:t>
            </w:r>
          </w:p>
        </w:tc>
        <w:tc>
          <w:tcPr>
            <w:tcW w:w="689" w:type="dxa"/>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行政</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强制</w:t>
            </w:r>
          </w:p>
        </w:tc>
        <w:tc>
          <w:tcPr>
            <w:tcW w:w="363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办理行政强制的依据、条件、程序</w:t>
            </w:r>
          </w:p>
        </w:tc>
        <w:tc>
          <w:tcPr>
            <w:tcW w:w="3615"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号）《中华人民共和国突发事件应对法》、《突发事件应急预案管理办法》、《中共中央</w:t>
            </w: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国务院关于推进安全生产领域改革发展的意见》</w:t>
            </w:r>
          </w:p>
        </w:tc>
        <w:tc>
          <w:tcPr>
            <w:tcW w:w="119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信息形成或变更之日起</w:t>
            </w:r>
            <w:r>
              <w:rPr>
                <w:rFonts w:ascii="仿宋" w:hAnsi="仿宋" w:eastAsia="仿宋" w:cs="宋体"/>
                <w:bCs/>
                <w:color w:val="000000"/>
                <w:kern w:val="0"/>
                <w:sz w:val="24"/>
                <w:szCs w:val="24"/>
              </w:rPr>
              <w:t>20</w:t>
            </w:r>
            <w:r>
              <w:rPr>
                <w:rFonts w:hint="eastAsia" w:ascii="仿宋" w:hAnsi="仿宋" w:eastAsia="仿宋" w:cs="宋体"/>
                <w:bCs/>
                <w:color w:val="000000"/>
                <w:kern w:val="0"/>
                <w:sz w:val="24"/>
                <w:szCs w:val="24"/>
              </w:rPr>
              <w:t>个工作日内</w:t>
            </w:r>
          </w:p>
        </w:tc>
        <w:tc>
          <w:tcPr>
            <w:tcW w:w="1856"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政策法规科</w:t>
            </w:r>
          </w:p>
        </w:tc>
        <w:tc>
          <w:tcPr>
            <w:tcW w:w="1379"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r>
              <w:rPr>
                <w:rFonts w:ascii="仿宋" w:hAnsi="仿宋" w:eastAsia="仿宋" w:cs="宋体"/>
                <w:bCs/>
                <w:kern w:val="0"/>
                <w:sz w:val="24"/>
                <w:szCs w:val="24"/>
              </w:rPr>
              <w:t xml:space="preserve"> </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1455" w:hRule="atLeast"/>
          <w:jc w:val="center"/>
        </w:trPr>
        <w:tc>
          <w:tcPr>
            <w:tcW w:w="731" w:type="dxa"/>
            <w:vMerge w:val="restart"/>
            <w:tcBorders>
              <w:top w:val="single" w:color="auto" w:sz="4" w:space="0"/>
              <w:left w:val="single" w:color="auto" w:sz="4" w:space="0"/>
              <w:bottom w:val="single" w:color="000000" w:sz="4" w:space="0"/>
              <w:right w:val="single" w:color="000000"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管</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理</w:t>
            </w: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1</w:t>
            </w:r>
          </w:p>
        </w:tc>
        <w:tc>
          <w:tcPr>
            <w:tcW w:w="689"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隐患</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管理</w:t>
            </w:r>
          </w:p>
        </w:tc>
        <w:tc>
          <w:tcPr>
            <w:tcW w:w="363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重大隐患排查、挂牌督办及其整改情况，安全生产举报电话等</w:t>
            </w:r>
          </w:p>
        </w:tc>
        <w:tc>
          <w:tcPr>
            <w:tcW w:w="3615"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《安全生产法》、《中华人民共和国政府信息公开条例》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号）、《中共中央</w:t>
            </w: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国务院关于推进安全生产领域改革发展的意见》</w:t>
            </w:r>
          </w:p>
        </w:tc>
        <w:tc>
          <w:tcPr>
            <w:tcW w:w="119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按进展情况及时公开</w:t>
            </w:r>
          </w:p>
        </w:tc>
        <w:tc>
          <w:tcPr>
            <w:tcW w:w="1856"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综合协调科、调查评估和统计科</w:t>
            </w:r>
          </w:p>
        </w:tc>
        <w:tc>
          <w:tcPr>
            <w:tcW w:w="1379"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■政府网站</w:t>
            </w:r>
            <w:r>
              <w:rPr>
                <w:rFonts w:ascii="仿宋" w:hAnsi="仿宋" w:eastAsia="仿宋" w:cs="宋体"/>
                <w:bCs/>
                <w:kern w:val="0"/>
                <w:sz w:val="24"/>
                <w:szCs w:val="24"/>
              </w:rPr>
              <w:t xml:space="preserve">   </w:t>
            </w:r>
            <w:r>
              <w:rPr>
                <w:rFonts w:ascii="仿宋" w:hAnsi="仿宋" w:eastAsia="仿宋" w:cs="宋体"/>
                <w:bCs/>
                <w:kern w:val="0"/>
                <w:sz w:val="24"/>
                <w:szCs w:val="24"/>
              </w:rPr>
              <w:br w:type="textWrapping"/>
            </w:r>
            <w:r>
              <w:rPr>
                <w:rFonts w:hint="eastAsia" w:ascii="仿宋" w:hAnsi="仿宋" w:eastAsia="仿宋" w:cs="宋体"/>
                <w:bCs/>
                <w:kern w:val="0"/>
                <w:sz w:val="24"/>
                <w:szCs w:val="24"/>
              </w:rPr>
              <w:t>■两微一端</w:t>
            </w:r>
            <w:r>
              <w:rPr>
                <w:rFonts w:ascii="仿宋" w:hAnsi="仿宋" w:eastAsia="仿宋" w:cs="宋体"/>
                <w:bCs/>
                <w:kern w:val="0"/>
                <w:sz w:val="24"/>
                <w:szCs w:val="24"/>
              </w:rPr>
              <w:t xml:space="preserve">   </w:t>
            </w:r>
            <w:r>
              <w:rPr>
                <w:rFonts w:ascii="仿宋" w:hAnsi="仿宋" w:eastAsia="仿宋" w:cs="宋体"/>
                <w:bCs/>
                <w:kern w:val="0"/>
                <w:sz w:val="24"/>
                <w:szCs w:val="24"/>
              </w:rPr>
              <w:br w:type="textWrapping"/>
            </w:r>
            <w:r>
              <w:rPr>
                <w:rFonts w:hint="eastAsia" w:ascii="仿宋" w:hAnsi="仿宋" w:eastAsia="仿宋" w:cs="宋体"/>
                <w:bCs/>
                <w:kern w:val="0"/>
                <w:sz w:val="24"/>
                <w:szCs w:val="24"/>
              </w:rPr>
              <w:t>■广播电视</w:t>
            </w:r>
            <w:r>
              <w:rPr>
                <w:rFonts w:ascii="仿宋" w:hAnsi="仿宋" w:eastAsia="仿宋" w:cs="宋体"/>
                <w:bCs/>
                <w:kern w:val="0"/>
                <w:sz w:val="24"/>
                <w:szCs w:val="24"/>
              </w:rPr>
              <w:t xml:space="preserve">   </w:t>
            </w:r>
            <w:r>
              <w:rPr>
                <w:rFonts w:hint="eastAsia" w:ascii="仿宋" w:hAnsi="仿宋" w:eastAsia="仿宋" w:cs="宋体"/>
                <w:bCs/>
                <w:kern w:val="0"/>
                <w:sz w:val="24"/>
                <w:szCs w:val="24"/>
              </w:rPr>
              <w:t>■纸质媒体</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　</w:t>
            </w:r>
          </w:p>
        </w:tc>
      </w:tr>
      <w:tr>
        <w:tblPrEx>
          <w:tblCellMar>
            <w:top w:w="0" w:type="dxa"/>
            <w:left w:w="57" w:type="dxa"/>
            <w:bottom w:w="0" w:type="dxa"/>
            <w:right w:w="57" w:type="dxa"/>
          </w:tblCellMar>
        </w:tblPrEx>
        <w:trPr>
          <w:trHeight w:val="1680" w:hRule="atLeast"/>
          <w:jc w:val="center"/>
        </w:trPr>
        <w:tc>
          <w:tcPr>
            <w:tcW w:w="731" w:type="dxa"/>
            <w:vMerge w:val="continue"/>
            <w:tcBorders>
              <w:top w:val="single" w:color="auto" w:sz="4" w:space="0"/>
              <w:left w:val="single" w:color="auto" w:sz="4" w:space="0"/>
              <w:bottom w:val="single" w:color="000000" w:sz="4" w:space="0"/>
              <w:right w:val="single" w:color="000000" w:sz="4" w:space="0"/>
            </w:tcBorders>
            <w:vAlign w:val="center"/>
          </w:tcPr>
          <w:p>
            <w:pPr>
              <w:spacing w:line="320" w:lineRule="exact"/>
              <w:rPr>
                <w:rFonts w:ascii="仿宋" w:hAnsi="仿宋" w:eastAsia="仿宋" w:cs="宋体"/>
                <w:bCs/>
                <w:color w:val="000000"/>
                <w:kern w:val="0"/>
                <w:sz w:val="24"/>
                <w:szCs w:val="24"/>
              </w:rPr>
            </w:pP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2</w:t>
            </w:r>
          </w:p>
        </w:tc>
        <w:tc>
          <w:tcPr>
            <w:tcW w:w="689"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应急</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管理</w:t>
            </w:r>
          </w:p>
        </w:tc>
        <w:tc>
          <w:tcPr>
            <w:tcW w:w="363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承担处置主责、非敏感的应急信息，包括事故灾害类预警信息、事故信息、事故后采取的应急处置措施和应对结果等</w:t>
            </w:r>
            <w:r>
              <w:rPr>
                <w:rFonts w:ascii="仿宋" w:hAnsi="仿宋" w:eastAsia="仿宋" w:cs="宋体"/>
                <w:bCs/>
                <w:kern w:val="0"/>
                <w:sz w:val="24"/>
                <w:szCs w:val="24"/>
              </w:rPr>
              <w:t xml:space="preserve">  </w:t>
            </w:r>
          </w:p>
        </w:tc>
        <w:tc>
          <w:tcPr>
            <w:tcW w:w="3615"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号），《中华人民共和国突发事件应对法》，中央办公厅、国务院办公厅《关于全面加强政务公开工作的意见》</w:t>
            </w:r>
          </w:p>
        </w:tc>
        <w:tc>
          <w:tcPr>
            <w:tcW w:w="1198"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按进展情况及时公开</w:t>
            </w:r>
          </w:p>
        </w:tc>
        <w:tc>
          <w:tcPr>
            <w:tcW w:w="1856"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综合协调科</w:t>
            </w:r>
          </w:p>
        </w:tc>
        <w:tc>
          <w:tcPr>
            <w:tcW w:w="1379" w:type="dxa"/>
            <w:tcBorders>
              <w:top w:val="nil"/>
              <w:left w:val="nil"/>
              <w:bottom w:val="single" w:color="auto" w:sz="4" w:space="0"/>
              <w:right w:val="single" w:color="auto" w:sz="4" w:space="0"/>
            </w:tcBorders>
            <w:vAlign w:val="center"/>
          </w:tcPr>
          <w:p>
            <w:pPr>
              <w:spacing w:line="26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r>
              <w:rPr>
                <w:rFonts w:ascii="仿宋" w:hAnsi="仿宋" w:eastAsia="仿宋" w:cs="宋体"/>
                <w:bCs/>
                <w:kern w:val="0"/>
                <w:sz w:val="24"/>
                <w:szCs w:val="24"/>
              </w:rPr>
              <w:t xml:space="preserve">  </w:t>
            </w:r>
            <w:r>
              <w:rPr>
                <w:rFonts w:ascii="仿宋" w:hAnsi="仿宋" w:eastAsia="仿宋" w:cs="宋体"/>
                <w:bCs/>
                <w:kern w:val="0"/>
                <w:sz w:val="24"/>
                <w:szCs w:val="24"/>
              </w:rPr>
              <w:br w:type="page"/>
            </w:r>
            <w:r>
              <w:rPr>
                <w:rFonts w:hint="eastAsia" w:ascii="仿宋" w:hAnsi="仿宋" w:eastAsia="仿宋" w:cs="宋体"/>
                <w:bCs/>
                <w:kern w:val="0"/>
                <w:sz w:val="24"/>
                <w:szCs w:val="24"/>
              </w:rPr>
              <w:t>■两微</w:t>
            </w:r>
            <w:r>
              <w:rPr>
                <w:rFonts w:ascii="仿宋" w:hAnsi="仿宋" w:eastAsia="仿宋" w:cs="宋体"/>
                <w:bCs/>
                <w:kern w:val="0"/>
                <w:sz w:val="24"/>
                <w:szCs w:val="24"/>
              </w:rPr>
              <w:br w:type="page"/>
            </w:r>
            <w:r>
              <w:rPr>
                <w:rFonts w:ascii="仿宋" w:hAnsi="仿宋" w:eastAsia="仿宋" w:cs="宋体"/>
                <w:bCs/>
                <w:kern w:val="0"/>
                <w:sz w:val="24"/>
                <w:szCs w:val="24"/>
              </w:rPr>
              <w:br w:type="page"/>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　</w:t>
            </w:r>
          </w:p>
        </w:tc>
      </w:tr>
      <w:tr>
        <w:tblPrEx>
          <w:tblCellMar>
            <w:top w:w="0" w:type="dxa"/>
            <w:left w:w="57" w:type="dxa"/>
            <w:bottom w:w="0" w:type="dxa"/>
            <w:right w:w="57" w:type="dxa"/>
          </w:tblCellMar>
        </w:tblPrEx>
        <w:trPr>
          <w:trHeight w:val="1287" w:hRule="atLeast"/>
          <w:jc w:val="center"/>
        </w:trPr>
        <w:tc>
          <w:tcPr>
            <w:tcW w:w="731" w:type="dxa"/>
            <w:vMerge w:val="restart"/>
            <w:tcBorders>
              <w:top w:val="single" w:color="auto" w:sz="4" w:space="0"/>
              <w:left w:val="single" w:color="auto" w:sz="4" w:space="0"/>
              <w:right w:val="single" w:color="000000"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管</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理</w:t>
            </w:r>
          </w:p>
        </w:tc>
        <w:tc>
          <w:tcPr>
            <w:tcW w:w="480" w:type="dxa"/>
            <w:tcBorders>
              <w:top w:val="nil"/>
              <w:left w:val="nil"/>
              <w:bottom w:val="nil"/>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3</w:t>
            </w:r>
          </w:p>
        </w:tc>
        <w:tc>
          <w:tcPr>
            <w:tcW w:w="689" w:type="dxa"/>
            <w:tcBorders>
              <w:top w:val="nil"/>
              <w:left w:val="nil"/>
              <w:bottom w:val="nil"/>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黑名</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单管</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理</w:t>
            </w:r>
          </w:p>
        </w:tc>
        <w:tc>
          <w:tcPr>
            <w:tcW w:w="3638" w:type="dxa"/>
            <w:tcBorders>
              <w:top w:val="nil"/>
              <w:left w:val="nil"/>
              <w:bottom w:val="nil"/>
              <w:right w:val="single" w:color="auto" w:sz="4" w:space="0"/>
            </w:tcBorders>
            <w:vAlign w:val="center"/>
          </w:tcPr>
          <w:p>
            <w:pPr>
              <w:spacing w:line="28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列入或撤销纳入安全生产黑名单管理的企业信息，具体企业名称、证照编号、经营地址、负责人姓名等</w:t>
            </w:r>
          </w:p>
        </w:tc>
        <w:tc>
          <w:tcPr>
            <w:tcW w:w="3615" w:type="dxa"/>
            <w:tcBorders>
              <w:top w:val="nil"/>
              <w:left w:val="nil"/>
              <w:bottom w:val="nil"/>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号）、《社会信用体系建设规划纲要（</w:t>
            </w:r>
            <w:r>
              <w:rPr>
                <w:rFonts w:ascii="仿宋" w:hAnsi="仿宋" w:eastAsia="仿宋" w:cs="宋体"/>
                <w:bCs/>
                <w:color w:val="000000"/>
                <w:kern w:val="0"/>
                <w:sz w:val="24"/>
                <w:szCs w:val="24"/>
              </w:rPr>
              <w:t>2014-2020</w:t>
            </w:r>
            <w:r>
              <w:rPr>
                <w:rFonts w:hint="eastAsia" w:ascii="仿宋" w:hAnsi="仿宋" w:eastAsia="仿宋" w:cs="宋体"/>
                <w:bCs/>
                <w:color w:val="000000"/>
                <w:kern w:val="0"/>
                <w:sz w:val="24"/>
                <w:szCs w:val="24"/>
              </w:rPr>
              <w:t>年）》</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信息形成或变更之日起</w:t>
            </w:r>
            <w:r>
              <w:rPr>
                <w:rFonts w:ascii="仿宋" w:hAnsi="仿宋" w:eastAsia="仿宋" w:cs="宋体"/>
                <w:bCs/>
                <w:color w:val="000000"/>
                <w:kern w:val="0"/>
                <w:sz w:val="24"/>
                <w:szCs w:val="24"/>
              </w:rPr>
              <w:t>20</w:t>
            </w:r>
            <w:r>
              <w:rPr>
                <w:rFonts w:hint="eastAsia" w:ascii="仿宋" w:hAnsi="仿宋" w:eastAsia="仿宋" w:cs="宋体"/>
                <w:bCs/>
                <w:color w:val="000000"/>
                <w:kern w:val="0"/>
                <w:sz w:val="24"/>
                <w:szCs w:val="24"/>
              </w:rPr>
              <w:t>个工作日内</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调查评估和统计科</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r>
              <w:rPr>
                <w:rFonts w:ascii="仿宋" w:hAnsi="仿宋" w:eastAsia="仿宋" w:cs="宋体"/>
                <w:bCs/>
                <w:kern w:val="0"/>
                <w:sz w:val="24"/>
                <w:szCs w:val="24"/>
              </w:rPr>
              <w:t xml:space="preserve">  </w:t>
            </w:r>
            <w:r>
              <w:rPr>
                <w:rFonts w:ascii="仿宋" w:hAnsi="仿宋" w:eastAsia="仿宋" w:cs="宋体"/>
                <w:bCs/>
                <w:kern w:val="0"/>
                <w:sz w:val="24"/>
                <w:szCs w:val="24"/>
              </w:rPr>
              <w:br w:type="textWrapping"/>
            </w:r>
            <w:r>
              <w:rPr>
                <w:rFonts w:hint="eastAsia" w:ascii="仿宋" w:hAnsi="仿宋" w:eastAsia="仿宋" w:cs="宋体"/>
                <w:bCs/>
                <w:kern w:val="0"/>
                <w:sz w:val="24"/>
                <w:szCs w:val="24"/>
              </w:rPr>
              <w:t>■两微</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nil"/>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3402" w:hRule="atLeast"/>
          <w:jc w:val="center"/>
        </w:trPr>
        <w:tc>
          <w:tcPr>
            <w:tcW w:w="731" w:type="dxa"/>
            <w:vMerge w:val="continue"/>
            <w:tcBorders>
              <w:left w:val="single" w:color="auto" w:sz="4" w:space="0"/>
              <w:right w:val="single" w:color="000000" w:sz="4" w:space="0"/>
            </w:tcBorders>
            <w:vAlign w:val="center"/>
          </w:tcPr>
          <w:p>
            <w:pPr>
              <w:spacing w:line="320" w:lineRule="exact"/>
              <w:rPr>
                <w:rFonts w:ascii="仿宋" w:hAnsi="仿宋" w:eastAsia="仿宋" w:cs="宋体"/>
                <w:bCs/>
                <w:color w:val="000000"/>
                <w:kern w:val="0"/>
                <w:sz w:val="24"/>
                <w:szCs w:val="24"/>
              </w:rPr>
            </w:pPr>
          </w:p>
        </w:tc>
        <w:tc>
          <w:tcPr>
            <w:tcW w:w="480" w:type="dxa"/>
            <w:tcBorders>
              <w:top w:val="single" w:color="auto" w:sz="4" w:space="0"/>
              <w:left w:val="nil"/>
              <w:bottom w:val="nil"/>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4</w:t>
            </w:r>
          </w:p>
        </w:tc>
        <w:tc>
          <w:tcPr>
            <w:tcW w:w="689" w:type="dxa"/>
            <w:tcBorders>
              <w:top w:val="single" w:color="auto" w:sz="4" w:space="0"/>
              <w:left w:val="nil"/>
              <w:bottom w:val="nil"/>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事故</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通报</w:t>
            </w:r>
          </w:p>
        </w:tc>
        <w:tc>
          <w:tcPr>
            <w:tcW w:w="3638" w:type="dxa"/>
            <w:tcBorders>
              <w:top w:val="single" w:color="auto" w:sz="4" w:space="0"/>
              <w:left w:val="nil"/>
              <w:bottom w:val="nil"/>
              <w:right w:val="single" w:color="auto" w:sz="4" w:space="0"/>
            </w:tcBorders>
            <w:vAlign w:val="center"/>
          </w:tcPr>
          <w:p>
            <w:pPr>
              <w:spacing w:line="280" w:lineRule="exact"/>
              <w:rPr>
                <w:rFonts w:ascii="仿宋" w:hAnsi="仿宋" w:eastAsia="仿宋" w:cs="宋体"/>
                <w:bCs/>
                <w:kern w:val="0"/>
                <w:sz w:val="24"/>
                <w:szCs w:val="24"/>
              </w:rPr>
            </w:pPr>
            <w:r>
              <w:rPr>
                <w:rFonts w:hint="eastAsia" w:ascii="仿宋" w:hAnsi="仿宋" w:eastAsia="仿宋" w:cs="宋体"/>
                <w:bCs/>
                <w:kern w:val="0"/>
                <w:sz w:val="24"/>
                <w:szCs w:val="24"/>
              </w:rPr>
              <w:t>●事故信息</w:t>
            </w:r>
            <w:r>
              <w:rPr>
                <w:rFonts w:ascii="仿宋" w:hAnsi="仿宋" w:eastAsia="仿宋" w:cs="宋体"/>
                <w:bCs/>
                <w:kern w:val="0"/>
                <w:sz w:val="24"/>
                <w:szCs w:val="24"/>
              </w:rPr>
              <w:t>:</w:t>
            </w:r>
            <w:r>
              <w:rPr>
                <w:rFonts w:hint="eastAsia" w:ascii="仿宋" w:hAnsi="仿宋" w:eastAsia="仿宋" w:cs="宋体"/>
                <w:bCs/>
                <w:kern w:val="0"/>
                <w:sz w:val="24"/>
                <w:szCs w:val="24"/>
              </w:rPr>
              <w:t>本部门接报查实的各类生产安全事故情况（事故发生时间、地点、伤亡情况、简要经过）</w:t>
            </w:r>
          </w:p>
          <w:p>
            <w:pPr>
              <w:spacing w:line="280" w:lineRule="exact"/>
              <w:rPr>
                <w:rFonts w:ascii="仿宋" w:hAnsi="仿宋" w:eastAsia="仿宋" w:cs="宋体"/>
                <w:bCs/>
                <w:kern w:val="0"/>
                <w:sz w:val="24"/>
                <w:szCs w:val="24"/>
              </w:rPr>
            </w:pPr>
            <w:r>
              <w:rPr>
                <w:rFonts w:hint="eastAsia" w:ascii="仿宋" w:hAnsi="仿宋" w:eastAsia="仿宋" w:cs="宋体"/>
                <w:bCs/>
                <w:kern w:val="0"/>
                <w:sz w:val="24"/>
                <w:szCs w:val="24"/>
              </w:rPr>
              <w:t>●典型事故通报</w:t>
            </w:r>
            <w:r>
              <w:rPr>
                <w:rFonts w:ascii="仿宋" w:hAnsi="仿宋" w:eastAsia="仿宋" w:cs="宋体"/>
                <w:bCs/>
                <w:kern w:val="0"/>
                <w:sz w:val="24"/>
                <w:szCs w:val="24"/>
              </w:rPr>
              <w:t>:</w:t>
            </w:r>
            <w:r>
              <w:rPr>
                <w:rFonts w:hint="eastAsia" w:ascii="仿宋" w:hAnsi="仿宋" w:eastAsia="仿宋" w:cs="宋体"/>
                <w:bCs/>
                <w:kern w:val="0"/>
                <w:sz w:val="24"/>
                <w:szCs w:val="24"/>
              </w:rPr>
              <w:t>各类典型安全生产事故情况通报，主要包括发生时间、地点、起因、经过、结果、相关领导批示情况、预防性措施建议等内容</w:t>
            </w:r>
          </w:p>
          <w:p>
            <w:pPr>
              <w:spacing w:line="280" w:lineRule="exact"/>
              <w:rPr>
                <w:rFonts w:ascii="仿宋" w:hAnsi="仿宋" w:eastAsia="仿宋" w:cs="宋体"/>
                <w:bCs/>
                <w:kern w:val="0"/>
                <w:sz w:val="24"/>
                <w:szCs w:val="24"/>
              </w:rPr>
            </w:pPr>
            <w:r>
              <w:rPr>
                <w:rFonts w:hint="eastAsia" w:ascii="仿宋" w:hAnsi="仿宋" w:eastAsia="仿宋" w:cs="宋体"/>
                <w:bCs/>
                <w:kern w:val="0"/>
                <w:sz w:val="24"/>
                <w:szCs w:val="24"/>
              </w:rPr>
              <w:t>●</w:t>
            </w:r>
            <w:r>
              <w:rPr>
                <w:rFonts w:hint="eastAsia" w:ascii="仿宋" w:hAnsi="仿宋" w:eastAsia="仿宋" w:cs="宋体"/>
                <w:bCs/>
                <w:spacing w:val="-6"/>
                <w:kern w:val="0"/>
                <w:sz w:val="24"/>
                <w:szCs w:val="24"/>
              </w:rPr>
              <w:t>事故调查报告：依照事故调查处理权限，经批复的生产安全事故调查报告，依法应当保密的除外</w:t>
            </w:r>
          </w:p>
        </w:tc>
        <w:tc>
          <w:tcPr>
            <w:tcW w:w="3615" w:type="dxa"/>
            <w:tcBorders>
              <w:top w:val="single" w:color="auto" w:sz="4" w:space="0"/>
              <w:left w:val="nil"/>
              <w:bottom w:val="nil"/>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《安全生产法》、《中华人民共和国政府信息公开条例》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号）、《中共中央</w:t>
            </w: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国务院关于推进安全生产领域改革发展的意见》</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按照中央有关要求公开</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调查评估和统计科</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single" w:color="auto" w:sz="4" w:space="0"/>
              <w:left w:val="nil"/>
              <w:bottom w:val="nil"/>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1417" w:hRule="atLeast"/>
          <w:jc w:val="center"/>
        </w:trPr>
        <w:tc>
          <w:tcPr>
            <w:tcW w:w="731" w:type="dxa"/>
            <w:vMerge w:val="continue"/>
            <w:tcBorders>
              <w:left w:val="single" w:color="auto" w:sz="4" w:space="0"/>
              <w:right w:val="single" w:color="000000" w:sz="4" w:space="0"/>
            </w:tcBorders>
            <w:vAlign w:val="center"/>
          </w:tcPr>
          <w:p>
            <w:pPr>
              <w:spacing w:line="320" w:lineRule="exact"/>
              <w:rPr>
                <w:rFonts w:ascii="仿宋" w:hAnsi="仿宋" w:eastAsia="仿宋" w:cs="宋体"/>
                <w:bCs/>
                <w:color w:val="000000"/>
                <w:kern w:val="0"/>
                <w:sz w:val="24"/>
                <w:szCs w:val="24"/>
              </w:rPr>
            </w:pPr>
          </w:p>
        </w:tc>
        <w:tc>
          <w:tcPr>
            <w:tcW w:w="480" w:type="dxa"/>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bCs/>
                <w:kern w:val="0"/>
                <w:sz w:val="24"/>
                <w:szCs w:val="24"/>
              </w:rPr>
            </w:pPr>
            <w:r>
              <w:rPr>
                <w:rFonts w:ascii="仿宋" w:hAnsi="仿宋" w:eastAsia="仿宋" w:cs="宋体"/>
                <w:bCs/>
                <w:kern w:val="0"/>
                <w:sz w:val="24"/>
                <w:szCs w:val="24"/>
              </w:rPr>
              <w:t>5</w:t>
            </w:r>
          </w:p>
        </w:tc>
        <w:tc>
          <w:tcPr>
            <w:tcW w:w="689" w:type="dxa"/>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动态</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信息</w:t>
            </w:r>
          </w:p>
        </w:tc>
        <w:tc>
          <w:tcPr>
            <w:tcW w:w="3638" w:type="dxa"/>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●业务工作动态</w:t>
            </w:r>
          </w:p>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●安全生产执法检查动态</w:t>
            </w:r>
          </w:p>
        </w:tc>
        <w:tc>
          <w:tcPr>
            <w:tcW w:w="3615" w:type="dxa"/>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《中华人民共和国政府信息公开条例》</w:t>
            </w:r>
            <w:r>
              <w:rPr>
                <w:rFonts w:ascii="仿宋" w:hAnsi="仿宋" w:eastAsia="仿宋" w:cs="宋体"/>
                <w:bCs/>
                <w:kern w:val="0"/>
                <w:sz w:val="24"/>
                <w:szCs w:val="24"/>
              </w:rPr>
              <w:t>(</w:t>
            </w:r>
            <w:r>
              <w:rPr>
                <w:rFonts w:hint="eastAsia" w:ascii="仿宋" w:hAnsi="仿宋" w:eastAsia="仿宋" w:cs="宋体"/>
                <w:bCs/>
                <w:kern w:val="0"/>
                <w:sz w:val="24"/>
                <w:szCs w:val="24"/>
              </w:rPr>
              <w:t>国务院令第</w:t>
            </w:r>
            <w:r>
              <w:rPr>
                <w:rFonts w:ascii="仿宋" w:hAnsi="仿宋" w:eastAsia="仿宋" w:cs="宋体"/>
                <w:bCs/>
                <w:kern w:val="0"/>
                <w:sz w:val="24"/>
                <w:szCs w:val="24"/>
              </w:rPr>
              <w:t>711</w:t>
            </w:r>
            <w:r>
              <w:rPr>
                <w:rFonts w:hint="eastAsia" w:ascii="仿宋" w:hAnsi="仿宋" w:eastAsia="仿宋" w:cs="宋体"/>
                <w:bCs/>
                <w:kern w:val="0"/>
                <w:sz w:val="24"/>
                <w:szCs w:val="24"/>
              </w:rPr>
              <w:t>号）、《中共中央</w:t>
            </w:r>
            <w:r>
              <w:rPr>
                <w:rFonts w:ascii="仿宋" w:hAnsi="仿宋" w:eastAsia="仿宋" w:cs="宋体"/>
                <w:bCs/>
                <w:kern w:val="0"/>
                <w:sz w:val="24"/>
                <w:szCs w:val="24"/>
              </w:rPr>
              <w:t xml:space="preserve"> </w:t>
            </w:r>
            <w:r>
              <w:rPr>
                <w:rFonts w:hint="eastAsia" w:ascii="仿宋" w:hAnsi="仿宋" w:eastAsia="仿宋" w:cs="宋体"/>
                <w:bCs/>
                <w:kern w:val="0"/>
                <w:sz w:val="24"/>
                <w:szCs w:val="24"/>
              </w:rPr>
              <w:t>国务院关于推进安全生产领域改革发展的意见》</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按进展情况及时公开</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各业务科</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r>
              <w:rPr>
                <w:rFonts w:ascii="仿宋" w:hAnsi="仿宋" w:eastAsia="仿宋" w:cs="宋体"/>
                <w:bCs/>
                <w:kern w:val="0"/>
                <w:sz w:val="24"/>
                <w:szCs w:val="24"/>
              </w:rPr>
              <w:t xml:space="preserve"> </w:t>
            </w:r>
            <w:r>
              <w:rPr>
                <w:rFonts w:ascii="仿宋" w:hAnsi="仿宋" w:eastAsia="仿宋" w:cs="宋体"/>
                <w:bCs/>
                <w:kern w:val="0"/>
                <w:sz w:val="24"/>
                <w:szCs w:val="24"/>
              </w:rPr>
              <w:br w:type="textWrapping"/>
            </w:r>
            <w:r>
              <w:rPr>
                <w:rFonts w:hint="eastAsia" w:ascii="仿宋" w:hAnsi="仿宋" w:eastAsia="仿宋" w:cs="宋体"/>
                <w:bCs/>
                <w:kern w:val="0"/>
                <w:sz w:val="24"/>
                <w:szCs w:val="24"/>
              </w:rPr>
              <w:t>■两微</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1525" w:hRule="atLeast"/>
          <w:jc w:val="center"/>
        </w:trPr>
        <w:tc>
          <w:tcPr>
            <w:tcW w:w="731" w:type="dxa"/>
            <w:vMerge w:val="continue"/>
            <w:tcBorders>
              <w:left w:val="single" w:color="auto" w:sz="4" w:space="0"/>
              <w:bottom w:val="single" w:color="auto" w:sz="4" w:space="0"/>
              <w:right w:val="single" w:color="000000" w:sz="4" w:space="0"/>
            </w:tcBorders>
            <w:vAlign w:val="center"/>
          </w:tcPr>
          <w:p>
            <w:pPr>
              <w:spacing w:line="320" w:lineRule="exact"/>
              <w:rPr>
                <w:rFonts w:ascii="仿宋" w:hAnsi="仿宋" w:eastAsia="仿宋" w:cs="宋体"/>
                <w:bCs/>
                <w:color w:val="000000"/>
                <w:kern w:val="0"/>
                <w:sz w:val="24"/>
                <w:szCs w:val="24"/>
              </w:rPr>
            </w:pP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6</w:t>
            </w:r>
          </w:p>
        </w:tc>
        <w:tc>
          <w:tcPr>
            <w:tcW w:w="689" w:type="dxa"/>
            <w:tcBorders>
              <w:top w:val="nil"/>
              <w:left w:val="nil"/>
              <w:bottom w:val="single" w:color="auto" w:sz="4" w:space="0"/>
              <w:right w:val="single" w:color="auto" w:sz="4" w:space="0"/>
            </w:tcBorders>
            <w:vAlign w:val="center"/>
          </w:tcPr>
          <w:p>
            <w:pPr>
              <w:spacing w:line="26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安全</w:t>
            </w:r>
          </w:p>
          <w:p>
            <w:pPr>
              <w:spacing w:line="26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生产</w:t>
            </w:r>
          </w:p>
          <w:p>
            <w:pPr>
              <w:spacing w:line="26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预警</w:t>
            </w:r>
          </w:p>
          <w:p>
            <w:pPr>
              <w:spacing w:line="26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提示</w:t>
            </w:r>
          </w:p>
          <w:p>
            <w:pPr>
              <w:spacing w:line="26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w:t>
            </w:r>
          </w:p>
        </w:tc>
        <w:tc>
          <w:tcPr>
            <w:tcW w:w="363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●气象及灾害预警信息</w:t>
            </w: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●不同时段、不同领域安全生产提示信息</w:t>
            </w:r>
          </w:p>
        </w:tc>
        <w:tc>
          <w:tcPr>
            <w:tcW w:w="3615"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号）、《中共中央</w:t>
            </w: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国务院关于推进安全生产领域改革发展的意见》</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信息形成后及时公开</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综合协调科</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r>
              <w:rPr>
                <w:rFonts w:ascii="仿宋" w:hAnsi="仿宋" w:eastAsia="仿宋" w:cs="宋体"/>
                <w:bCs/>
                <w:kern w:val="0"/>
                <w:sz w:val="24"/>
                <w:szCs w:val="24"/>
              </w:rPr>
              <w:t xml:space="preserve"> </w:t>
            </w:r>
            <w:r>
              <w:rPr>
                <w:rFonts w:ascii="仿宋" w:hAnsi="仿宋" w:eastAsia="仿宋" w:cs="宋体"/>
                <w:bCs/>
                <w:kern w:val="0"/>
                <w:sz w:val="24"/>
                <w:szCs w:val="24"/>
              </w:rPr>
              <w:br w:type="page"/>
            </w:r>
            <w:r>
              <w:rPr>
                <w:rFonts w:hint="eastAsia" w:ascii="仿宋" w:hAnsi="仿宋" w:eastAsia="仿宋" w:cs="宋体"/>
                <w:bCs/>
                <w:kern w:val="0"/>
                <w:sz w:val="24"/>
                <w:szCs w:val="24"/>
              </w:rPr>
              <w:t>■两微</w:t>
            </w:r>
            <w:r>
              <w:rPr>
                <w:rFonts w:ascii="仿宋" w:hAnsi="仿宋" w:eastAsia="仿宋" w:cs="宋体"/>
                <w:bCs/>
                <w:kern w:val="0"/>
                <w:sz w:val="24"/>
                <w:szCs w:val="24"/>
              </w:rPr>
              <w:t xml:space="preserve">  </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　</w:t>
            </w:r>
          </w:p>
        </w:tc>
      </w:tr>
      <w:tr>
        <w:tblPrEx>
          <w:tblCellMar>
            <w:top w:w="0" w:type="dxa"/>
            <w:left w:w="57" w:type="dxa"/>
            <w:bottom w:w="0" w:type="dxa"/>
            <w:right w:w="57" w:type="dxa"/>
          </w:tblCellMar>
        </w:tblPrEx>
        <w:trPr>
          <w:trHeight w:val="1521" w:hRule="atLeast"/>
          <w:jc w:val="center"/>
        </w:trPr>
        <w:tc>
          <w:tcPr>
            <w:tcW w:w="731" w:type="dxa"/>
            <w:vMerge w:val="restart"/>
            <w:tcBorders>
              <w:top w:val="single" w:color="auto" w:sz="4" w:space="0"/>
              <w:left w:val="single" w:color="auto" w:sz="4" w:space="0"/>
              <w:right w:val="single" w:color="000000"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公</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共</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服</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务</w:t>
            </w: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1</w:t>
            </w:r>
          </w:p>
        </w:tc>
        <w:tc>
          <w:tcPr>
            <w:tcW w:w="689"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政务</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公开</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目录</w:t>
            </w:r>
          </w:p>
        </w:tc>
        <w:tc>
          <w:tcPr>
            <w:tcW w:w="363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政务公开事项的索引、名称、内容概述、生成日期等</w:t>
            </w:r>
          </w:p>
        </w:tc>
        <w:tc>
          <w:tcPr>
            <w:tcW w:w="3615"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号）、《中共中央</w:t>
            </w: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国务院关于推进安全生产领域改革发展的意见》</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按进展情况及时公开</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办公室</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p>
          <w:p>
            <w:pPr>
              <w:spacing w:line="320" w:lineRule="exact"/>
              <w:ind w:left="240" w:hanging="240" w:hangingChars="100"/>
              <w:rPr>
                <w:rFonts w:ascii="仿宋" w:hAnsi="仿宋" w:eastAsia="仿宋" w:cs="宋体"/>
                <w:bCs/>
                <w:kern w:val="0"/>
                <w:sz w:val="24"/>
                <w:szCs w:val="24"/>
              </w:rPr>
            </w:pPr>
            <w:r>
              <w:rPr>
                <w:rFonts w:hint="eastAsia" w:ascii="仿宋" w:hAnsi="仿宋" w:eastAsia="仿宋" w:cs="宋体"/>
                <w:bCs/>
                <w:kern w:val="0"/>
                <w:sz w:val="24"/>
                <w:szCs w:val="24"/>
              </w:rPr>
              <w:t>■公开查阅点</w:t>
            </w:r>
          </w:p>
          <w:p>
            <w:pPr>
              <w:spacing w:line="320" w:lineRule="exact"/>
              <w:ind w:left="240" w:hanging="240" w:hangingChars="100"/>
              <w:rPr>
                <w:rFonts w:ascii="仿宋" w:hAnsi="仿宋" w:eastAsia="仿宋" w:cs="宋体"/>
                <w:bCs/>
                <w:kern w:val="0"/>
                <w:sz w:val="24"/>
                <w:szCs w:val="24"/>
              </w:rPr>
            </w:pPr>
            <w:r>
              <w:rPr>
                <w:rFonts w:hint="eastAsia" w:ascii="仿宋" w:hAnsi="仿宋" w:eastAsia="仿宋" w:cs="宋体"/>
                <w:bCs/>
                <w:kern w:val="0"/>
                <w:sz w:val="24"/>
                <w:szCs w:val="24"/>
              </w:rPr>
              <w:t>■政务服务中心</w:t>
            </w:r>
            <w:r>
              <w:rPr>
                <w:rFonts w:ascii="仿宋" w:hAnsi="仿宋" w:eastAsia="仿宋" w:cs="宋体"/>
                <w:bCs/>
                <w:kern w:val="0"/>
                <w:sz w:val="24"/>
                <w:szCs w:val="24"/>
              </w:rPr>
              <w:t xml:space="preserve"> </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1078" w:hRule="atLeast"/>
          <w:jc w:val="center"/>
        </w:trPr>
        <w:tc>
          <w:tcPr>
            <w:tcW w:w="731" w:type="dxa"/>
            <w:vMerge w:val="continue"/>
            <w:tcBorders>
              <w:left w:val="single" w:color="auto" w:sz="4" w:space="0"/>
              <w:right w:val="single" w:color="000000" w:sz="4" w:space="0"/>
            </w:tcBorders>
            <w:vAlign w:val="center"/>
          </w:tcPr>
          <w:p>
            <w:pPr>
              <w:spacing w:line="320" w:lineRule="exact"/>
              <w:jc w:val="center"/>
              <w:rPr>
                <w:rFonts w:ascii="仿宋" w:hAnsi="仿宋" w:eastAsia="仿宋" w:cs="宋体"/>
                <w:bCs/>
                <w:color w:val="000000"/>
                <w:kern w:val="0"/>
                <w:sz w:val="24"/>
                <w:szCs w:val="24"/>
              </w:rPr>
            </w:pP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2</w:t>
            </w:r>
          </w:p>
        </w:tc>
        <w:tc>
          <w:tcPr>
            <w:tcW w:w="689"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政务</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公开</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标准</w:t>
            </w:r>
          </w:p>
        </w:tc>
        <w:tc>
          <w:tcPr>
            <w:tcW w:w="363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政府信息公开指南等流程性信息</w:t>
            </w:r>
          </w:p>
        </w:tc>
        <w:tc>
          <w:tcPr>
            <w:tcW w:w="3615"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按进展情况及时公开</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办公室</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2177" w:hRule="atLeast"/>
          <w:jc w:val="center"/>
        </w:trPr>
        <w:tc>
          <w:tcPr>
            <w:tcW w:w="731" w:type="dxa"/>
            <w:vMerge w:val="continue"/>
            <w:tcBorders>
              <w:left w:val="single" w:color="auto" w:sz="4" w:space="0"/>
              <w:right w:val="single" w:color="000000" w:sz="4" w:space="0"/>
            </w:tcBorders>
            <w:vAlign w:val="center"/>
          </w:tcPr>
          <w:p>
            <w:pPr>
              <w:spacing w:line="320" w:lineRule="exact"/>
              <w:jc w:val="center"/>
              <w:rPr>
                <w:rFonts w:ascii="仿宋" w:hAnsi="仿宋" w:eastAsia="仿宋" w:cs="宋体"/>
                <w:bCs/>
                <w:color w:val="000000"/>
                <w:kern w:val="0"/>
                <w:sz w:val="24"/>
                <w:szCs w:val="24"/>
              </w:rPr>
            </w:pP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kern w:val="0"/>
                <w:sz w:val="24"/>
                <w:szCs w:val="24"/>
              </w:rPr>
            </w:pPr>
            <w:r>
              <w:rPr>
                <w:rFonts w:ascii="仿宋" w:hAnsi="仿宋" w:eastAsia="仿宋" w:cs="宋体"/>
                <w:bCs/>
                <w:kern w:val="0"/>
                <w:sz w:val="24"/>
                <w:szCs w:val="24"/>
              </w:rPr>
              <w:t>3</w:t>
            </w:r>
          </w:p>
        </w:tc>
        <w:tc>
          <w:tcPr>
            <w:tcW w:w="689"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权力</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清单</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及责</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任清</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单</w:t>
            </w:r>
          </w:p>
        </w:tc>
        <w:tc>
          <w:tcPr>
            <w:tcW w:w="363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同级政府审批通过的行政执法主体信息和行政许可、行政处罚、行政强制、行政检查、行政确认、行政奖励及其他行政职权等行政执法职权职责清单</w:t>
            </w:r>
          </w:p>
        </w:tc>
        <w:tc>
          <w:tcPr>
            <w:tcW w:w="3615"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号）、《中共中央</w:t>
            </w: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国务院关于推进安全生产领域改革发展的意见》</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信息形成或者变更</w:t>
            </w:r>
            <w:r>
              <w:rPr>
                <w:rFonts w:ascii="仿宋" w:hAnsi="仿宋" w:eastAsia="仿宋" w:cs="宋体"/>
                <w:bCs/>
                <w:kern w:val="0"/>
                <w:sz w:val="24"/>
                <w:szCs w:val="24"/>
              </w:rPr>
              <w:t>20</w:t>
            </w:r>
            <w:r>
              <w:rPr>
                <w:rFonts w:hint="eastAsia" w:ascii="仿宋" w:hAnsi="仿宋" w:eastAsia="仿宋" w:cs="宋体"/>
                <w:bCs/>
                <w:kern w:val="0"/>
                <w:sz w:val="24"/>
                <w:szCs w:val="24"/>
              </w:rPr>
              <w:t>个工作日内，如有更新，及时公开</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政策法规科</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p>
          <w:p>
            <w:pPr>
              <w:spacing w:line="320" w:lineRule="exact"/>
              <w:ind w:left="240" w:hanging="240" w:hangingChars="100"/>
              <w:rPr>
                <w:rFonts w:ascii="仿宋" w:hAnsi="仿宋" w:eastAsia="仿宋" w:cs="宋体"/>
                <w:bCs/>
                <w:kern w:val="0"/>
                <w:sz w:val="24"/>
                <w:szCs w:val="24"/>
              </w:rPr>
            </w:pPr>
            <w:r>
              <w:rPr>
                <w:rFonts w:hint="eastAsia" w:ascii="仿宋" w:hAnsi="仿宋" w:eastAsia="仿宋" w:cs="宋体"/>
                <w:bCs/>
                <w:kern w:val="0"/>
                <w:sz w:val="24"/>
                <w:szCs w:val="24"/>
              </w:rPr>
              <w:t>■公开查阅点</w:t>
            </w:r>
          </w:p>
          <w:p>
            <w:pPr>
              <w:spacing w:line="320" w:lineRule="exact"/>
              <w:ind w:left="240" w:hanging="240" w:hangingChars="100"/>
              <w:rPr>
                <w:rFonts w:ascii="仿宋" w:hAnsi="仿宋" w:eastAsia="仿宋" w:cs="宋体"/>
                <w:bCs/>
                <w:kern w:val="0"/>
                <w:sz w:val="24"/>
                <w:szCs w:val="24"/>
              </w:rPr>
            </w:pPr>
            <w:r>
              <w:rPr>
                <w:rFonts w:hint="eastAsia" w:ascii="仿宋" w:hAnsi="仿宋" w:eastAsia="仿宋" w:cs="宋体"/>
                <w:bCs/>
                <w:kern w:val="0"/>
                <w:sz w:val="24"/>
                <w:szCs w:val="24"/>
              </w:rPr>
              <w:t>■政务服务中心</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　</w:t>
            </w:r>
          </w:p>
        </w:tc>
      </w:tr>
      <w:tr>
        <w:tblPrEx>
          <w:tblCellMar>
            <w:top w:w="0" w:type="dxa"/>
            <w:left w:w="57" w:type="dxa"/>
            <w:bottom w:w="0" w:type="dxa"/>
            <w:right w:w="57" w:type="dxa"/>
          </w:tblCellMar>
        </w:tblPrEx>
        <w:trPr>
          <w:trHeight w:val="1821" w:hRule="atLeast"/>
          <w:jc w:val="center"/>
        </w:trPr>
        <w:tc>
          <w:tcPr>
            <w:tcW w:w="731" w:type="dxa"/>
            <w:vMerge w:val="continue"/>
            <w:tcBorders>
              <w:left w:val="single" w:color="auto" w:sz="4" w:space="0"/>
              <w:right w:val="single" w:color="000000" w:sz="4" w:space="0"/>
            </w:tcBorders>
            <w:vAlign w:val="center"/>
          </w:tcPr>
          <w:p>
            <w:pPr>
              <w:spacing w:line="320" w:lineRule="exact"/>
              <w:jc w:val="center"/>
              <w:rPr>
                <w:rFonts w:ascii="仿宋" w:hAnsi="仿宋" w:eastAsia="仿宋" w:cs="宋体"/>
                <w:bCs/>
                <w:color w:val="000000"/>
                <w:kern w:val="0"/>
                <w:sz w:val="24"/>
                <w:szCs w:val="24"/>
              </w:rPr>
            </w:pP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kern w:val="0"/>
                <w:sz w:val="24"/>
                <w:szCs w:val="24"/>
              </w:rPr>
            </w:pPr>
            <w:r>
              <w:rPr>
                <w:rFonts w:ascii="仿宋" w:hAnsi="仿宋" w:eastAsia="仿宋" w:cs="宋体"/>
                <w:bCs/>
                <w:kern w:val="0"/>
                <w:sz w:val="24"/>
                <w:szCs w:val="24"/>
              </w:rPr>
              <w:t>4</w:t>
            </w:r>
          </w:p>
        </w:tc>
        <w:tc>
          <w:tcPr>
            <w:tcW w:w="689"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主要</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业务</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办事</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指南</w:t>
            </w:r>
          </w:p>
        </w:tc>
        <w:tc>
          <w:tcPr>
            <w:tcW w:w="363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主要业务工作的办事依据、程序、时限，办事时间、地点、部门、联系方式及相关办理结果</w:t>
            </w:r>
          </w:p>
        </w:tc>
        <w:tc>
          <w:tcPr>
            <w:tcW w:w="3615"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号）、《中共中央</w:t>
            </w: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国务院关于推进安全生产领域改革发展的意见》</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信息形成或者变更之日起</w:t>
            </w:r>
            <w:r>
              <w:rPr>
                <w:rFonts w:ascii="仿宋" w:hAnsi="仿宋" w:eastAsia="仿宋" w:cs="宋体"/>
                <w:bCs/>
                <w:kern w:val="0"/>
                <w:sz w:val="24"/>
                <w:szCs w:val="24"/>
              </w:rPr>
              <w:t>20</w:t>
            </w:r>
            <w:r>
              <w:rPr>
                <w:rFonts w:hint="eastAsia" w:ascii="仿宋" w:hAnsi="仿宋" w:eastAsia="仿宋" w:cs="宋体"/>
                <w:bCs/>
                <w:kern w:val="0"/>
                <w:sz w:val="24"/>
                <w:szCs w:val="24"/>
              </w:rPr>
              <w:t>个工作日内</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政策法规科</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p>
          <w:p>
            <w:pPr>
              <w:spacing w:line="320" w:lineRule="exact"/>
              <w:ind w:left="240" w:hanging="240" w:hangingChars="100"/>
              <w:rPr>
                <w:rFonts w:ascii="仿宋" w:hAnsi="仿宋" w:eastAsia="仿宋" w:cs="宋体"/>
                <w:bCs/>
                <w:kern w:val="0"/>
                <w:sz w:val="24"/>
                <w:szCs w:val="24"/>
              </w:rPr>
            </w:pPr>
            <w:r>
              <w:rPr>
                <w:rFonts w:hint="eastAsia" w:ascii="仿宋" w:hAnsi="仿宋" w:eastAsia="仿宋" w:cs="宋体"/>
                <w:bCs/>
                <w:kern w:val="0"/>
                <w:sz w:val="24"/>
                <w:szCs w:val="24"/>
              </w:rPr>
              <w:t>■公开查阅点</w:t>
            </w:r>
          </w:p>
          <w:p>
            <w:pPr>
              <w:spacing w:line="320" w:lineRule="exact"/>
              <w:ind w:left="240" w:hanging="240" w:hangingChars="100"/>
              <w:rPr>
                <w:rFonts w:ascii="仿宋" w:hAnsi="仿宋" w:eastAsia="仿宋" w:cs="宋体"/>
                <w:bCs/>
                <w:kern w:val="0"/>
                <w:sz w:val="24"/>
                <w:szCs w:val="24"/>
              </w:rPr>
            </w:pPr>
            <w:r>
              <w:rPr>
                <w:rFonts w:hint="eastAsia" w:ascii="仿宋" w:hAnsi="仿宋" w:eastAsia="仿宋" w:cs="宋体"/>
                <w:bCs/>
                <w:kern w:val="0"/>
                <w:sz w:val="24"/>
                <w:szCs w:val="24"/>
              </w:rPr>
              <w:t>■政务服务中心</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　</w:t>
            </w:r>
          </w:p>
        </w:tc>
      </w:tr>
      <w:tr>
        <w:tblPrEx>
          <w:tblCellMar>
            <w:top w:w="0" w:type="dxa"/>
            <w:left w:w="57" w:type="dxa"/>
            <w:bottom w:w="0" w:type="dxa"/>
            <w:right w:w="57" w:type="dxa"/>
          </w:tblCellMar>
        </w:tblPrEx>
        <w:trPr>
          <w:trHeight w:val="1022" w:hRule="atLeast"/>
          <w:jc w:val="center"/>
        </w:trPr>
        <w:tc>
          <w:tcPr>
            <w:tcW w:w="731" w:type="dxa"/>
            <w:vMerge w:val="continue"/>
            <w:tcBorders>
              <w:left w:val="single" w:color="auto" w:sz="4" w:space="0"/>
              <w:bottom w:val="single" w:color="000000" w:sz="4" w:space="0"/>
              <w:right w:val="single" w:color="000000" w:sz="4" w:space="0"/>
            </w:tcBorders>
            <w:vAlign w:val="center"/>
          </w:tcPr>
          <w:p>
            <w:pPr>
              <w:spacing w:line="320" w:lineRule="exact"/>
              <w:jc w:val="center"/>
              <w:rPr>
                <w:rFonts w:ascii="仿宋" w:hAnsi="仿宋" w:eastAsia="仿宋" w:cs="宋体"/>
                <w:bCs/>
                <w:color w:val="000000"/>
                <w:kern w:val="0"/>
                <w:sz w:val="24"/>
                <w:szCs w:val="24"/>
              </w:rPr>
            </w:pP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kern w:val="0"/>
                <w:sz w:val="24"/>
                <w:szCs w:val="24"/>
              </w:rPr>
            </w:pPr>
            <w:r>
              <w:rPr>
                <w:rFonts w:ascii="仿宋" w:hAnsi="仿宋" w:eastAsia="仿宋" w:cs="宋体"/>
                <w:bCs/>
                <w:kern w:val="0"/>
                <w:sz w:val="24"/>
                <w:szCs w:val="24"/>
              </w:rPr>
              <w:t>5</w:t>
            </w:r>
          </w:p>
        </w:tc>
        <w:tc>
          <w:tcPr>
            <w:tcW w:w="689"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年度</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报告</w:t>
            </w:r>
          </w:p>
        </w:tc>
        <w:tc>
          <w:tcPr>
            <w:tcW w:w="363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政府信息公开年度报告及相关统计报表</w:t>
            </w:r>
          </w:p>
        </w:tc>
        <w:tc>
          <w:tcPr>
            <w:tcW w:w="3615"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《中华人民共和国政府信息公开条例》</w:t>
            </w:r>
            <w:r>
              <w:rPr>
                <w:rFonts w:ascii="仿宋" w:hAnsi="仿宋" w:eastAsia="仿宋" w:cs="宋体"/>
                <w:bCs/>
                <w:kern w:val="0"/>
                <w:sz w:val="24"/>
                <w:szCs w:val="24"/>
              </w:rPr>
              <w:t>(</w:t>
            </w:r>
            <w:r>
              <w:rPr>
                <w:rFonts w:hint="eastAsia" w:ascii="仿宋" w:hAnsi="仿宋" w:eastAsia="仿宋" w:cs="宋体"/>
                <w:bCs/>
                <w:kern w:val="0"/>
                <w:sz w:val="24"/>
                <w:szCs w:val="24"/>
              </w:rPr>
              <w:t>国务院令第</w:t>
            </w:r>
            <w:r>
              <w:rPr>
                <w:rFonts w:ascii="仿宋" w:hAnsi="仿宋" w:eastAsia="仿宋" w:cs="宋体"/>
                <w:bCs/>
                <w:kern w:val="0"/>
                <w:sz w:val="24"/>
                <w:szCs w:val="24"/>
              </w:rPr>
              <w:t>711</w:t>
            </w:r>
            <w:r>
              <w:rPr>
                <w:rFonts w:hint="eastAsia" w:ascii="仿宋" w:hAnsi="仿宋" w:eastAsia="仿宋" w:cs="宋体"/>
                <w:bCs/>
                <w:kern w:val="0"/>
                <w:sz w:val="24"/>
                <w:szCs w:val="24"/>
              </w:rPr>
              <w:t>号）</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每年</w:t>
            </w:r>
            <w:r>
              <w:rPr>
                <w:rFonts w:ascii="仿宋" w:hAnsi="仿宋" w:eastAsia="仿宋" w:cs="宋体"/>
                <w:bCs/>
                <w:color w:val="000000"/>
                <w:kern w:val="0"/>
                <w:sz w:val="24"/>
                <w:szCs w:val="24"/>
              </w:rPr>
              <w:t>1</w:t>
            </w:r>
            <w:r>
              <w:rPr>
                <w:rFonts w:hint="eastAsia" w:ascii="仿宋" w:hAnsi="仿宋" w:eastAsia="仿宋" w:cs="宋体"/>
                <w:bCs/>
                <w:color w:val="000000"/>
                <w:kern w:val="0"/>
                <w:sz w:val="24"/>
                <w:szCs w:val="24"/>
              </w:rPr>
              <w:t>月</w:t>
            </w:r>
            <w:r>
              <w:rPr>
                <w:rFonts w:ascii="仿宋" w:hAnsi="仿宋" w:eastAsia="仿宋" w:cs="宋体"/>
                <w:bCs/>
                <w:color w:val="000000"/>
                <w:kern w:val="0"/>
                <w:sz w:val="24"/>
                <w:szCs w:val="24"/>
              </w:rPr>
              <w:t>31</w:t>
            </w:r>
            <w:r>
              <w:rPr>
                <w:rFonts w:hint="eastAsia" w:ascii="仿宋" w:hAnsi="仿宋" w:eastAsia="仿宋" w:cs="宋体"/>
                <w:bCs/>
                <w:color w:val="000000"/>
                <w:kern w:val="0"/>
                <w:sz w:val="24"/>
                <w:szCs w:val="24"/>
              </w:rPr>
              <w:t>日前</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办公室</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　</w:t>
            </w:r>
          </w:p>
        </w:tc>
      </w:tr>
      <w:tr>
        <w:tblPrEx>
          <w:tblCellMar>
            <w:top w:w="0" w:type="dxa"/>
            <w:left w:w="57" w:type="dxa"/>
            <w:bottom w:w="0" w:type="dxa"/>
            <w:right w:w="57" w:type="dxa"/>
          </w:tblCellMar>
        </w:tblPrEx>
        <w:trPr>
          <w:trHeight w:val="1912" w:hRule="atLeast"/>
          <w:jc w:val="center"/>
        </w:trPr>
        <w:tc>
          <w:tcPr>
            <w:tcW w:w="731" w:type="dxa"/>
            <w:vMerge w:val="restart"/>
            <w:tcBorders>
              <w:top w:val="single" w:color="auto" w:sz="4" w:space="0"/>
              <w:left w:val="single" w:color="auto" w:sz="4" w:space="0"/>
              <w:right w:val="single" w:color="000000"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重点</w:t>
            </w:r>
          </w:p>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领域</w:t>
            </w:r>
          </w:p>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w:t>
            </w:r>
          </w:p>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公开</w:t>
            </w:r>
          </w:p>
        </w:tc>
        <w:tc>
          <w:tcPr>
            <w:tcW w:w="480" w:type="dxa"/>
            <w:tcBorders>
              <w:top w:val="nil"/>
              <w:left w:val="nil"/>
              <w:bottom w:val="single" w:color="auto" w:sz="4" w:space="0"/>
              <w:right w:val="single" w:color="auto" w:sz="4" w:space="0"/>
            </w:tcBorders>
            <w:shd w:val="clear" w:color="000000" w:fill="FFFFFF"/>
            <w:vAlign w:val="center"/>
          </w:tcPr>
          <w:p>
            <w:pPr>
              <w:spacing w:line="320" w:lineRule="exact"/>
              <w:jc w:val="center"/>
              <w:rPr>
                <w:rFonts w:ascii="仿宋" w:hAnsi="仿宋" w:eastAsia="仿宋" w:cs="宋体"/>
                <w:bCs/>
                <w:kern w:val="0"/>
                <w:sz w:val="24"/>
                <w:szCs w:val="24"/>
              </w:rPr>
            </w:pPr>
            <w:r>
              <w:rPr>
                <w:rFonts w:ascii="仿宋" w:hAnsi="仿宋" w:eastAsia="仿宋" w:cs="宋体"/>
                <w:bCs/>
                <w:kern w:val="0"/>
                <w:sz w:val="24"/>
                <w:szCs w:val="24"/>
              </w:rPr>
              <w:t>1</w:t>
            </w:r>
          </w:p>
        </w:tc>
        <w:tc>
          <w:tcPr>
            <w:tcW w:w="689" w:type="dxa"/>
            <w:tcBorders>
              <w:top w:val="nil"/>
              <w:left w:val="nil"/>
              <w:bottom w:val="nil"/>
              <w:right w:val="nil"/>
            </w:tcBorders>
            <w:vAlign w:val="center"/>
          </w:tcPr>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财政</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资金</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信息</w:t>
            </w:r>
          </w:p>
        </w:tc>
        <w:tc>
          <w:tcPr>
            <w:tcW w:w="3638" w:type="dxa"/>
            <w:tcBorders>
              <w:top w:val="nil"/>
              <w:left w:val="single" w:color="auto" w:sz="4" w:space="0"/>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●预算、决算</w:t>
            </w:r>
          </w:p>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●“三公”经费</w:t>
            </w:r>
          </w:p>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●安全生产专项资金使用等财政资金信息</w:t>
            </w:r>
          </w:p>
        </w:tc>
        <w:tc>
          <w:tcPr>
            <w:tcW w:w="3615"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《中华人民共和国政府信息公开条例》</w:t>
            </w:r>
            <w:r>
              <w:rPr>
                <w:rFonts w:ascii="仿宋" w:hAnsi="仿宋" w:eastAsia="仿宋" w:cs="宋体"/>
                <w:bCs/>
                <w:kern w:val="0"/>
                <w:sz w:val="24"/>
                <w:szCs w:val="24"/>
              </w:rPr>
              <w:t>(</w:t>
            </w:r>
            <w:r>
              <w:rPr>
                <w:rFonts w:hint="eastAsia" w:ascii="仿宋" w:hAnsi="仿宋" w:eastAsia="仿宋" w:cs="宋体"/>
                <w:bCs/>
                <w:kern w:val="0"/>
                <w:sz w:val="24"/>
                <w:szCs w:val="24"/>
              </w:rPr>
              <w:t>国务院令第</w:t>
            </w:r>
            <w:r>
              <w:rPr>
                <w:rFonts w:ascii="仿宋" w:hAnsi="仿宋" w:eastAsia="仿宋" w:cs="宋体"/>
                <w:bCs/>
                <w:kern w:val="0"/>
                <w:sz w:val="24"/>
                <w:szCs w:val="24"/>
              </w:rPr>
              <w:t>711</w:t>
            </w:r>
            <w:r>
              <w:rPr>
                <w:rFonts w:hint="eastAsia" w:ascii="仿宋" w:hAnsi="仿宋" w:eastAsia="仿宋" w:cs="宋体"/>
                <w:bCs/>
                <w:kern w:val="0"/>
                <w:sz w:val="24"/>
                <w:szCs w:val="24"/>
              </w:rPr>
              <w:t>号）、《国务院关于深化预算管理制度改革的决定》、《国务院办公厅关于进一步推进预算公开工作意见的通知》</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按中央要求时限公开</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办公室</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　</w:t>
            </w:r>
          </w:p>
        </w:tc>
      </w:tr>
      <w:tr>
        <w:tblPrEx>
          <w:tblCellMar>
            <w:top w:w="0" w:type="dxa"/>
            <w:left w:w="57" w:type="dxa"/>
            <w:bottom w:w="0" w:type="dxa"/>
            <w:right w:w="57" w:type="dxa"/>
          </w:tblCellMar>
        </w:tblPrEx>
        <w:trPr>
          <w:trHeight w:val="1913" w:hRule="atLeast"/>
          <w:jc w:val="center"/>
        </w:trPr>
        <w:tc>
          <w:tcPr>
            <w:tcW w:w="731" w:type="dxa"/>
            <w:vMerge w:val="continue"/>
            <w:tcBorders>
              <w:left w:val="single" w:color="auto" w:sz="4" w:space="0"/>
              <w:right w:val="single" w:color="000000" w:sz="4" w:space="0"/>
            </w:tcBorders>
            <w:vAlign w:val="center"/>
          </w:tcPr>
          <w:p>
            <w:pPr>
              <w:spacing w:line="320" w:lineRule="exact"/>
              <w:rPr>
                <w:rFonts w:ascii="仿宋" w:hAnsi="仿宋" w:eastAsia="仿宋" w:cs="宋体"/>
                <w:bCs/>
                <w:color w:val="000000"/>
                <w:kern w:val="0"/>
                <w:sz w:val="24"/>
                <w:szCs w:val="24"/>
              </w:rPr>
            </w:pPr>
          </w:p>
        </w:tc>
        <w:tc>
          <w:tcPr>
            <w:tcW w:w="480" w:type="dxa"/>
            <w:tcBorders>
              <w:top w:val="nil"/>
              <w:left w:val="nil"/>
              <w:bottom w:val="single" w:color="auto" w:sz="4" w:space="0"/>
              <w:right w:val="single" w:color="auto" w:sz="4" w:space="0"/>
            </w:tcBorders>
            <w:shd w:val="clear" w:color="000000" w:fill="FFFFFF"/>
            <w:vAlign w:val="center"/>
          </w:tcPr>
          <w:p>
            <w:pPr>
              <w:spacing w:line="320" w:lineRule="exact"/>
              <w:jc w:val="center"/>
              <w:rPr>
                <w:rFonts w:ascii="仿宋" w:hAnsi="仿宋" w:eastAsia="仿宋" w:cs="宋体"/>
                <w:bCs/>
                <w:kern w:val="0"/>
                <w:sz w:val="24"/>
                <w:szCs w:val="24"/>
              </w:rPr>
            </w:pPr>
            <w:r>
              <w:rPr>
                <w:rFonts w:ascii="仿宋" w:hAnsi="仿宋" w:eastAsia="仿宋" w:cs="宋体"/>
                <w:bCs/>
                <w:kern w:val="0"/>
                <w:sz w:val="24"/>
                <w:szCs w:val="24"/>
              </w:rPr>
              <w:t>2</w:t>
            </w:r>
          </w:p>
        </w:tc>
        <w:tc>
          <w:tcPr>
            <w:tcW w:w="689" w:type="dxa"/>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政府</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采购</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信息</w:t>
            </w:r>
          </w:p>
        </w:tc>
        <w:tc>
          <w:tcPr>
            <w:tcW w:w="363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本单位采购实施情况相关信息</w:t>
            </w:r>
          </w:p>
        </w:tc>
        <w:tc>
          <w:tcPr>
            <w:tcW w:w="3615"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《中华人民共和国政府信息公开条例》</w:t>
            </w:r>
            <w:r>
              <w:rPr>
                <w:rFonts w:ascii="仿宋" w:hAnsi="仿宋" w:eastAsia="仿宋" w:cs="宋体"/>
                <w:bCs/>
                <w:kern w:val="0"/>
                <w:sz w:val="24"/>
                <w:szCs w:val="24"/>
              </w:rPr>
              <w:t>(</w:t>
            </w:r>
            <w:r>
              <w:rPr>
                <w:rFonts w:hint="eastAsia" w:ascii="仿宋" w:hAnsi="仿宋" w:eastAsia="仿宋" w:cs="宋体"/>
                <w:bCs/>
                <w:kern w:val="0"/>
                <w:sz w:val="24"/>
                <w:szCs w:val="24"/>
              </w:rPr>
              <w:t>国务院令第</w:t>
            </w:r>
            <w:r>
              <w:rPr>
                <w:rFonts w:ascii="仿宋" w:hAnsi="仿宋" w:eastAsia="仿宋" w:cs="宋体"/>
                <w:bCs/>
                <w:kern w:val="0"/>
                <w:sz w:val="24"/>
                <w:szCs w:val="24"/>
              </w:rPr>
              <w:t>711</w:t>
            </w:r>
            <w:r>
              <w:rPr>
                <w:rFonts w:hint="eastAsia" w:ascii="仿宋" w:hAnsi="仿宋" w:eastAsia="仿宋" w:cs="宋体"/>
                <w:bCs/>
                <w:kern w:val="0"/>
                <w:sz w:val="24"/>
                <w:szCs w:val="24"/>
              </w:rPr>
              <w:t>号）</w:t>
            </w:r>
            <w:r>
              <w:rPr>
                <w:rFonts w:ascii="仿宋" w:hAnsi="仿宋" w:eastAsia="仿宋" w:cs="宋体"/>
                <w:bCs/>
                <w:kern w:val="0"/>
                <w:sz w:val="24"/>
                <w:szCs w:val="24"/>
              </w:rPr>
              <w:t>,</w:t>
            </w:r>
            <w:r>
              <w:rPr>
                <w:rFonts w:hint="eastAsia" w:ascii="仿宋" w:hAnsi="仿宋" w:eastAsia="仿宋" w:cs="宋体"/>
                <w:bCs/>
                <w:kern w:val="0"/>
                <w:sz w:val="24"/>
                <w:szCs w:val="24"/>
              </w:rPr>
              <w:t>《国务院关于深化预算管理制度改革的决定》</w:t>
            </w:r>
            <w:r>
              <w:rPr>
                <w:rFonts w:ascii="仿宋" w:hAnsi="仿宋" w:eastAsia="仿宋" w:cs="宋体"/>
                <w:bCs/>
                <w:kern w:val="0"/>
                <w:sz w:val="24"/>
                <w:szCs w:val="24"/>
              </w:rPr>
              <w:t>(</w:t>
            </w:r>
            <w:r>
              <w:rPr>
                <w:rFonts w:hint="eastAsia" w:ascii="仿宋" w:hAnsi="仿宋" w:eastAsia="仿宋" w:cs="宋体"/>
                <w:bCs/>
                <w:kern w:val="0"/>
                <w:sz w:val="24"/>
                <w:szCs w:val="24"/>
              </w:rPr>
              <w:t>国发〔</w:t>
            </w:r>
            <w:r>
              <w:rPr>
                <w:rFonts w:ascii="仿宋" w:hAnsi="仿宋" w:eastAsia="仿宋" w:cs="宋体"/>
                <w:bCs/>
                <w:kern w:val="0"/>
                <w:sz w:val="24"/>
                <w:szCs w:val="24"/>
              </w:rPr>
              <w:t>2014</w:t>
            </w:r>
            <w:r>
              <w:rPr>
                <w:rFonts w:hint="eastAsia" w:ascii="仿宋" w:hAnsi="仿宋" w:eastAsia="仿宋" w:cs="宋体"/>
                <w:bCs/>
                <w:kern w:val="0"/>
                <w:sz w:val="24"/>
                <w:szCs w:val="24"/>
              </w:rPr>
              <w:t>〕</w:t>
            </w:r>
            <w:r>
              <w:rPr>
                <w:rFonts w:ascii="仿宋" w:hAnsi="仿宋" w:eastAsia="仿宋" w:cs="宋体"/>
                <w:bCs/>
                <w:kern w:val="0"/>
                <w:sz w:val="24"/>
                <w:szCs w:val="24"/>
              </w:rPr>
              <w:t>45</w:t>
            </w:r>
            <w:r>
              <w:rPr>
                <w:rFonts w:hint="eastAsia" w:ascii="仿宋" w:hAnsi="仿宋" w:eastAsia="仿宋" w:cs="宋体"/>
                <w:bCs/>
                <w:kern w:val="0"/>
                <w:sz w:val="24"/>
                <w:szCs w:val="24"/>
              </w:rPr>
              <w:t>号</w:t>
            </w:r>
            <w:r>
              <w:rPr>
                <w:rFonts w:ascii="仿宋" w:hAnsi="仿宋" w:eastAsia="仿宋" w:cs="宋体"/>
                <w:bCs/>
                <w:kern w:val="0"/>
                <w:sz w:val="24"/>
                <w:szCs w:val="24"/>
              </w:rPr>
              <w:t>),</w:t>
            </w:r>
            <w:r>
              <w:rPr>
                <w:rFonts w:hint="eastAsia" w:ascii="仿宋" w:hAnsi="仿宋" w:eastAsia="仿宋" w:cs="宋体"/>
                <w:bCs/>
                <w:kern w:val="0"/>
                <w:sz w:val="24"/>
                <w:szCs w:val="24"/>
              </w:rPr>
              <w:t>中办、国办印发《关于进一步推进预算公开工作的意见》的通知</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按进展情况及时公开</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办公室</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　</w:t>
            </w:r>
          </w:p>
        </w:tc>
      </w:tr>
      <w:tr>
        <w:tblPrEx>
          <w:tblCellMar>
            <w:top w:w="0" w:type="dxa"/>
            <w:left w:w="57" w:type="dxa"/>
            <w:bottom w:w="0" w:type="dxa"/>
            <w:right w:w="57" w:type="dxa"/>
          </w:tblCellMar>
        </w:tblPrEx>
        <w:trPr>
          <w:trHeight w:val="1870" w:hRule="atLeast"/>
          <w:jc w:val="center"/>
        </w:trPr>
        <w:tc>
          <w:tcPr>
            <w:tcW w:w="731" w:type="dxa"/>
            <w:vMerge w:val="continue"/>
            <w:tcBorders>
              <w:left w:val="single" w:color="auto" w:sz="4" w:space="0"/>
              <w:right w:val="single" w:color="000000" w:sz="4" w:space="0"/>
            </w:tcBorders>
            <w:vAlign w:val="center"/>
          </w:tcPr>
          <w:p>
            <w:pPr>
              <w:spacing w:line="320" w:lineRule="exact"/>
              <w:rPr>
                <w:rFonts w:ascii="仿宋" w:hAnsi="仿宋" w:eastAsia="仿宋" w:cs="宋体"/>
                <w:bCs/>
                <w:color w:val="000000"/>
                <w:kern w:val="0"/>
                <w:sz w:val="24"/>
                <w:szCs w:val="24"/>
              </w:rPr>
            </w:pP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kern w:val="0"/>
                <w:sz w:val="24"/>
                <w:szCs w:val="24"/>
              </w:rPr>
            </w:pPr>
            <w:r>
              <w:rPr>
                <w:rFonts w:ascii="仿宋" w:hAnsi="仿宋" w:eastAsia="仿宋" w:cs="宋体"/>
                <w:bCs/>
                <w:kern w:val="0"/>
                <w:sz w:val="24"/>
                <w:szCs w:val="24"/>
              </w:rPr>
              <w:t>3</w:t>
            </w:r>
          </w:p>
        </w:tc>
        <w:tc>
          <w:tcPr>
            <w:tcW w:w="689"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办事</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纪律</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和监</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督管</w:t>
            </w:r>
          </w:p>
          <w:p>
            <w:pPr>
              <w:spacing w:line="320" w:lineRule="exact"/>
              <w:jc w:val="center"/>
              <w:rPr>
                <w:rFonts w:ascii="仿宋" w:hAnsi="仿宋" w:eastAsia="仿宋" w:cs="宋体"/>
                <w:bCs/>
                <w:kern w:val="0"/>
                <w:sz w:val="24"/>
                <w:szCs w:val="24"/>
              </w:rPr>
            </w:pPr>
            <w:r>
              <w:rPr>
                <w:rFonts w:hint="eastAsia" w:ascii="仿宋" w:hAnsi="仿宋" w:eastAsia="仿宋" w:cs="宋体"/>
                <w:bCs/>
                <w:kern w:val="0"/>
                <w:sz w:val="24"/>
                <w:szCs w:val="24"/>
              </w:rPr>
              <w:t>理</w:t>
            </w:r>
          </w:p>
        </w:tc>
        <w:tc>
          <w:tcPr>
            <w:tcW w:w="363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本单位的办事纪律</w:t>
            </w:r>
            <w:r>
              <w:rPr>
                <w:rFonts w:ascii="仿宋" w:hAnsi="仿宋" w:eastAsia="仿宋" w:cs="宋体"/>
                <w:bCs/>
                <w:kern w:val="0"/>
                <w:sz w:val="24"/>
                <w:szCs w:val="24"/>
              </w:rPr>
              <w:t>,</w:t>
            </w:r>
            <w:r>
              <w:rPr>
                <w:rFonts w:hint="eastAsia" w:ascii="仿宋" w:hAnsi="仿宋" w:eastAsia="仿宋" w:cs="宋体"/>
                <w:bCs/>
                <w:kern w:val="0"/>
                <w:sz w:val="24"/>
                <w:szCs w:val="24"/>
              </w:rPr>
              <w:t>受理投诉、举报、信访的途径等内容</w:t>
            </w:r>
          </w:p>
        </w:tc>
        <w:tc>
          <w:tcPr>
            <w:tcW w:w="3615"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号）、《中共中央</w:t>
            </w: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国务院关于推进安全生产领域改革发展的意见》</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按进展情况及时公开</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人事科、办公室</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p>
          <w:p>
            <w:pPr>
              <w:spacing w:line="320" w:lineRule="exact"/>
              <w:ind w:left="240" w:hanging="240" w:hangingChars="100"/>
              <w:rPr>
                <w:rFonts w:ascii="仿宋" w:hAnsi="仿宋" w:eastAsia="仿宋" w:cs="宋体"/>
                <w:bCs/>
                <w:kern w:val="0"/>
                <w:sz w:val="24"/>
                <w:szCs w:val="24"/>
              </w:rPr>
            </w:pPr>
            <w:r>
              <w:rPr>
                <w:rFonts w:hint="eastAsia" w:ascii="仿宋" w:hAnsi="仿宋" w:eastAsia="仿宋" w:cs="宋体"/>
                <w:bCs/>
                <w:kern w:val="0"/>
                <w:sz w:val="24"/>
                <w:szCs w:val="24"/>
              </w:rPr>
              <w:t>■公开查阅点</w:t>
            </w:r>
          </w:p>
          <w:p>
            <w:pPr>
              <w:spacing w:line="320" w:lineRule="exact"/>
              <w:ind w:left="240" w:hanging="240" w:hangingChars="100"/>
              <w:rPr>
                <w:rFonts w:ascii="仿宋" w:hAnsi="仿宋" w:eastAsia="仿宋" w:cs="宋体"/>
                <w:bCs/>
                <w:kern w:val="0"/>
                <w:sz w:val="24"/>
                <w:szCs w:val="24"/>
              </w:rPr>
            </w:pPr>
            <w:r>
              <w:rPr>
                <w:rFonts w:hint="eastAsia" w:ascii="仿宋" w:hAnsi="仿宋" w:eastAsia="仿宋" w:cs="宋体"/>
                <w:bCs/>
                <w:kern w:val="0"/>
                <w:sz w:val="24"/>
                <w:szCs w:val="24"/>
              </w:rPr>
              <w:t>■政务服务中心</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1870" w:hRule="atLeast"/>
          <w:jc w:val="center"/>
        </w:trPr>
        <w:tc>
          <w:tcPr>
            <w:tcW w:w="731" w:type="dxa"/>
            <w:vMerge w:val="continue"/>
            <w:tcBorders>
              <w:left w:val="single" w:color="auto" w:sz="4" w:space="0"/>
              <w:bottom w:val="single" w:color="auto" w:sz="4" w:space="0"/>
              <w:right w:val="single" w:color="000000" w:sz="4" w:space="0"/>
            </w:tcBorders>
            <w:vAlign w:val="center"/>
          </w:tcPr>
          <w:p>
            <w:pPr>
              <w:spacing w:line="320" w:lineRule="exact"/>
              <w:rPr>
                <w:rFonts w:ascii="仿宋" w:hAnsi="仿宋" w:eastAsia="仿宋" w:cs="宋体"/>
                <w:bCs/>
                <w:color w:val="000000"/>
                <w:kern w:val="0"/>
                <w:sz w:val="24"/>
                <w:szCs w:val="24"/>
              </w:rPr>
            </w:pP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4</w:t>
            </w:r>
          </w:p>
        </w:tc>
        <w:tc>
          <w:tcPr>
            <w:tcW w:w="689"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重大</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工程</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项目</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w:t>
            </w:r>
          </w:p>
        </w:tc>
        <w:tc>
          <w:tcPr>
            <w:tcW w:w="363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项目名称、执行措施、责任分工、取得成效、后续举措等</w:t>
            </w:r>
          </w:p>
        </w:tc>
        <w:tc>
          <w:tcPr>
            <w:tcW w:w="3615"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号）、《国务院办公厅关于推进重大建设项目批准和实施领域政府信息公开的意见》（国办发〔</w:t>
            </w:r>
            <w:r>
              <w:rPr>
                <w:rFonts w:ascii="仿宋" w:hAnsi="仿宋" w:eastAsia="仿宋" w:cs="宋体"/>
                <w:bCs/>
                <w:color w:val="000000"/>
                <w:kern w:val="0"/>
                <w:sz w:val="24"/>
                <w:szCs w:val="24"/>
              </w:rPr>
              <w:t>2017</w:t>
            </w:r>
            <w:r>
              <w:rPr>
                <w:rFonts w:hint="eastAsia" w:ascii="仿宋" w:hAnsi="仿宋" w:eastAsia="仿宋" w:cs="宋体"/>
                <w:bCs/>
                <w:color w:val="000000"/>
                <w:kern w:val="0"/>
                <w:sz w:val="24"/>
                <w:szCs w:val="24"/>
              </w:rPr>
              <w:t>〕</w:t>
            </w:r>
            <w:r>
              <w:rPr>
                <w:rFonts w:ascii="仿宋" w:hAnsi="仿宋" w:eastAsia="仿宋" w:cs="宋体"/>
                <w:bCs/>
                <w:color w:val="000000"/>
                <w:kern w:val="0"/>
                <w:sz w:val="24"/>
                <w:szCs w:val="24"/>
              </w:rPr>
              <w:t>94</w:t>
            </w:r>
            <w:r>
              <w:rPr>
                <w:rFonts w:hint="eastAsia" w:ascii="仿宋" w:hAnsi="仿宋" w:eastAsia="仿宋" w:cs="宋体"/>
                <w:bCs/>
                <w:color w:val="000000"/>
                <w:kern w:val="0"/>
                <w:sz w:val="24"/>
                <w:szCs w:val="24"/>
              </w:rPr>
              <w:t>号）</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按照中央有关要求公开</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政策法规科及有关业务科室</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w w:val="90"/>
                <w:kern w:val="0"/>
                <w:sz w:val="24"/>
                <w:szCs w:val="24"/>
              </w:rPr>
            </w:pPr>
            <w:r>
              <w:rPr>
                <w:rFonts w:hint="eastAsia" w:ascii="仿宋" w:hAnsi="仿宋" w:eastAsia="仿宋" w:cs="宋体"/>
                <w:bCs/>
                <w:w w:val="90"/>
                <w:kern w:val="0"/>
                <w:sz w:val="24"/>
                <w:szCs w:val="24"/>
              </w:rPr>
              <w:t>√</w:t>
            </w:r>
          </w:p>
        </w:tc>
        <w:tc>
          <w:tcPr>
            <w:tcW w:w="52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7"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2557" w:hRule="atLeast"/>
          <w:jc w:val="center"/>
        </w:trPr>
        <w:tc>
          <w:tcPr>
            <w:tcW w:w="731" w:type="dxa"/>
            <w:vMerge w:val="restart"/>
            <w:tcBorders>
              <w:left w:val="single" w:color="auto" w:sz="4" w:space="0"/>
              <w:right w:val="single" w:color="000000"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重点</w:t>
            </w:r>
          </w:p>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领域</w:t>
            </w:r>
          </w:p>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w:t>
            </w:r>
          </w:p>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公开</w:t>
            </w: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5</w:t>
            </w:r>
          </w:p>
        </w:tc>
        <w:tc>
          <w:tcPr>
            <w:tcW w:w="689"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检查</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和巡</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查发</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现安</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全监</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管监</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察问</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题</w:t>
            </w:r>
          </w:p>
        </w:tc>
        <w:tc>
          <w:tcPr>
            <w:tcW w:w="363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检查和巡查发现的、并要求向社会公开的问题及整改落实情况</w:t>
            </w:r>
          </w:p>
        </w:tc>
        <w:tc>
          <w:tcPr>
            <w:tcW w:w="3615"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号）、《中共中央</w:t>
            </w: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国务院关于推进安全生产领域改革发展的意见》</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按进展情况及时公开</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综合协调科</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w w:val="90"/>
                <w:kern w:val="0"/>
                <w:sz w:val="24"/>
                <w:szCs w:val="24"/>
              </w:rPr>
            </w:pPr>
            <w:r>
              <w:rPr>
                <w:rFonts w:hint="eastAsia" w:ascii="仿宋" w:hAnsi="仿宋" w:eastAsia="仿宋" w:cs="宋体"/>
                <w:bCs/>
                <w:w w:val="90"/>
                <w:kern w:val="0"/>
                <w:sz w:val="24"/>
                <w:szCs w:val="24"/>
              </w:rPr>
              <w:t>√</w:t>
            </w:r>
          </w:p>
        </w:tc>
        <w:tc>
          <w:tcPr>
            <w:tcW w:w="524"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r>
        <w:tblPrEx>
          <w:tblCellMar>
            <w:top w:w="0" w:type="dxa"/>
            <w:left w:w="57" w:type="dxa"/>
            <w:bottom w:w="0" w:type="dxa"/>
            <w:right w:w="57" w:type="dxa"/>
          </w:tblCellMar>
        </w:tblPrEx>
        <w:trPr>
          <w:trHeight w:val="2558" w:hRule="atLeast"/>
          <w:jc w:val="center"/>
        </w:trPr>
        <w:tc>
          <w:tcPr>
            <w:tcW w:w="731" w:type="dxa"/>
            <w:vMerge w:val="continue"/>
            <w:tcBorders>
              <w:left w:val="single" w:color="auto" w:sz="4" w:space="0"/>
              <w:bottom w:val="single" w:color="000000" w:sz="4" w:space="0"/>
              <w:right w:val="single" w:color="000000" w:sz="4" w:space="0"/>
            </w:tcBorders>
            <w:vAlign w:val="center"/>
          </w:tcPr>
          <w:p>
            <w:pPr>
              <w:spacing w:line="320" w:lineRule="exact"/>
              <w:rPr>
                <w:rFonts w:ascii="仿宋" w:hAnsi="仿宋" w:eastAsia="仿宋" w:cs="宋体"/>
                <w:bCs/>
                <w:color w:val="000000"/>
                <w:kern w:val="0"/>
                <w:sz w:val="24"/>
                <w:szCs w:val="24"/>
              </w:rPr>
            </w:pPr>
          </w:p>
        </w:tc>
        <w:tc>
          <w:tcPr>
            <w:tcW w:w="480"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6</w:t>
            </w:r>
          </w:p>
        </w:tc>
        <w:tc>
          <w:tcPr>
            <w:tcW w:w="689"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建议</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提案</w:t>
            </w:r>
          </w:p>
          <w:p>
            <w:pPr>
              <w:spacing w:line="32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办理</w:t>
            </w:r>
          </w:p>
        </w:tc>
        <w:tc>
          <w:tcPr>
            <w:tcW w:w="363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●办理制度与推进情况</w:t>
            </w:r>
          </w:p>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●人大代表建议办理</w:t>
            </w:r>
            <w:r>
              <w:rPr>
                <w:rFonts w:ascii="仿宋" w:hAnsi="仿宋" w:eastAsia="仿宋" w:cs="宋体"/>
                <w:bCs/>
                <w:color w:val="000000"/>
                <w:kern w:val="0"/>
                <w:sz w:val="24"/>
                <w:szCs w:val="24"/>
              </w:rPr>
              <w:t xml:space="preserve"> </w:t>
            </w:r>
          </w:p>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●政协委员提案办理</w:t>
            </w:r>
          </w:p>
        </w:tc>
        <w:tc>
          <w:tcPr>
            <w:tcW w:w="3615"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号）、《国务院办公厅关于做好全国人大代表建议和全国政协委员提案办理结果公开工作的通知》（国办发〔</w:t>
            </w:r>
            <w:r>
              <w:rPr>
                <w:rFonts w:ascii="仿宋" w:hAnsi="仿宋" w:eastAsia="仿宋" w:cs="宋体"/>
                <w:bCs/>
                <w:color w:val="000000"/>
                <w:kern w:val="0"/>
                <w:sz w:val="24"/>
                <w:szCs w:val="24"/>
              </w:rPr>
              <w:t>2014</w:t>
            </w:r>
            <w:r>
              <w:rPr>
                <w:rFonts w:hint="eastAsia" w:ascii="仿宋" w:hAnsi="仿宋" w:eastAsia="仿宋" w:cs="宋体"/>
                <w:bCs/>
                <w:color w:val="000000"/>
                <w:kern w:val="0"/>
                <w:sz w:val="24"/>
                <w:szCs w:val="24"/>
              </w:rPr>
              <w:t>〕</w:t>
            </w:r>
            <w:r>
              <w:rPr>
                <w:rFonts w:ascii="仿宋" w:hAnsi="仿宋" w:eastAsia="仿宋" w:cs="宋体"/>
                <w:bCs/>
                <w:color w:val="000000"/>
                <w:kern w:val="0"/>
                <w:sz w:val="24"/>
                <w:szCs w:val="24"/>
              </w:rPr>
              <w:t>46</w:t>
            </w:r>
            <w:r>
              <w:rPr>
                <w:rFonts w:hint="eastAsia" w:ascii="仿宋" w:hAnsi="仿宋" w:eastAsia="仿宋" w:cs="宋体"/>
                <w:bCs/>
                <w:color w:val="000000"/>
                <w:kern w:val="0"/>
                <w:sz w:val="24"/>
                <w:szCs w:val="24"/>
              </w:rPr>
              <w:t>号）</w:t>
            </w:r>
          </w:p>
        </w:tc>
        <w:tc>
          <w:tcPr>
            <w:tcW w:w="1198"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按照中央有关要求公开</w:t>
            </w:r>
          </w:p>
        </w:tc>
        <w:tc>
          <w:tcPr>
            <w:tcW w:w="1856"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办公室</w:t>
            </w:r>
          </w:p>
        </w:tc>
        <w:tc>
          <w:tcPr>
            <w:tcW w:w="137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kern w:val="0"/>
                <w:sz w:val="24"/>
                <w:szCs w:val="24"/>
              </w:rPr>
            </w:pPr>
            <w:r>
              <w:rPr>
                <w:rFonts w:hint="eastAsia" w:ascii="仿宋" w:hAnsi="仿宋" w:eastAsia="仿宋" w:cs="宋体"/>
                <w:bCs/>
                <w:kern w:val="0"/>
                <w:sz w:val="24"/>
                <w:szCs w:val="24"/>
              </w:rPr>
              <w:t>■本局网站</w:t>
            </w:r>
          </w:p>
        </w:tc>
        <w:tc>
          <w:tcPr>
            <w:tcW w:w="826" w:type="dxa"/>
            <w:tcBorders>
              <w:top w:val="nil"/>
              <w:left w:val="nil"/>
              <w:bottom w:val="single" w:color="auto" w:sz="4" w:space="0"/>
              <w:right w:val="single" w:color="auto" w:sz="4" w:space="0"/>
            </w:tcBorders>
            <w:vAlign w:val="center"/>
          </w:tcPr>
          <w:p>
            <w:pPr>
              <w:spacing w:line="320" w:lineRule="exact"/>
              <w:jc w:val="center"/>
              <w:rPr>
                <w:rFonts w:ascii="仿宋" w:hAnsi="仿宋" w:eastAsia="仿宋" w:cs="宋体"/>
                <w:bCs/>
                <w:color w:val="000000"/>
                <w:w w:val="90"/>
                <w:kern w:val="0"/>
                <w:sz w:val="24"/>
                <w:szCs w:val="24"/>
              </w:rPr>
            </w:pPr>
            <w:r>
              <w:rPr>
                <w:rFonts w:hint="eastAsia" w:ascii="仿宋" w:hAnsi="仿宋" w:eastAsia="仿宋" w:cs="宋体"/>
                <w:bCs/>
                <w:w w:val="90"/>
                <w:kern w:val="0"/>
                <w:sz w:val="24"/>
                <w:szCs w:val="24"/>
              </w:rPr>
              <w:t>√</w:t>
            </w:r>
          </w:p>
        </w:tc>
        <w:tc>
          <w:tcPr>
            <w:tcW w:w="524"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w w:val="90"/>
                <w:kern w:val="0"/>
                <w:sz w:val="24"/>
                <w:szCs w:val="24"/>
              </w:rPr>
            </w:pPr>
            <w:r>
              <w:rPr>
                <w:rFonts w:hint="eastAsia" w:ascii="仿宋" w:hAnsi="仿宋" w:eastAsia="仿宋" w:cs="宋体"/>
                <w:bCs/>
                <w:w w:val="90"/>
                <w:kern w:val="0"/>
                <w:sz w:val="24"/>
                <w:szCs w:val="24"/>
              </w:rPr>
              <w:t>√</w:t>
            </w:r>
          </w:p>
        </w:tc>
        <w:tc>
          <w:tcPr>
            <w:tcW w:w="529" w:type="dxa"/>
            <w:tcBorders>
              <w:top w:val="nil"/>
              <w:left w:val="nil"/>
              <w:bottom w:val="single" w:color="auto" w:sz="4" w:space="0"/>
              <w:right w:val="single" w:color="auto" w:sz="4" w:space="0"/>
            </w:tcBorders>
            <w:vAlign w:val="center"/>
          </w:tcPr>
          <w:p>
            <w:pPr>
              <w:spacing w:line="320" w:lineRule="exact"/>
              <w:rPr>
                <w:rFonts w:ascii="仿宋" w:hAnsi="仿宋" w:eastAsia="仿宋" w:cs="宋体"/>
                <w:bCs/>
                <w:color w:val="000000"/>
                <w:w w:val="90"/>
                <w:kern w:val="0"/>
                <w:sz w:val="24"/>
                <w:szCs w:val="24"/>
              </w:rPr>
            </w:pPr>
            <w:r>
              <w:rPr>
                <w:rFonts w:hint="eastAsia" w:ascii="仿宋" w:hAnsi="仿宋" w:eastAsia="仿宋" w:cs="宋体"/>
                <w:bCs/>
                <w:color w:val="000000"/>
                <w:w w:val="90"/>
                <w:kern w:val="0"/>
                <w:sz w:val="24"/>
                <w:szCs w:val="24"/>
              </w:rPr>
              <w:t>　</w:t>
            </w:r>
          </w:p>
        </w:tc>
      </w:tr>
    </w:tbl>
    <w:p>
      <w:pPr>
        <w:tabs>
          <w:tab w:val="left" w:pos="2340"/>
        </w:tabs>
        <w:spacing w:line="560" w:lineRule="exact"/>
        <w:rPr>
          <w:rFonts w:ascii="黑体" w:hAnsi="仿宋_GB2312" w:eastAsia="黑体"/>
          <w:color w:val="000000"/>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A6335"/>
    <w:rsid w:val="40AA5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2020-09-22T08:07:00Z</dcterms:created>
  <dc:creator>admin</dc:creator>
  <cp:lastModifiedBy>中杰者</cp:lastModifiedBy>
  <dcterms:modified xsi:type="dcterms:W3CDTF">2020-12-16T05:17:42Z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