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2-2</w:t>
      </w:r>
    </w:p>
    <w:p>
      <w:pPr>
        <w:tabs>
          <w:tab w:val="left" w:pos="2340"/>
        </w:tabs>
        <w:spacing w:beforeLines="50" w:afterLines="50" w:line="560" w:lineRule="exact"/>
        <w:jc w:val="center"/>
        <w:rPr>
          <w:rFonts w:ascii="黑体" w:hAnsi="仿宋_GB2312" w:eastAsia="黑体"/>
          <w:color w:val="000000"/>
          <w:sz w:val="44"/>
          <w:szCs w:val="28"/>
        </w:rPr>
      </w:pPr>
      <w:r>
        <w:rPr>
          <w:rFonts w:hint="eastAsia" w:ascii="方正小标宋简体" w:hAnsi="仿宋_GB2312" w:eastAsia="方正小标宋简体"/>
          <w:color w:val="000000"/>
          <w:sz w:val="36"/>
          <w:szCs w:val="36"/>
        </w:rPr>
        <w:t>南宁市应急管理局救灾领域政务公开目录</w:t>
      </w:r>
    </w:p>
    <w:tbl>
      <w:tblPr>
        <w:tblStyle w:val="3"/>
        <w:tblW w:w="5365" w:type="pct"/>
        <w:jc w:val="center"/>
        <w:tblLayout w:type="autofit"/>
        <w:tblCellMar>
          <w:top w:w="0" w:type="dxa"/>
          <w:left w:w="57" w:type="dxa"/>
          <w:bottom w:w="0" w:type="dxa"/>
          <w:right w:w="57" w:type="dxa"/>
        </w:tblCellMar>
      </w:tblPr>
      <w:tblGrid>
        <w:gridCol w:w="631"/>
        <w:gridCol w:w="436"/>
        <w:gridCol w:w="667"/>
        <w:gridCol w:w="3314"/>
        <w:gridCol w:w="3690"/>
        <w:gridCol w:w="1321"/>
        <w:gridCol w:w="1675"/>
        <w:gridCol w:w="1542"/>
        <w:gridCol w:w="714"/>
        <w:gridCol w:w="13"/>
        <w:gridCol w:w="534"/>
        <w:gridCol w:w="14"/>
        <w:gridCol w:w="533"/>
        <w:gridCol w:w="15"/>
      </w:tblGrid>
      <w:tr>
        <w:tblPrEx>
          <w:tblCellMar>
            <w:top w:w="0" w:type="dxa"/>
            <w:left w:w="57" w:type="dxa"/>
            <w:bottom w:w="0" w:type="dxa"/>
            <w:right w:w="57" w:type="dxa"/>
          </w:tblCellMar>
        </w:tblPrEx>
        <w:trPr>
          <w:gridAfter w:val="1"/>
          <w:wAfter w:w="16" w:type="dxa"/>
          <w:cantSplit/>
          <w:trHeight w:val="397" w:hRule="atLeast"/>
          <w:tblHeader/>
          <w:jc w:val="center"/>
        </w:trPr>
        <w:tc>
          <w:tcPr>
            <w:tcW w:w="179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公开事项</w:t>
            </w:r>
          </w:p>
        </w:tc>
        <w:tc>
          <w:tcPr>
            <w:tcW w:w="350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公开内容</w:t>
            </w:r>
          </w:p>
        </w:tc>
        <w:tc>
          <w:tcPr>
            <w:tcW w:w="3849" w:type="dxa"/>
            <w:vMerge w:val="restart"/>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公开依据</w:t>
            </w:r>
          </w:p>
        </w:tc>
        <w:tc>
          <w:tcPr>
            <w:tcW w:w="1372"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公开时限</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公开负责部门</w:t>
            </w:r>
          </w:p>
        </w:tc>
        <w:tc>
          <w:tcPr>
            <w:tcW w:w="161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公开渠道</w:t>
            </w:r>
          </w:p>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和载体</w:t>
            </w:r>
          </w:p>
        </w:tc>
        <w:tc>
          <w:tcPr>
            <w:tcW w:w="739" w:type="dxa"/>
            <w:tcBorders>
              <w:top w:val="single" w:color="auto" w:sz="4" w:space="0"/>
              <w:left w:val="nil"/>
              <w:bottom w:val="single" w:color="auto" w:sz="4" w:space="0"/>
              <w:right w:val="single" w:color="000000"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w:t>
            </w:r>
          </w:p>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对象</w:t>
            </w:r>
          </w:p>
        </w:tc>
        <w:tc>
          <w:tcPr>
            <w:tcW w:w="1120" w:type="dxa"/>
            <w:gridSpan w:val="4"/>
            <w:tcBorders>
              <w:top w:val="single" w:color="auto" w:sz="4" w:space="0"/>
              <w:left w:val="nil"/>
              <w:bottom w:val="single" w:color="auto" w:sz="4" w:space="0"/>
              <w:right w:val="single" w:color="000000"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公开</w:t>
            </w:r>
          </w:p>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方式</w:t>
            </w:r>
          </w:p>
        </w:tc>
      </w:tr>
      <w:tr>
        <w:tblPrEx>
          <w:tblCellMar>
            <w:top w:w="0" w:type="dxa"/>
            <w:left w:w="57" w:type="dxa"/>
            <w:bottom w:w="0" w:type="dxa"/>
            <w:right w:w="57" w:type="dxa"/>
          </w:tblCellMar>
        </w:tblPrEx>
        <w:trPr>
          <w:gridAfter w:val="1"/>
          <w:wAfter w:w="16" w:type="dxa"/>
          <w:cantSplit/>
          <w:trHeight w:val="780" w:hRule="atLeast"/>
          <w:tblHeader/>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一级事项</w:t>
            </w:r>
          </w:p>
        </w:tc>
        <w:tc>
          <w:tcPr>
            <w:tcW w:w="114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二级事项</w:t>
            </w:r>
          </w:p>
        </w:tc>
        <w:tc>
          <w:tcPr>
            <w:tcW w:w="3506"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b/>
                <w:bCs/>
                <w:color w:val="000000"/>
                <w:kern w:val="0"/>
                <w:sz w:val="24"/>
                <w:szCs w:val="24"/>
              </w:rPr>
            </w:pPr>
          </w:p>
        </w:tc>
        <w:tc>
          <w:tcPr>
            <w:tcW w:w="3849" w:type="dxa"/>
            <w:vMerge w:val="continue"/>
            <w:tcBorders>
              <w:top w:val="single" w:color="auto" w:sz="4" w:space="0"/>
              <w:left w:val="single" w:color="auto" w:sz="4" w:space="0"/>
              <w:bottom w:val="single" w:color="000000" w:sz="4" w:space="0"/>
              <w:right w:val="single" w:color="auto" w:sz="4" w:space="0"/>
            </w:tcBorders>
            <w:vAlign w:val="center"/>
          </w:tcPr>
          <w:p>
            <w:pPr>
              <w:spacing w:line="320" w:lineRule="exact"/>
              <w:jc w:val="left"/>
              <w:rPr>
                <w:rFonts w:ascii="宋体" w:hAnsi="宋体" w:eastAsia="宋体" w:cs="宋体"/>
                <w:b/>
                <w:bCs/>
                <w:color w:val="000000"/>
                <w:kern w:val="0"/>
                <w:sz w:val="24"/>
                <w:szCs w:val="24"/>
              </w:rPr>
            </w:pPr>
          </w:p>
        </w:tc>
        <w:tc>
          <w:tcPr>
            <w:tcW w:w="1372"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b/>
                <w:bCs/>
                <w:color w:val="000000"/>
                <w:kern w:val="0"/>
                <w:sz w:val="24"/>
                <w:szCs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b/>
                <w:bCs/>
                <w:color w:val="000000"/>
                <w:kern w:val="0"/>
                <w:sz w:val="24"/>
                <w:szCs w:val="24"/>
              </w:rPr>
            </w:pPr>
          </w:p>
        </w:tc>
        <w:tc>
          <w:tcPr>
            <w:tcW w:w="161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b/>
                <w:bCs/>
                <w:color w:val="000000"/>
                <w:kern w:val="0"/>
                <w:sz w:val="24"/>
                <w:szCs w:val="24"/>
              </w:rPr>
            </w:pPr>
          </w:p>
        </w:tc>
        <w:tc>
          <w:tcPr>
            <w:tcW w:w="739"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全社会</w:t>
            </w:r>
          </w:p>
        </w:tc>
        <w:tc>
          <w:tcPr>
            <w:tcW w:w="560" w:type="dxa"/>
            <w:gridSpan w:val="2"/>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主动</w:t>
            </w:r>
          </w:p>
        </w:tc>
        <w:tc>
          <w:tcPr>
            <w:tcW w:w="560" w:type="dxa"/>
            <w:gridSpan w:val="2"/>
            <w:tcBorders>
              <w:top w:val="nil"/>
              <w:left w:val="nil"/>
              <w:bottom w:val="single" w:color="auto" w:sz="4" w:space="0"/>
              <w:right w:val="single" w:color="auto" w:sz="4" w:space="0"/>
            </w:tcBorders>
            <w:vAlign w:val="center"/>
          </w:tcPr>
          <w:p>
            <w:pPr>
              <w:spacing w:line="22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依申请</w:t>
            </w:r>
          </w:p>
        </w:tc>
      </w:tr>
      <w:tr>
        <w:tblPrEx>
          <w:tblCellMar>
            <w:top w:w="0" w:type="dxa"/>
            <w:left w:w="57" w:type="dxa"/>
            <w:bottom w:w="0" w:type="dxa"/>
            <w:right w:w="57" w:type="dxa"/>
          </w:tblCellMar>
        </w:tblPrEx>
        <w:trPr>
          <w:gridAfter w:val="1"/>
          <w:wAfter w:w="16" w:type="dxa"/>
          <w:trHeight w:val="1311" w:hRule="atLeast"/>
          <w:jc w:val="center"/>
        </w:trPr>
        <w:tc>
          <w:tcPr>
            <w:tcW w:w="652" w:type="dxa"/>
            <w:vMerge w:val="restart"/>
            <w:tcBorders>
              <w:top w:val="single" w:color="auto" w:sz="4" w:space="0"/>
              <w:left w:val="single" w:color="auto" w:sz="4" w:space="0"/>
              <w:right w:val="single" w:color="000000" w:sz="4" w:space="0"/>
            </w:tcBorders>
            <w:vAlign w:val="center"/>
          </w:tcPr>
          <w:p>
            <w:pPr>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政策文件</w:t>
            </w: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文件</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与救灾有关的政策文件，包括改革方案、发展规划、专项规划、工作计划等</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政策法规科及</w:t>
            </w:r>
            <w:r>
              <w:rPr>
                <w:rFonts w:hint="eastAsia" w:ascii="仿宋" w:hAnsi="仿宋" w:eastAsia="仿宋" w:cs="宋体"/>
                <w:bCs/>
                <w:kern w:val="0"/>
                <w:sz w:val="24"/>
                <w:szCs w:val="24"/>
              </w:rPr>
              <w:t>各相关业务科室配合</w:t>
            </w:r>
          </w:p>
        </w:tc>
        <w:tc>
          <w:tcPr>
            <w:tcW w:w="1611" w:type="dxa"/>
            <w:tcBorders>
              <w:top w:val="nil"/>
              <w:left w:val="nil"/>
              <w:bottom w:val="nil"/>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gridAfter w:val="1"/>
          <w:wAfter w:w="16" w:type="dxa"/>
          <w:trHeight w:val="1478" w:hRule="atLeast"/>
          <w:jc w:val="center"/>
        </w:trPr>
        <w:tc>
          <w:tcPr>
            <w:tcW w:w="652" w:type="dxa"/>
            <w:vMerge w:val="continue"/>
            <w:tcBorders>
              <w:left w:val="single" w:color="auto" w:sz="4" w:space="0"/>
              <w:right w:val="single" w:color="000000" w:sz="4" w:space="0"/>
            </w:tcBorders>
            <w:vAlign w:val="center"/>
          </w:tcPr>
          <w:p>
            <w:pPr>
              <w:spacing w:line="300" w:lineRule="exact"/>
              <w:jc w:val="center"/>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决策</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草案</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涉及管理相对人切身利益、需社会广泛知晓的重要改革方案等重大决策，决策前向社会公开决策草案、决策依据</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号），中央办公厅、国务院办公厅《关于全面推进政务公开工作的意见》</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政策法规科及</w:t>
            </w:r>
            <w:r>
              <w:rPr>
                <w:rFonts w:hint="eastAsia" w:ascii="仿宋" w:hAnsi="仿宋" w:eastAsia="仿宋" w:cs="宋体"/>
                <w:bCs/>
                <w:kern w:val="0"/>
                <w:sz w:val="24"/>
                <w:szCs w:val="24"/>
              </w:rPr>
              <w:t>各相关业务科室配合</w:t>
            </w:r>
          </w:p>
        </w:tc>
        <w:tc>
          <w:tcPr>
            <w:tcW w:w="161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gridAfter w:val="1"/>
          <w:wAfter w:w="16" w:type="dxa"/>
          <w:trHeight w:val="2178" w:hRule="atLeast"/>
          <w:jc w:val="center"/>
        </w:trPr>
        <w:tc>
          <w:tcPr>
            <w:tcW w:w="652" w:type="dxa"/>
            <w:vMerge w:val="continue"/>
            <w:tcBorders>
              <w:left w:val="single" w:color="auto" w:sz="4" w:space="0"/>
              <w:right w:val="single" w:color="000000" w:sz="4" w:space="0"/>
            </w:tcBorders>
            <w:vAlign w:val="center"/>
          </w:tcPr>
          <w:p>
            <w:pPr>
              <w:widowControl/>
              <w:spacing w:line="300" w:lineRule="exact"/>
              <w:jc w:val="center"/>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解读</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及回</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应</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●有关重大政策的解读及回应</w:t>
            </w: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●相关热点问题的解读及回应</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号），中央办公厅、国务院办公厅《关于全面推进政务公开工作的意见》，《国务院办公厅关于在政务公开工作中进一步做好政务舆情回应的通知》（国办发〔</w:t>
            </w:r>
            <w:r>
              <w:rPr>
                <w:rFonts w:ascii="仿宋" w:hAnsi="仿宋" w:eastAsia="仿宋" w:cs="宋体"/>
                <w:bCs/>
                <w:color w:val="000000"/>
                <w:kern w:val="0"/>
                <w:sz w:val="24"/>
                <w:szCs w:val="24"/>
              </w:rPr>
              <w:t>2016</w:t>
            </w:r>
            <w:r>
              <w:rPr>
                <w:rFonts w:hint="eastAsia" w:ascii="仿宋" w:hAnsi="仿宋" w:eastAsia="仿宋" w:cs="宋体"/>
                <w:bCs/>
                <w:color w:val="000000"/>
                <w:kern w:val="0"/>
                <w:sz w:val="24"/>
                <w:szCs w:val="24"/>
              </w:rPr>
              <w:t>〕</w:t>
            </w:r>
            <w:r>
              <w:rPr>
                <w:rFonts w:ascii="仿宋" w:hAnsi="仿宋" w:eastAsia="仿宋" w:cs="宋体"/>
                <w:bCs/>
                <w:color w:val="000000"/>
                <w:kern w:val="0"/>
                <w:sz w:val="24"/>
                <w:szCs w:val="24"/>
              </w:rPr>
              <w:t>61</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重大决策作出后及时公开</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政策法规科及</w:t>
            </w:r>
            <w:r>
              <w:rPr>
                <w:rFonts w:hint="eastAsia" w:ascii="仿宋" w:hAnsi="仿宋" w:eastAsia="仿宋" w:cs="宋体"/>
                <w:bCs/>
                <w:kern w:val="0"/>
                <w:sz w:val="24"/>
                <w:szCs w:val="24"/>
              </w:rPr>
              <w:t>各相关业务科室配合</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■两微</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■发布会</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■公开查阅点</w:t>
            </w:r>
            <w:r>
              <w:rPr>
                <w:rFonts w:ascii="仿宋" w:hAnsi="仿宋" w:eastAsia="仿宋" w:cs="宋体"/>
                <w:bCs/>
                <w:color w:val="000000"/>
                <w:kern w:val="0"/>
                <w:sz w:val="24"/>
                <w:szCs w:val="24"/>
              </w:rPr>
              <w:t xml:space="preserve"> </w:t>
            </w:r>
          </w:p>
          <w:p>
            <w:pPr>
              <w:widowControl/>
              <w:spacing w:line="300" w:lineRule="exact"/>
              <w:ind w:left="240" w:hanging="240" w:hangingChars="100"/>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■政务服务中心</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gridAfter w:val="1"/>
          <w:wAfter w:w="16" w:type="dxa"/>
          <w:trHeight w:val="1283" w:hRule="atLeast"/>
          <w:jc w:val="center"/>
        </w:trPr>
        <w:tc>
          <w:tcPr>
            <w:tcW w:w="652" w:type="dxa"/>
            <w:vMerge w:val="continue"/>
            <w:tcBorders>
              <w:left w:val="single" w:color="auto" w:sz="4" w:space="0"/>
              <w:bottom w:val="single" w:color="000000" w:sz="4" w:space="0"/>
              <w:right w:val="single" w:color="000000" w:sz="4" w:space="0"/>
            </w:tcBorders>
            <w:vAlign w:val="center"/>
          </w:tcPr>
          <w:p>
            <w:pPr>
              <w:widowControl/>
              <w:spacing w:line="300" w:lineRule="exact"/>
              <w:jc w:val="left"/>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4</w:t>
            </w:r>
          </w:p>
        </w:tc>
        <w:tc>
          <w:tcPr>
            <w:tcW w:w="68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重要会议</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以会议讨论作出重要改革方案等重大决策时，经党组研究认为有必要公开讨论决策过程的会议</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号），中央办公厅、国务院办公厅《关于全面推进政务公开工作的意见》</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提前一周发通知邀请</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ascii="仿宋" w:hAnsi="仿宋" w:eastAsia="仿宋" w:cs="宋体"/>
                <w:bCs/>
                <w:color w:val="000000"/>
                <w:kern w:val="0"/>
                <w:sz w:val="24"/>
                <w:szCs w:val="24"/>
              </w:rPr>
              <w:t xml:space="preserve">   </w:t>
            </w:r>
            <w:r>
              <w:rPr>
                <w:rFonts w:hint="eastAsia" w:ascii="仿宋" w:hAnsi="仿宋" w:eastAsia="仿宋" w:cs="宋体"/>
                <w:bCs/>
                <w:color w:val="000000"/>
                <w:kern w:val="0"/>
                <w:sz w:val="24"/>
                <w:szCs w:val="24"/>
              </w:rPr>
              <w:t>办公室</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r>
              <w:rPr>
                <w:rFonts w:ascii="仿宋" w:hAnsi="仿宋" w:eastAsia="仿宋" w:cs="宋体"/>
                <w:bCs/>
                <w:color w:val="000000"/>
                <w:kern w:val="0"/>
                <w:sz w:val="24"/>
                <w:szCs w:val="24"/>
              </w:rPr>
              <w:br w:type="textWrapping"/>
            </w:r>
            <w:r>
              <w:rPr>
                <w:rFonts w:hint="eastAsia" w:ascii="仿宋" w:hAnsi="仿宋" w:eastAsia="仿宋" w:cs="宋体"/>
                <w:bCs/>
                <w:color w:val="000000"/>
                <w:kern w:val="0"/>
                <w:sz w:val="24"/>
                <w:szCs w:val="24"/>
              </w:rPr>
              <w:t>■两微</w:t>
            </w:r>
            <w:r>
              <w:rPr>
                <w:rFonts w:ascii="仿宋" w:hAnsi="仿宋" w:eastAsia="仿宋" w:cs="宋体"/>
                <w:bCs/>
                <w:color w:val="000000"/>
                <w:kern w:val="0"/>
                <w:sz w:val="24"/>
                <w:szCs w:val="24"/>
              </w:rPr>
              <w:t xml:space="preserve"> </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0"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869" w:hRule="atLeast"/>
          <w:jc w:val="center"/>
        </w:trPr>
        <w:tc>
          <w:tcPr>
            <w:tcW w:w="652"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政策文件</w:t>
            </w: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5</w:t>
            </w:r>
          </w:p>
        </w:tc>
        <w:tc>
          <w:tcPr>
            <w:tcW w:w="68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征集</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采纳</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社会</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公众</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意见</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情况</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重大决策草案公布后征集到的社会公众意见情况、采纳与否情况及理由等</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中央办公厅、国务院办公厅《关于全面推进政务公开工作的意见》</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征求意见时对外公布的时限内公开</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政策法规科牵头，各有关业务科室配合</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870" w:hRule="atLeast"/>
          <w:jc w:val="center"/>
        </w:trPr>
        <w:tc>
          <w:tcPr>
            <w:tcW w:w="652"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备灾管理</w:t>
            </w: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综合</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减灾</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示范</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社区</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综合减灾示范社区分布情况（其具体位置、创建时间、创建级别等）</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号）、《社会救助暂行办法》（</w:t>
            </w:r>
            <w:r>
              <w:rPr>
                <w:rFonts w:ascii="仿宋" w:hAnsi="仿宋" w:eastAsia="仿宋" w:cs="宋体"/>
                <w:bCs/>
                <w:color w:val="000000"/>
                <w:kern w:val="0"/>
                <w:sz w:val="24"/>
                <w:szCs w:val="24"/>
              </w:rPr>
              <w:t>2014</w:t>
            </w:r>
            <w:r>
              <w:rPr>
                <w:rFonts w:hint="eastAsia" w:ascii="仿宋" w:hAnsi="仿宋" w:eastAsia="仿宋" w:cs="宋体"/>
                <w:bCs/>
                <w:color w:val="000000"/>
                <w:kern w:val="0"/>
                <w:sz w:val="24"/>
                <w:szCs w:val="24"/>
              </w:rPr>
              <w:t>）、《国家综合防灾减灾规划（</w:t>
            </w:r>
            <w:r>
              <w:rPr>
                <w:rFonts w:ascii="仿宋" w:hAnsi="仿宋" w:eastAsia="仿宋" w:cs="宋体"/>
                <w:bCs/>
                <w:color w:val="000000"/>
                <w:kern w:val="0"/>
                <w:sz w:val="24"/>
                <w:szCs w:val="24"/>
              </w:rPr>
              <w:t>2016-2020</w:t>
            </w:r>
            <w:r>
              <w:rPr>
                <w:rFonts w:hint="eastAsia" w:ascii="仿宋" w:hAnsi="仿宋" w:eastAsia="仿宋" w:cs="宋体"/>
                <w:bCs/>
                <w:color w:val="000000"/>
                <w:kern w:val="0"/>
                <w:sz w:val="24"/>
                <w:szCs w:val="24"/>
              </w:rPr>
              <w:t>年）》</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预案管理和综合减灾科</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870" w:hRule="atLeast"/>
          <w:jc w:val="center"/>
        </w:trPr>
        <w:tc>
          <w:tcPr>
            <w:tcW w:w="652" w:type="dxa"/>
            <w:vMerge w:val="continue"/>
            <w:tcBorders>
              <w:left w:val="single" w:color="auto" w:sz="4" w:space="0"/>
              <w:right w:val="single" w:color="000000" w:sz="4" w:space="0"/>
            </w:tcBorders>
            <w:vAlign w:val="center"/>
          </w:tcPr>
          <w:p>
            <w:pPr>
              <w:widowControl/>
              <w:spacing w:line="240" w:lineRule="exact"/>
              <w:jc w:val="center"/>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nil"/>
              <w:left w:val="nil"/>
              <w:bottom w:val="nil"/>
              <w:right w:val="nil"/>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灾害</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员队</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伍</w:t>
            </w:r>
          </w:p>
        </w:tc>
        <w:tc>
          <w:tcPr>
            <w:tcW w:w="350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县乡两级灾害信息员有关信息</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号）、《社会救助暂行办法》（</w:t>
            </w:r>
            <w:r>
              <w:rPr>
                <w:rFonts w:ascii="仿宋" w:hAnsi="仿宋" w:eastAsia="仿宋" w:cs="宋体"/>
                <w:bCs/>
                <w:color w:val="000000"/>
                <w:kern w:val="0"/>
                <w:sz w:val="24"/>
                <w:szCs w:val="24"/>
              </w:rPr>
              <w:t>2014</w:t>
            </w:r>
            <w:r>
              <w:rPr>
                <w:rFonts w:hint="eastAsia" w:ascii="仿宋" w:hAnsi="仿宋" w:eastAsia="仿宋" w:cs="宋体"/>
                <w:bCs/>
                <w:color w:val="000000"/>
                <w:kern w:val="0"/>
                <w:sz w:val="24"/>
                <w:szCs w:val="24"/>
              </w:rPr>
              <w:t>）、《国家综合防灾减灾规划（</w:t>
            </w:r>
            <w:r>
              <w:rPr>
                <w:rFonts w:ascii="仿宋" w:hAnsi="仿宋" w:eastAsia="仿宋" w:cs="宋体"/>
                <w:bCs/>
                <w:color w:val="000000"/>
                <w:kern w:val="0"/>
                <w:sz w:val="24"/>
                <w:szCs w:val="24"/>
              </w:rPr>
              <w:t>2016-2020</w:t>
            </w:r>
            <w:r>
              <w:rPr>
                <w:rFonts w:hint="eastAsia" w:ascii="仿宋" w:hAnsi="仿宋" w:eastAsia="仿宋" w:cs="宋体"/>
                <w:bCs/>
                <w:color w:val="000000"/>
                <w:kern w:val="0"/>
                <w:sz w:val="24"/>
                <w:szCs w:val="24"/>
              </w:rPr>
              <w:t>年）》</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救灾和物资保障科</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p>
        </w:tc>
        <w:tc>
          <w:tcPr>
            <w:tcW w:w="752"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i/>
                <w:iCs/>
                <w:color w:val="000000"/>
                <w:kern w:val="0"/>
                <w:sz w:val="24"/>
                <w:szCs w:val="24"/>
              </w:rPr>
            </w:pPr>
            <w:r>
              <w:rPr>
                <w:rFonts w:hint="eastAsia" w:ascii="仿宋" w:hAnsi="仿宋" w:eastAsia="仿宋" w:cs="宋体"/>
                <w:bCs/>
                <w:i/>
                <w:i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c>
          <w:tcPr>
            <w:tcW w:w="562"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870" w:hRule="atLeast"/>
          <w:jc w:val="center"/>
        </w:trPr>
        <w:tc>
          <w:tcPr>
            <w:tcW w:w="652" w:type="dxa"/>
            <w:vMerge w:val="continue"/>
            <w:tcBorders>
              <w:left w:val="single" w:color="auto" w:sz="4" w:space="0"/>
              <w:bottom w:val="single" w:color="000000" w:sz="4" w:space="0"/>
              <w:right w:val="single" w:color="000000" w:sz="4" w:space="0"/>
            </w:tcBorders>
            <w:vAlign w:val="center"/>
          </w:tcPr>
          <w:p>
            <w:pPr>
              <w:widowControl/>
              <w:spacing w:line="240" w:lineRule="exact"/>
              <w:jc w:val="left"/>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预警</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tc>
        <w:tc>
          <w:tcPr>
            <w:tcW w:w="350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防汛、防内涝、地震等预警信息</w:t>
            </w:r>
          </w:p>
        </w:tc>
        <w:tc>
          <w:tcPr>
            <w:tcW w:w="3849"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应急指挥中心</w:t>
            </w:r>
          </w:p>
        </w:tc>
        <w:tc>
          <w:tcPr>
            <w:tcW w:w="161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■政府网站</w:t>
            </w:r>
            <w:r>
              <w:rPr>
                <w:rFonts w:ascii="仿宋" w:hAnsi="仿宋" w:eastAsia="仿宋" w:cs="宋体"/>
                <w:bCs/>
                <w:color w:val="000000"/>
                <w:kern w:val="0"/>
                <w:sz w:val="24"/>
                <w:szCs w:val="24"/>
              </w:rPr>
              <w:t xml:space="preserve"> </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■两微一端</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■广播电视</w:t>
            </w:r>
            <w:r>
              <w:rPr>
                <w:rFonts w:ascii="仿宋" w:hAnsi="仿宋" w:eastAsia="仿宋" w:cs="宋体"/>
                <w:bCs/>
                <w:color w:val="000000"/>
                <w:kern w:val="0"/>
                <w:sz w:val="24"/>
                <w:szCs w:val="24"/>
              </w:rPr>
              <w:t xml:space="preserve"> </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■纸质媒体</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■精准推送</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192" w:hRule="atLeast"/>
          <w:jc w:val="center"/>
        </w:trPr>
        <w:tc>
          <w:tcPr>
            <w:tcW w:w="652" w:type="dxa"/>
            <w:vMerge w:val="restart"/>
            <w:tcBorders>
              <w:left w:val="single" w:color="auto" w:sz="4" w:space="0"/>
              <w:right w:val="single" w:color="000000"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灾后</w:t>
            </w:r>
          </w:p>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救助</w:t>
            </w:r>
          </w:p>
        </w:tc>
        <w:tc>
          <w:tcPr>
            <w:tcW w:w="45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灾情</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损失</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信息</w:t>
            </w:r>
          </w:p>
        </w:tc>
        <w:tc>
          <w:tcPr>
            <w:tcW w:w="350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本行政区域内因自然灾害造成的损失情况（受灾时间、灾害种类、受灾范围、灾害造成的损失</w:t>
            </w:r>
            <w:r>
              <w:rPr>
                <w:rFonts w:hint="eastAsia" w:ascii="仿宋" w:hAnsi="仿宋" w:eastAsia="仿宋" w:cs="宋体"/>
                <w:bCs/>
                <w:i/>
                <w:iCs/>
                <w:color w:val="000000"/>
                <w:kern w:val="0"/>
                <w:sz w:val="24"/>
                <w:szCs w:val="24"/>
              </w:rPr>
              <w:t>等信息</w:t>
            </w:r>
            <w:r>
              <w:rPr>
                <w:rFonts w:hint="eastAsia" w:ascii="仿宋" w:hAnsi="仿宋" w:eastAsia="仿宋" w:cs="宋体"/>
                <w:bCs/>
                <w:color w:val="000000"/>
                <w:kern w:val="0"/>
                <w:sz w:val="24"/>
                <w:szCs w:val="24"/>
              </w:rPr>
              <w:t>）</w:t>
            </w:r>
          </w:p>
        </w:tc>
        <w:tc>
          <w:tcPr>
            <w:tcW w:w="384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号）、《中华人民共和国自然灾害救助条例》（国务院令第</w:t>
            </w:r>
            <w:r>
              <w:rPr>
                <w:rFonts w:ascii="仿宋" w:hAnsi="仿宋" w:eastAsia="仿宋" w:cs="宋体"/>
                <w:bCs/>
                <w:color w:val="000000"/>
                <w:kern w:val="0"/>
                <w:sz w:val="24"/>
                <w:szCs w:val="24"/>
              </w:rPr>
              <w:t>577</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救灾和物资保障科</w:t>
            </w:r>
          </w:p>
        </w:tc>
        <w:tc>
          <w:tcPr>
            <w:tcW w:w="161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605" w:hRule="atLeast"/>
          <w:jc w:val="center"/>
        </w:trPr>
        <w:tc>
          <w:tcPr>
            <w:tcW w:w="652" w:type="dxa"/>
            <w:vMerge w:val="continue"/>
            <w:tcBorders>
              <w:left w:val="single" w:color="auto" w:sz="4" w:space="0"/>
              <w:bottom w:val="single" w:color="000000" w:sz="4" w:space="0"/>
              <w:right w:val="single" w:color="000000" w:sz="4" w:space="0"/>
            </w:tcBorders>
            <w:vAlign w:val="center"/>
          </w:tcPr>
          <w:p>
            <w:pPr>
              <w:widowControl/>
              <w:spacing w:line="240" w:lineRule="exact"/>
              <w:jc w:val="left"/>
              <w:rPr>
                <w:rFonts w:ascii="仿宋" w:hAnsi="仿宋" w:eastAsia="仿宋" w:cs="宋体"/>
                <w:bCs/>
                <w:color w:val="000000"/>
                <w:kern w:val="0"/>
                <w:sz w:val="24"/>
                <w:szCs w:val="24"/>
              </w:rPr>
            </w:pPr>
          </w:p>
        </w:tc>
        <w:tc>
          <w:tcPr>
            <w:tcW w:w="45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2</w:t>
            </w:r>
          </w:p>
        </w:tc>
        <w:tc>
          <w:tcPr>
            <w:tcW w:w="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灾害</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救助</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信息</w:t>
            </w:r>
          </w:p>
        </w:tc>
        <w:tc>
          <w:tcPr>
            <w:tcW w:w="350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自然灾害救助信息（救助对象、救助金额、救助时段等信息）</w:t>
            </w:r>
          </w:p>
        </w:tc>
        <w:tc>
          <w:tcPr>
            <w:tcW w:w="384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号）、《中华人民共和国自然灾害救助条例》（国务院令第</w:t>
            </w:r>
            <w:r>
              <w:rPr>
                <w:rFonts w:ascii="仿宋" w:hAnsi="仿宋" w:eastAsia="仿宋" w:cs="宋体"/>
                <w:bCs/>
                <w:color w:val="000000"/>
                <w:kern w:val="0"/>
                <w:sz w:val="24"/>
                <w:szCs w:val="24"/>
              </w:rPr>
              <w:t>577</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灾害救助实施完成后，按要求汇总各县区信息后</w:t>
            </w:r>
            <w:r>
              <w:rPr>
                <w:rFonts w:ascii="仿宋" w:hAnsi="仿宋" w:eastAsia="仿宋" w:cs="宋体"/>
                <w:bCs/>
                <w:iCs/>
                <w:color w:val="000000"/>
                <w:kern w:val="0"/>
                <w:sz w:val="24"/>
                <w:szCs w:val="24"/>
              </w:rPr>
              <w:t>20</w:t>
            </w:r>
            <w:r>
              <w:rPr>
                <w:rFonts w:hint="eastAsia" w:ascii="仿宋" w:hAnsi="仿宋" w:eastAsia="仿宋" w:cs="宋体"/>
                <w:bCs/>
                <w:i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救灾和物资保障科</w:t>
            </w:r>
          </w:p>
        </w:tc>
        <w:tc>
          <w:tcPr>
            <w:tcW w:w="161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r>
      <w:tr>
        <w:tblPrEx>
          <w:tblCellMar>
            <w:top w:w="0" w:type="dxa"/>
            <w:left w:w="57" w:type="dxa"/>
            <w:bottom w:w="0" w:type="dxa"/>
            <w:right w:w="57" w:type="dxa"/>
          </w:tblCellMar>
        </w:tblPrEx>
        <w:trPr>
          <w:trHeight w:val="1256" w:hRule="atLeast"/>
          <w:jc w:val="center"/>
        </w:trPr>
        <w:tc>
          <w:tcPr>
            <w:tcW w:w="652" w:type="dxa"/>
            <w:tcBorders>
              <w:top w:val="single" w:color="auto" w:sz="4" w:space="0"/>
              <w:left w:val="single" w:color="auto" w:sz="4" w:space="0"/>
              <w:bottom w:val="nil"/>
              <w:right w:val="single" w:color="000000"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灾害</w:t>
            </w:r>
          </w:p>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救助</w:t>
            </w:r>
          </w:p>
        </w:tc>
        <w:tc>
          <w:tcPr>
            <w:tcW w:w="45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3</w:t>
            </w:r>
          </w:p>
        </w:tc>
        <w:tc>
          <w:tcPr>
            <w:tcW w:w="68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救灾</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款物</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划拨</w:t>
            </w:r>
          </w:p>
          <w:p>
            <w:pPr>
              <w:widowControl/>
              <w:spacing w:line="240" w:lineRule="exact"/>
              <w:jc w:val="center"/>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信息</w:t>
            </w:r>
          </w:p>
        </w:tc>
        <w:tc>
          <w:tcPr>
            <w:tcW w:w="350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iCs/>
                <w:color w:val="000000"/>
                <w:kern w:val="0"/>
                <w:sz w:val="24"/>
                <w:szCs w:val="24"/>
              </w:rPr>
            </w:pPr>
            <w:r>
              <w:rPr>
                <w:rFonts w:hint="eastAsia" w:ascii="仿宋" w:hAnsi="仿宋" w:eastAsia="仿宋" w:cs="宋体"/>
                <w:bCs/>
                <w:iCs/>
                <w:color w:val="000000"/>
                <w:kern w:val="0"/>
                <w:sz w:val="24"/>
                <w:szCs w:val="24"/>
              </w:rPr>
              <w:t>救灾款物划拨文件等</w:t>
            </w:r>
          </w:p>
        </w:tc>
        <w:tc>
          <w:tcPr>
            <w:tcW w:w="384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w:t>
            </w:r>
            <w:r>
              <w:rPr>
                <w:rFonts w:ascii="仿宋" w:hAnsi="仿宋" w:eastAsia="仿宋" w:cs="宋体"/>
                <w:bCs/>
                <w:color w:val="000000"/>
                <w:kern w:val="0"/>
                <w:sz w:val="24"/>
                <w:szCs w:val="24"/>
              </w:rPr>
              <w:t>(</w:t>
            </w:r>
            <w:r>
              <w:rPr>
                <w:rFonts w:hint="eastAsia" w:ascii="仿宋" w:hAnsi="仿宋" w:eastAsia="仿宋" w:cs="宋体"/>
                <w:bCs/>
                <w:color w:val="000000"/>
                <w:kern w:val="0"/>
                <w:sz w:val="24"/>
                <w:szCs w:val="24"/>
              </w:rPr>
              <w:t>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号）、《中华人民共和国自然灾害救助条例》（国务院令第</w:t>
            </w:r>
            <w:r>
              <w:rPr>
                <w:rFonts w:ascii="仿宋" w:hAnsi="仿宋" w:eastAsia="仿宋" w:cs="宋体"/>
                <w:bCs/>
                <w:color w:val="000000"/>
                <w:kern w:val="0"/>
                <w:sz w:val="24"/>
                <w:szCs w:val="24"/>
              </w:rPr>
              <w:t>577</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信息形成或变更之日起</w:t>
            </w:r>
            <w:r>
              <w:rPr>
                <w:rFonts w:ascii="仿宋" w:hAnsi="仿宋" w:eastAsia="仿宋" w:cs="宋体"/>
                <w:bCs/>
                <w:color w:val="000000"/>
                <w:kern w:val="0"/>
                <w:sz w:val="24"/>
                <w:szCs w:val="24"/>
              </w:rPr>
              <w:t>20</w:t>
            </w:r>
            <w:r>
              <w:rPr>
                <w:rFonts w:hint="eastAsia" w:ascii="仿宋" w:hAnsi="仿宋" w:eastAsia="仿宋" w:cs="宋体"/>
                <w:bCs/>
                <w:color w:val="000000"/>
                <w:kern w:val="0"/>
                <w:sz w:val="24"/>
                <w:szCs w:val="24"/>
              </w:rPr>
              <w:t>个工作日内</w:t>
            </w:r>
          </w:p>
        </w:tc>
        <w:tc>
          <w:tcPr>
            <w:tcW w:w="175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救灾和物资保障科</w:t>
            </w:r>
          </w:p>
        </w:tc>
        <w:tc>
          <w:tcPr>
            <w:tcW w:w="161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962" w:hRule="atLeast"/>
          <w:jc w:val="center"/>
        </w:trPr>
        <w:tc>
          <w:tcPr>
            <w:tcW w:w="652"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 w:hAnsi="仿宋" w:eastAsia="仿宋" w:cs="宋体"/>
                <w:iCs/>
                <w:color w:val="000000"/>
                <w:kern w:val="0"/>
                <w:sz w:val="24"/>
                <w:szCs w:val="24"/>
              </w:rPr>
            </w:pPr>
            <w:r>
              <w:rPr>
                <w:rFonts w:hint="eastAsia" w:ascii="仿宋" w:hAnsi="仿宋" w:eastAsia="仿宋" w:cs="宋体"/>
                <w:iCs/>
                <w:color w:val="000000"/>
                <w:kern w:val="0"/>
                <w:sz w:val="24"/>
                <w:szCs w:val="24"/>
              </w:rPr>
              <w:t>救灾损赠</w:t>
            </w:r>
          </w:p>
        </w:tc>
        <w:tc>
          <w:tcPr>
            <w:tcW w:w="45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nil"/>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捐赠</w:t>
            </w:r>
          </w:p>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款物</w:t>
            </w:r>
          </w:p>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信息</w:t>
            </w:r>
          </w:p>
        </w:tc>
        <w:tc>
          <w:tcPr>
            <w:tcW w:w="350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年度捐赠款物信息以及款物使用情况</w:t>
            </w:r>
          </w:p>
        </w:tc>
        <w:tc>
          <w:tcPr>
            <w:tcW w:w="384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75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救灾和物资保障科</w:t>
            </w:r>
          </w:p>
        </w:tc>
        <w:tc>
          <w:tcPr>
            <w:tcW w:w="161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i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r>
        <w:tblPrEx>
          <w:tblCellMar>
            <w:top w:w="0" w:type="dxa"/>
            <w:left w:w="57" w:type="dxa"/>
            <w:bottom w:w="0" w:type="dxa"/>
            <w:right w:w="57" w:type="dxa"/>
          </w:tblCellMar>
        </w:tblPrEx>
        <w:trPr>
          <w:trHeight w:val="1353" w:hRule="atLeast"/>
          <w:jc w:val="center"/>
        </w:trPr>
        <w:tc>
          <w:tcPr>
            <w:tcW w:w="652"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工作动态</w:t>
            </w:r>
          </w:p>
        </w:tc>
        <w:tc>
          <w:tcPr>
            <w:tcW w:w="45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ascii="仿宋" w:hAnsi="仿宋" w:eastAsia="仿宋" w:cs="宋体"/>
                <w:bCs/>
                <w:color w:val="000000"/>
                <w:kern w:val="0"/>
                <w:sz w:val="24"/>
                <w:szCs w:val="24"/>
              </w:rPr>
              <w:t>1</w:t>
            </w:r>
          </w:p>
        </w:tc>
        <w:tc>
          <w:tcPr>
            <w:tcW w:w="689" w:type="dxa"/>
            <w:tcBorders>
              <w:top w:val="nil"/>
              <w:left w:val="nil"/>
              <w:bottom w:val="single" w:color="auto" w:sz="4" w:space="0"/>
              <w:right w:val="nil"/>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工作信息</w:t>
            </w:r>
          </w:p>
        </w:tc>
        <w:tc>
          <w:tcPr>
            <w:tcW w:w="350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防灾减灾救灾其他相关动态信息</w:t>
            </w:r>
          </w:p>
        </w:tc>
        <w:tc>
          <w:tcPr>
            <w:tcW w:w="384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《中华人民共和国政府信息公开条例》（国务院令第</w:t>
            </w:r>
            <w:r>
              <w:rPr>
                <w:rFonts w:ascii="仿宋" w:hAnsi="仿宋" w:eastAsia="仿宋" w:cs="宋体"/>
                <w:bCs/>
                <w:color w:val="000000"/>
                <w:kern w:val="0"/>
                <w:sz w:val="24"/>
                <w:szCs w:val="24"/>
              </w:rPr>
              <w:t>711</w:t>
            </w:r>
            <w:r>
              <w:rPr>
                <w:rFonts w:hint="eastAsia" w:ascii="仿宋" w:hAnsi="仿宋" w:eastAsia="仿宋" w:cs="宋体"/>
                <w:bCs/>
                <w:color w:val="000000"/>
                <w:kern w:val="0"/>
                <w:sz w:val="24"/>
                <w:szCs w:val="24"/>
              </w:rPr>
              <w:t>号）</w:t>
            </w:r>
          </w:p>
        </w:tc>
        <w:tc>
          <w:tcPr>
            <w:tcW w:w="137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按进展情况及时公开</w:t>
            </w:r>
          </w:p>
        </w:tc>
        <w:tc>
          <w:tcPr>
            <w:tcW w:w="175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预案管理和综合减灾科、救灾和物资保障科</w:t>
            </w:r>
          </w:p>
        </w:tc>
        <w:tc>
          <w:tcPr>
            <w:tcW w:w="1611"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■本局网站</w:t>
            </w:r>
            <w:r>
              <w:rPr>
                <w:rFonts w:ascii="仿宋" w:hAnsi="仿宋" w:eastAsia="仿宋" w:cs="宋体"/>
                <w:bCs/>
                <w:color w:val="000000"/>
                <w:kern w:val="0"/>
                <w:sz w:val="24"/>
                <w:szCs w:val="24"/>
              </w:rPr>
              <w:t xml:space="preserve"> </w:t>
            </w:r>
          </w:p>
        </w:tc>
        <w:tc>
          <w:tcPr>
            <w:tcW w:w="75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1"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w:t>
            </w:r>
          </w:p>
        </w:tc>
        <w:tc>
          <w:tcPr>
            <w:tcW w:w="562"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A556F"/>
    <w:rsid w:val="40AA5286"/>
    <w:rsid w:val="7882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2020-09-22T08:07:00Z</dcterms:created>
  <dc:creator>admin</dc:creator>
  <cp:lastModifiedBy>中杰者</cp:lastModifiedBy>
  <dcterms:modified xsi:type="dcterms:W3CDTF">2020-12-16T05:18:24Z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