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6"/>
          <w:szCs w:val="36"/>
          <w:lang w:eastAsia="zh-CN"/>
        </w:rPr>
      </w:pPr>
      <w:bookmarkStart w:id="0" w:name="_Toc24724726"/>
      <w:r>
        <w:rPr>
          <w:rFonts w:hint="eastAsia" w:ascii="方正小标宋_GBK" w:hAnsi="方正小标宋_GBK" w:eastAsia="方正小标宋_GBK"/>
          <w:b w:val="0"/>
          <w:bCs w:val="0"/>
          <w:sz w:val="36"/>
          <w:szCs w:val="36"/>
          <w:lang w:eastAsia="zh-CN"/>
        </w:rPr>
        <w:t>灵山县救灾生产领域基层政务公开标准目录</w:t>
      </w:r>
      <w:bookmarkEnd w:id="0"/>
    </w:p>
    <w:p>
      <w:pPr>
        <w:jc w:val="left"/>
        <w:rPr>
          <w:rFonts w:hint="eastAsia"/>
        </w:rPr>
      </w:pPr>
      <w:r>
        <w:rPr>
          <w:rFonts w:hint="eastAsia" w:ascii="仿宋_GB2312" w:hAnsi="仿宋_GB2312" w:eastAsia="仿宋_GB2312" w:cs="仿宋_GB2312"/>
          <w:b w:val="0"/>
          <w:bCs w:val="0"/>
          <w:sz w:val="32"/>
          <w:szCs w:val="32"/>
          <w:lang w:eastAsia="zh-CN"/>
        </w:rPr>
        <w:t>单位：灵山县应急管理局</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auto"/>
                <w:kern w:val="0"/>
                <w:sz w:val="18"/>
                <w:szCs w:val="18"/>
                <w:shd w:val="clear" w:color="auto" w:fill="auto"/>
              </w:rPr>
            </w:pPr>
            <w:r>
              <w:rPr>
                <w:rFonts w:hint="eastAsia" w:ascii="黑体" w:hAnsi="宋体" w:eastAsia="黑体" w:cs="宋体"/>
                <w:color w:val="auto"/>
                <w:kern w:val="0"/>
                <w:sz w:val="22"/>
                <w:shd w:val="clear" w:color="auto" w:fill="auto"/>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公开方式</w:t>
            </w:r>
          </w:p>
        </w:tc>
        <w:tc>
          <w:tcPr>
            <w:tcW w:w="12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auto"/>
                <w:kern w:val="0"/>
                <w:sz w:val="18"/>
                <w:szCs w:val="18"/>
                <w:shd w:val="clear" w:color="auto" w:fill="auto"/>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一级事项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auto"/>
                <w:kern w:val="0"/>
                <w:sz w:val="22"/>
                <w:shd w:val="clear" w:color="auto" w:fill="auto"/>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auto"/>
                <w:kern w:val="0"/>
                <w:sz w:val="22"/>
                <w:shd w:val="clear" w:color="auto" w:fill="auto"/>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auto"/>
                <w:kern w:val="0"/>
                <w:sz w:val="22"/>
                <w:shd w:val="clear" w:color="auto" w:fill="auto"/>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auto"/>
                <w:kern w:val="0"/>
                <w:sz w:val="22"/>
                <w:shd w:val="clear" w:color="auto" w:fill="auto"/>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依申请公开</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县级</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政策</w:t>
            </w:r>
          </w:p>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vMerge w:val="restart"/>
            <w:tcBorders>
              <w:top w:val="single" w:color="auto" w:sz="4" w:space="0"/>
              <w:left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灵山应急新浪微博</w:t>
            </w:r>
            <w:r>
              <w:rPr>
                <w:rFonts w:hint="eastAsia" w:ascii="仿宋_GB2312" w:eastAsia="仿宋_GB2312"/>
                <w:color w:val="auto"/>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vMerge w:val="continue"/>
            <w:tcBorders>
              <w:left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rPr>
              <w:t>其他</w:t>
            </w:r>
            <w:r>
              <w:rPr>
                <w:rFonts w:hint="eastAsia" w:ascii="仿宋_GB2312" w:eastAsia="仿宋_GB2312"/>
                <w:color w:val="auto"/>
                <w:sz w:val="18"/>
                <w:szCs w:val="18"/>
                <w:shd w:val="clear" w:color="auto" w:fill="auto"/>
              </w:rPr>
              <w:t>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rPr>
              <w:t>其他</w:t>
            </w:r>
            <w:r>
              <w:rPr>
                <w:rFonts w:hint="eastAsia" w:ascii="仿宋_GB2312" w:eastAsia="仿宋_GB2312"/>
                <w:color w:val="auto"/>
                <w:sz w:val="18"/>
                <w:szCs w:val="18"/>
                <w:shd w:val="clear" w:color="auto" w:fill="auto"/>
              </w:rPr>
              <w:t>可以公开的与救灾有关的政策文件</w:t>
            </w:r>
            <w:r>
              <w:rPr>
                <w:rFonts w:hint="eastAsia" w:ascii="仿宋_GB2312" w:eastAsia="仿宋_GB2312"/>
                <w:bCs/>
                <w:color w:val="auto"/>
                <w:sz w:val="18"/>
                <w:szCs w:val="18"/>
                <w:shd w:val="clear" w:color="auto" w:fill="auto"/>
              </w:rPr>
              <w:t>，包括改革方案、发展规划、专项规划、工作计划等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vMerge w:val="continue"/>
            <w:tcBorders>
              <w:left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color w:val="auto"/>
                <w:sz w:val="18"/>
                <w:szCs w:val="18"/>
                <w:shd w:val="clear" w:color="auto" w:fill="auto"/>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vMerge w:val="continue"/>
            <w:tcBorders>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eastAsia="仿宋_GB2312"/>
                <w:bCs/>
                <w:color w:val="auto"/>
                <w:sz w:val="18"/>
                <w:szCs w:val="18"/>
                <w:shd w:val="clear" w:color="auto" w:fill="auto"/>
              </w:rPr>
            </w:pP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政策</w:t>
            </w:r>
          </w:p>
          <w:p>
            <w:pPr>
              <w:jc w:val="center"/>
              <w:rPr>
                <w:rFonts w:hint="eastAsia"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6</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xml:space="preserve">有关重大政策的解读及回应                       </w:t>
            </w:r>
          </w:p>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8</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政策</w:t>
            </w:r>
          </w:p>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9</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备灾</w:t>
            </w:r>
          </w:p>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10</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同上</w:t>
            </w:r>
            <w:bookmarkStart w:id="1" w:name="_GoBack"/>
            <w:bookmarkEnd w:id="1"/>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auto"/>
                <w:sz w:val="18"/>
                <w:szCs w:val="18"/>
                <w:shd w:val="clear" w:color="auto" w:fill="auto"/>
                <w:lang w:val="en-US" w:eastAsia="zh-CN"/>
              </w:rPr>
            </w:pPr>
            <w:r>
              <w:rPr>
                <w:rFonts w:hint="eastAsia" w:ascii="仿宋_GB2312" w:hAnsi="宋体" w:eastAsia="仿宋_GB2312" w:cs="宋体"/>
                <w:color w:val="auto"/>
                <w:sz w:val="18"/>
                <w:szCs w:val="18"/>
                <w:shd w:val="clear" w:color="auto" w:fill="auto"/>
                <w:lang w:val="en-US" w:eastAsia="zh-CN"/>
              </w:rPr>
              <w:t>11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灾后</w:t>
            </w:r>
          </w:p>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bCs/>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auto"/>
                <w:sz w:val="18"/>
                <w:szCs w:val="18"/>
                <w:shd w:val="clear" w:color="auto" w:fill="auto"/>
                <w:lang w:val="en-US" w:eastAsia="zh-CN"/>
              </w:rPr>
            </w:pPr>
            <w:r>
              <w:rPr>
                <w:rFonts w:hint="eastAsia" w:ascii="仿宋_GB2312" w:hAnsi="宋体" w:eastAsia="仿宋_GB2312" w:cs="宋体"/>
                <w:color w:val="auto"/>
                <w:sz w:val="18"/>
                <w:szCs w:val="18"/>
                <w:shd w:val="clear" w:color="auto" w:fill="auto"/>
                <w:lang w:val="en-US" w:eastAsia="zh-CN"/>
              </w:rPr>
              <w:t>12</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灾后</w:t>
            </w:r>
          </w:p>
          <w:p>
            <w:pPr>
              <w:jc w:val="center"/>
              <w:rPr>
                <w:rFonts w:hint="eastAsia" w:ascii="仿宋_GB2312" w:hAnsi="宋体" w:eastAsia="仿宋_GB2312" w:cs="宋体"/>
                <w:color w:val="auto"/>
                <w:sz w:val="18"/>
                <w:szCs w:val="18"/>
                <w:shd w:val="clear" w:color="auto" w:fill="auto"/>
              </w:rPr>
            </w:pPr>
            <w:r>
              <w:rPr>
                <w:rFonts w:hint="eastAsia" w:ascii="仿宋_GB2312" w:hAnsi="宋体" w:eastAsia="仿宋_GB2312" w:cs="宋体"/>
                <w:color w:val="auto"/>
                <w:sz w:val="18"/>
                <w:szCs w:val="18"/>
                <w:shd w:val="clear" w:color="auto" w:fill="auto"/>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自然灾害救助（6类）的救助对象、申报材料、</w:t>
            </w:r>
            <w:r>
              <w:rPr>
                <w:rFonts w:hint="eastAsia" w:ascii="仿宋_GB2312" w:eastAsia="仿宋_GB2312"/>
                <w:color w:val="auto"/>
                <w:sz w:val="18"/>
                <w:szCs w:val="18"/>
                <w:shd w:val="clear" w:color="auto" w:fill="auto"/>
                <w:lang w:eastAsia="zh-CN"/>
              </w:rPr>
              <w:t>救助标准、</w:t>
            </w:r>
            <w:r>
              <w:rPr>
                <w:rFonts w:hint="eastAsia" w:ascii="仿宋_GB2312" w:eastAsia="仿宋_GB2312"/>
                <w:color w:val="auto"/>
                <w:sz w:val="18"/>
                <w:szCs w:val="18"/>
                <w:shd w:val="clear" w:color="auto" w:fill="auto"/>
              </w:rPr>
              <w:t>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auto"/>
                <w:sz w:val="18"/>
                <w:szCs w:val="18"/>
                <w:shd w:val="clear" w:color="auto" w:fill="auto"/>
                <w:lang w:val="en-US" w:eastAsia="zh-CN"/>
              </w:rPr>
            </w:pPr>
            <w:r>
              <w:rPr>
                <w:rFonts w:hint="eastAsia" w:ascii="仿宋_GB2312" w:hAnsi="宋体" w:eastAsia="仿宋_GB2312" w:cs="宋体"/>
                <w:color w:val="auto"/>
                <w:sz w:val="18"/>
                <w:szCs w:val="18"/>
                <w:shd w:val="clear" w:color="auto" w:fill="auto"/>
                <w:lang w:val="en-US" w:eastAsia="zh-CN"/>
              </w:rPr>
              <w:t>13</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灾害</w:t>
            </w:r>
          </w:p>
          <w:p>
            <w:pPr>
              <w:jc w:val="cente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应急管理</w:t>
            </w:r>
            <w:r>
              <w:rPr>
                <w:rFonts w:hint="eastAsia" w:ascii="仿宋_GB2312" w:eastAsia="仿宋_GB2312"/>
                <w:color w:val="auto"/>
                <w:sz w:val="18"/>
                <w:szCs w:val="18"/>
                <w:shd w:val="clear" w:color="auto" w:fill="auto"/>
                <w:lang w:eastAsia="zh-CN"/>
              </w:rPr>
              <w:t>发改</w:t>
            </w:r>
            <w:r>
              <w:rPr>
                <w:rFonts w:hint="eastAsia" w:ascii="仿宋_GB2312" w:eastAsia="仿宋_GB2312"/>
                <w:color w:val="auto"/>
                <w:sz w:val="18"/>
                <w:szCs w:val="18"/>
                <w:shd w:val="clear" w:color="auto" w:fill="auto"/>
              </w:rPr>
              <w:t>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28"/>
                <w:szCs w:val="28"/>
                <w:shd w:val="clear" w:color="auto" w:fill="auto"/>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auto"/>
                <w:sz w:val="18"/>
                <w:szCs w:val="18"/>
                <w:shd w:val="clear" w:color="auto" w:fill="auto"/>
                <w:lang w:val="en-US" w:eastAsia="zh-CN"/>
              </w:rPr>
            </w:pPr>
            <w:r>
              <w:rPr>
                <w:rFonts w:hint="eastAsia" w:ascii="仿宋_GB2312" w:hAnsi="宋体" w:eastAsia="仿宋_GB2312" w:cs="宋体"/>
                <w:color w:val="auto"/>
                <w:sz w:val="18"/>
                <w:szCs w:val="18"/>
                <w:shd w:val="clear" w:color="auto" w:fill="auto"/>
                <w:lang w:val="en-US" w:eastAsia="zh-CN"/>
              </w:rPr>
              <w:t>14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auto"/>
                <w:sz w:val="18"/>
                <w:szCs w:val="18"/>
                <w:shd w:val="clear" w:color="auto" w:fill="auto"/>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xml:space="preserve">                                         过渡期生活救助对象确定（灾民姓名、受灾情况、救助金额、监督举报电话)</w:t>
            </w:r>
          </w:p>
          <w:p>
            <w:pPr>
              <w:rPr>
                <w:rFonts w:hint="eastAsia" w:ascii="仿宋_GB2312" w:eastAsia="仿宋_GB2312"/>
                <w:bCs/>
                <w:color w:val="auto"/>
                <w:sz w:val="18"/>
                <w:szCs w:val="18"/>
                <w:shd w:val="clear" w:color="auto" w:fill="auto"/>
                <w:lang w:eastAsia="zh-CN"/>
              </w:rPr>
            </w:pP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auto"/>
                <w:sz w:val="18"/>
                <w:szCs w:val="18"/>
                <w:shd w:val="clear" w:color="auto" w:fill="auto"/>
                <w:lang w:val="en-US" w:eastAsia="zh-CN"/>
              </w:rPr>
            </w:pPr>
            <w:r>
              <w:rPr>
                <w:rFonts w:hint="eastAsia" w:ascii="仿宋_GB2312" w:hAnsi="宋体" w:eastAsia="仿宋_GB2312" w:cs="宋体"/>
                <w:color w:val="auto"/>
                <w:sz w:val="18"/>
                <w:szCs w:val="18"/>
                <w:shd w:val="clear" w:color="auto" w:fill="auto"/>
                <w:lang w:val="en-US" w:eastAsia="zh-CN"/>
              </w:rPr>
              <w:t>15</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灾后</w:t>
            </w:r>
          </w:p>
          <w:p>
            <w:pPr>
              <w:jc w:val="center"/>
              <w:rPr>
                <w:rFonts w:hint="eastAsia"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lang w:eastAsia="zh-CN"/>
              </w:rPr>
            </w:pPr>
            <w:r>
              <w:rPr>
                <w:rFonts w:hint="eastAsia" w:ascii="仿宋_GB2312" w:eastAsia="仿宋_GB2312"/>
                <w:bCs/>
                <w:color w:val="auto"/>
                <w:sz w:val="18"/>
                <w:szCs w:val="18"/>
                <w:shd w:val="clear" w:color="auto" w:fill="auto"/>
                <w:lang w:eastAsia="zh-CN"/>
              </w:rPr>
              <w:t>农户因灾倒损住房恢复重建救助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 xml:space="preserve">                        </w:t>
            </w:r>
          </w:p>
          <w:p>
            <w:pP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lang w:eastAsia="zh-CN"/>
              </w:rPr>
              <w:t>农户</w:t>
            </w:r>
            <w:r>
              <w:rPr>
                <w:rFonts w:hint="eastAsia" w:ascii="仿宋_GB2312" w:eastAsia="仿宋_GB2312"/>
                <w:bCs/>
                <w:color w:val="auto"/>
                <w:sz w:val="18"/>
                <w:szCs w:val="18"/>
                <w:shd w:val="clear" w:color="auto" w:fill="auto"/>
              </w:rPr>
              <w:t>住房恢复重建救助对象评议结果公示（公开灾民姓名、受灾情况、</w:t>
            </w:r>
            <w:r>
              <w:rPr>
                <w:rFonts w:hint="eastAsia" w:ascii="仿宋_GB2312" w:eastAsia="仿宋_GB2312"/>
                <w:bCs/>
                <w:color w:val="auto"/>
                <w:sz w:val="18"/>
                <w:szCs w:val="18"/>
                <w:shd w:val="clear" w:color="auto" w:fill="auto"/>
                <w:lang w:eastAsia="zh-CN"/>
              </w:rPr>
              <w:t>救助金额</w:t>
            </w:r>
            <w:r>
              <w:rPr>
                <w:rFonts w:hint="eastAsia" w:ascii="仿宋_GB2312" w:eastAsia="仿宋_GB2312"/>
                <w:bCs/>
                <w:color w:val="auto"/>
                <w:sz w:val="18"/>
                <w:szCs w:val="18"/>
                <w:shd w:val="clear" w:color="auto" w:fill="auto"/>
              </w:rPr>
              <w:t>、监督举报电话）</w:t>
            </w:r>
          </w:p>
          <w:p>
            <w:pPr>
              <w:rPr>
                <w:rFonts w:hint="eastAsia" w:ascii="仿宋_GB2312" w:eastAsia="仿宋_GB2312"/>
                <w:bCs/>
                <w:color w:val="auto"/>
                <w:sz w:val="18"/>
                <w:szCs w:val="18"/>
                <w:shd w:val="clear" w:color="auto" w:fill="auto"/>
              </w:rPr>
            </w:pP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eastAsia="仿宋_GB2312"/>
                <w:color w:val="auto"/>
                <w:sz w:val="18"/>
                <w:szCs w:val="18"/>
                <w:shd w:val="clear" w:color="auto" w:fill="auto"/>
                <w:lang w:val="en-US" w:eastAsia="zh-CN"/>
              </w:rPr>
            </w:pPr>
            <w:r>
              <w:rPr>
                <w:rFonts w:hint="eastAsia" w:ascii="仿宋_GB2312" w:eastAsia="仿宋_GB2312"/>
                <w:color w:val="auto"/>
                <w:sz w:val="18"/>
                <w:szCs w:val="18"/>
                <w:shd w:val="clear" w:color="auto" w:fill="auto"/>
                <w:lang w:val="en-US" w:eastAsia="zh-CN"/>
              </w:rPr>
              <w:t>16</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bCs/>
                <w:color w:val="auto"/>
                <w:sz w:val="18"/>
                <w:szCs w:val="18"/>
                <w:shd w:val="clear" w:color="auto" w:fill="auto"/>
              </w:rPr>
            </w:pPr>
            <w:r>
              <w:rPr>
                <w:rFonts w:hint="eastAsia" w:ascii="仿宋_GB2312" w:eastAsia="仿宋_GB2312"/>
                <w:bCs/>
                <w:color w:val="auto"/>
                <w:sz w:val="18"/>
                <w:szCs w:val="18"/>
                <w:shd w:val="clear" w:color="auto" w:fill="auto"/>
              </w:rPr>
              <w:t>款物</w:t>
            </w:r>
          </w:p>
          <w:p>
            <w:pPr>
              <w:jc w:val="center"/>
              <w:rPr>
                <w:rFonts w:hint="eastAsia" w:ascii="仿宋_GB2312" w:eastAsia="仿宋_GB2312"/>
                <w:color w:val="auto"/>
                <w:sz w:val="18"/>
                <w:szCs w:val="18"/>
                <w:shd w:val="clear" w:color="auto" w:fill="auto"/>
              </w:rPr>
            </w:pPr>
            <w:r>
              <w:rPr>
                <w:rFonts w:hint="eastAsia" w:ascii="仿宋_GB2312" w:eastAsia="仿宋_GB2312"/>
                <w:bCs/>
                <w:color w:val="auto"/>
                <w:sz w:val="18"/>
                <w:szCs w:val="18"/>
                <w:shd w:val="clear" w:color="auto" w:fill="auto"/>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24"/>
                <w:szCs w:val="24"/>
                <w:shd w:val="clear" w:color="auto" w:fill="auto"/>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eastAsia="仿宋_GB2312"/>
                <w:color w:val="auto"/>
                <w:sz w:val="18"/>
                <w:szCs w:val="18"/>
                <w:shd w:val="clear" w:color="auto" w:fill="auto"/>
                <w:lang w:val="en-US" w:eastAsia="zh-CN"/>
              </w:rPr>
            </w:pPr>
            <w:r>
              <w:rPr>
                <w:rFonts w:hint="eastAsia" w:ascii="仿宋_GB2312" w:eastAsia="仿宋_GB2312"/>
                <w:color w:val="auto"/>
                <w:sz w:val="18"/>
                <w:szCs w:val="18"/>
                <w:shd w:val="clear" w:color="auto" w:fill="auto"/>
                <w:lang w:val="en-US" w:eastAsia="zh-CN"/>
              </w:rPr>
              <w:t>17</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工作</w:t>
            </w:r>
          </w:p>
          <w:p>
            <w:pPr>
              <w:jc w:val="cente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bCs/>
                <w:color w:val="auto"/>
                <w:sz w:val="18"/>
                <w:szCs w:val="18"/>
                <w:shd w:val="clear" w:color="auto" w:fill="auto"/>
                <w:lang w:eastAsia="zh-CN"/>
              </w:rPr>
              <w:t>灵山县应急管理局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灵山县人民</w:t>
            </w:r>
            <w:r>
              <w:rPr>
                <w:rFonts w:hint="eastAsia" w:ascii="仿宋_GB2312" w:eastAsia="仿宋_GB2312"/>
                <w:color w:val="auto"/>
                <w:sz w:val="18"/>
                <w:szCs w:val="18"/>
                <w:shd w:val="clear" w:color="auto" w:fill="auto"/>
              </w:rPr>
              <w:t>政府</w:t>
            </w:r>
            <w:r>
              <w:rPr>
                <w:rFonts w:hint="eastAsia" w:ascii="仿宋_GB2312" w:eastAsia="仿宋_GB2312"/>
                <w:color w:val="auto"/>
                <w:sz w:val="18"/>
                <w:szCs w:val="18"/>
                <w:shd w:val="clear" w:color="auto" w:fill="auto"/>
                <w:lang w:eastAsia="zh-CN"/>
              </w:rPr>
              <w:t>门户</w:t>
            </w:r>
            <w:r>
              <w:rPr>
                <w:rFonts w:hint="eastAsia" w:ascii="仿宋_GB2312" w:eastAsia="仿宋_GB2312"/>
                <w:color w:val="auto"/>
                <w:sz w:val="18"/>
                <w:szCs w:val="18"/>
                <w:shd w:val="clear" w:color="auto" w:fill="auto"/>
              </w:rPr>
              <w:t>网站</w:t>
            </w:r>
          </w:p>
          <w:p>
            <w:pPr>
              <w:spacing w:line="240" w:lineRule="exact"/>
              <w:jc w:val="left"/>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r>
              <w:rPr>
                <w:rFonts w:hint="eastAsia" w:ascii="仿宋_GB2312" w:eastAsia="仿宋_GB2312"/>
                <w:color w:val="auto"/>
                <w:sz w:val="18"/>
                <w:szCs w:val="18"/>
                <w:shd w:val="clear" w:color="auto" w:fill="auto"/>
                <w:lang w:eastAsia="zh-CN"/>
              </w:rPr>
              <w:t>灵山县应急管理局公众号</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auto"/>
                <w:sz w:val="18"/>
                <w:szCs w:val="18"/>
                <w:shd w:val="clear" w:color="auto" w:fill="auto"/>
              </w:rPr>
            </w:pPr>
            <w:r>
              <w:rPr>
                <w:rFonts w:hint="eastAsia" w:ascii="仿宋_GB2312" w:eastAsia="仿宋_GB2312"/>
                <w:color w:val="auto"/>
                <w:sz w:val="18"/>
                <w:szCs w:val="18"/>
                <w:shd w:val="clear" w:color="auto" w:fill="auto"/>
              </w:rPr>
              <w:t>√</w:t>
            </w:r>
          </w:p>
        </w:tc>
      </w:tr>
    </w:tbl>
    <w:p/>
    <w:sectPr>
      <w:footerReference r:id="rId3" w:type="default"/>
      <w:pgSz w:w="16838" w:h="11906" w:orient="landscape"/>
      <w:pgMar w:top="850" w:right="1440" w:bottom="850"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F7E3C"/>
    <w:rsid w:val="02CD4C93"/>
    <w:rsid w:val="03A77F30"/>
    <w:rsid w:val="056D5DAE"/>
    <w:rsid w:val="05D81F7B"/>
    <w:rsid w:val="08810BD5"/>
    <w:rsid w:val="11BE45B4"/>
    <w:rsid w:val="140668B9"/>
    <w:rsid w:val="148322AA"/>
    <w:rsid w:val="185A65D7"/>
    <w:rsid w:val="19282DF1"/>
    <w:rsid w:val="1B376FAB"/>
    <w:rsid w:val="1DA66C7D"/>
    <w:rsid w:val="204E56DA"/>
    <w:rsid w:val="205216D9"/>
    <w:rsid w:val="222F5171"/>
    <w:rsid w:val="22AC0599"/>
    <w:rsid w:val="239C1D1F"/>
    <w:rsid w:val="27C337C5"/>
    <w:rsid w:val="294F7E3C"/>
    <w:rsid w:val="2B4A636D"/>
    <w:rsid w:val="2C315FE4"/>
    <w:rsid w:val="2CDB4F95"/>
    <w:rsid w:val="2D505BB0"/>
    <w:rsid w:val="310B4D0C"/>
    <w:rsid w:val="311D0E3C"/>
    <w:rsid w:val="31452904"/>
    <w:rsid w:val="31CC3307"/>
    <w:rsid w:val="31FE54F5"/>
    <w:rsid w:val="3B3A3DCE"/>
    <w:rsid w:val="427669F8"/>
    <w:rsid w:val="4481164C"/>
    <w:rsid w:val="45945868"/>
    <w:rsid w:val="49593FCE"/>
    <w:rsid w:val="49B41BBE"/>
    <w:rsid w:val="4EBC65E6"/>
    <w:rsid w:val="4F9B3D93"/>
    <w:rsid w:val="520360D5"/>
    <w:rsid w:val="55671A02"/>
    <w:rsid w:val="57A977A6"/>
    <w:rsid w:val="58753D47"/>
    <w:rsid w:val="59683579"/>
    <w:rsid w:val="5C7340EE"/>
    <w:rsid w:val="5C796203"/>
    <w:rsid w:val="609804BD"/>
    <w:rsid w:val="63CC36CC"/>
    <w:rsid w:val="660A6A6D"/>
    <w:rsid w:val="66B63BFC"/>
    <w:rsid w:val="69C37F01"/>
    <w:rsid w:val="6ABE72C6"/>
    <w:rsid w:val="6E257FDB"/>
    <w:rsid w:val="70462014"/>
    <w:rsid w:val="719D6061"/>
    <w:rsid w:val="72456B43"/>
    <w:rsid w:val="728F7B68"/>
    <w:rsid w:val="72A10EC9"/>
    <w:rsid w:val="738C7FAC"/>
    <w:rsid w:val="7BE25F5C"/>
    <w:rsid w:val="7C8C4545"/>
    <w:rsid w:val="7F216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2020-09-08T10:13:00Z</dcterms:created>
  <dc:creator>陈之婷</dc:creator>
  <cp:lastModifiedBy>陈之婷</cp:lastModifiedBy>
  <cp:lastPrinted>2020-12-02T08:22:50Z</cp:lastPrinted>
  <dcterms:modified xsi:type="dcterms:W3CDTF">2020-12-02T08:24:02Z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