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560"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lang w:eastAsia="zh-CN"/>
        </w:rPr>
        <w:t>救灾生产</w:t>
      </w:r>
      <w:r>
        <w:rPr>
          <w:rFonts w:hint="eastAsia" w:ascii="方正小标宋简体" w:hAnsi="方正小标宋简体" w:eastAsia="方正小标宋简体" w:cs="方正小标宋简体"/>
          <w:sz w:val="44"/>
          <w:szCs w:val="44"/>
        </w:rPr>
        <w:t>领域基层政务公开事项标准目录</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w:t>
      </w:r>
    </w:p>
    <w:tbl>
      <w:tblPr>
        <w:tblStyle w:val="4"/>
        <w:tblW w:w="15083"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504"/>
        <w:gridCol w:w="1196"/>
        <w:gridCol w:w="1834"/>
        <w:gridCol w:w="930"/>
        <w:gridCol w:w="675"/>
        <w:gridCol w:w="675"/>
        <w:gridCol w:w="930"/>
        <w:gridCol w:w="810"/>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kern w:val="0"/>
                <w:sz w:val="22"/>
              </w:rPr>
            </w:pPr>
            <w:r>
              <w:rPr>
                <w:rFonts w:hAnsi="宋体"/>
                <w:kern w:val="0"/>
                <w:sz w:val="22"/>
              </w:rPr>
              <w:t>序号</w:t>
            </w:r>
          </w:p>
        </w:tc>
        <w:tc>
          <w:tcPr>
            <w:tcW w:w="1440"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40"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26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公开主体</w:t>
            </w:r>
          </w:p>
        </w:tc>
        <w:tc>
          <w:tcPr>
            <w:tcW w:w="1504"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19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834"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05"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605"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759" w:type="dxa"/>
            <w:gridSpan w:val="2"/>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trPr>
        <w:tc>
          <w:tcPr>
            <w:tcW w:w="540" w:type="dxa"/>
            <w:vMerge w:val="continue"/>
            <w:noWrap w:val="0"/>
            <w:vAlign w:val="center"/>
          </w:tcPr>
          <w:p>
            <w:pPr>
              <w:widowControl/>
              <w:jc w:val="left"/>
              <w:rPr>
                <w:kern w:val="0"/>
                <w:sz w:val="22"/>
              </w:rPr>
            </w:pPr>
          </w:p>
        </w:tc>
        <w:tc>
          <w:tcPr>
            <w:tcW w:w="7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2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340" w:type="dxa"/>
            <w:vMerge w:val="continue"/>
            <w:noWrap w:val="0"/>
            <w:vAlign w:val="center"/>
          </w:tcPr>
          <w:p>
            <w:pPr>
              <w:widowControl/>
              <w:jc w:val="left"/>
              <w:rPr>
                <w:rFonts w:ascii="黑体" w:hAnsi="宋体" w:eastAsia="黑体" w:cs="宋体"/>
                <w:kern w:val="0"/>
                <w:sz w:val="22"/>
              </w:rPr>
            </w:pPr>
          </w:p>
        </w:tc>
        <w:tc>
          <w:tcPr>
            <w:tcW w:w="1260" w:type="dxa"/>
            <w:vMerge w:val="continue"/>
            <w:noWrap w:val="0"/>
            <w:vAlign w:val="center"/>
          </w:tcPr>
          <w:p>
            <w:pPr>
              <w:widowControl/>
              <w:jc w:val="left"/>
              <w:rPr>
                <w:rFonts w:ascii="黑体" w:hAnsi="宋体" w:eastAsia="黑体" w:cs="宋体"/>
                <w:kern w:val="0"/>
                <w:sz w:val="22"/>
              </w:rPr>
            </w:pPr>
          </w:p>
        </w:tc>
        <w:tc>
          <w:tcPr>
            <w:tcW w:w="1504" w:type="dxa"/>
            <w:vMerge w:val="continue"/>
            <w:noWrap w:val="0"/>
            <w:vAlign w:val="center"/>
          </w:tcPr>
          <w:p>
            <w:pPr>
              <w:widowControl/>
              <w:jc w:val="left"/>
              <w:rPr>
                <w:rFonts w:ascii="黑体" w:hAnsi="宋体" w:eastAsia="黑体" w:cs="宋体"/>
                <w:kern w:val="0"/>
                <w:sz w:val="22"/>
              </w:rPr>
            </w:pPr>
          </w:p>
        </w:tc>
        <w:tc>
          <w:tcPr>
            <w:tcW w:w="1196" w:type="dxa"/>
            <w:vMerge w:val="continue"/>
            <w:noWrap w:val="0"/>
            <w:vAlign w:val="center"/>
          </w:tcPr>
          <w:p>
            <w:pPr>
              <w:widowControl/>
              <w:jc w:val="left"/>
              <w:rPr>
                <w:rFonts w:ascii="黑体" w:hAnsi="宋体" w:eastAsia="黑体" w:cs="宋体"/>
                <w:kern w:val="0"/>
                <w:sz w:val="22"/>
              </w:rPr>
            </w:pPr>
          </w:p>
        </w:tc>
        <w:tc>
          <w:tcPr>
            <w:tcW w:w="1834" w:type="dxa"/>
            <w:vMerge w:val="continue"/>
            <w:noWrap w:val="0"/>
            <w:vAlign w:val="center"/>
          </w:tcPr>
          <w:p>
            <w:pPr>
              <w:widowControl/>
              <w:jc w:val="left"/>
              <w:rPr>
                <w:rFonts w:ascii="黑体" w:hAnsi="宋体" w:eastAsia="黑体" w:cs="宋体"/>
                <w:kern w:val="0"/>
                <w:sz w:val="22"/>
              </w:rPr>
            </w:pPr>
          </w:p>
        </w:tc>
        <w:tc>
          <w:tcPr>
            <w:tcW w:w="93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675"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675"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93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810"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949" w:type="dxa"/>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20"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文件</w:t>
            </w:r>
          </w:p>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法律法规</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与救灾有关的法律、法规</w:t>
            </w:r>
          </w:p>
        </w:tc>
        <w:tc>
          <w:tcPr>
            <w:tcW w:w="1260" w:type="dxa"/>
            <w:noWrap w:val="0"/>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20" w:type="dxa"/>
            <w:vMerge w:val="continue"/>
            <w:noWrap w:val="0"/>
            <w:vAlign w:val="center"/>
          </w:tcPr>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部门和地方规章</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与救灾有关的部门和地方规章、规范性文件</w:t>
            </w: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720"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文件</w:t>
            </w:r>
          </w:p>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其他政策文件</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其他可以公开的与救灾有关的政策文件，包括改革方案、发展规划、专项规划、工作计划等</w:t>
            </w: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720" w:type="dxa"/>
            <w:vMerge w:val="continue"/>
            <w:noWrap w:val="0"/>
            <w:vAlign w:val="center"/>
          </w:tcPr>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标准</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救灾领域有关的国家标准、行业标准、地方标准等</w:t>
            </w: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720" w:type="dxa"/>
            <w:vMerge w:val="continue"/>
            <w:noWrap w:val="0"/>
            <w:vAlign w:val="center"/>
          </w:tcPr>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重大决策草案</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涉及管理相对人切身利益、需社会广泛知晓的重要改革方案等重大决策，决策前向社会公开决策草案、决策依据</w:t>
            </w: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《政府信息公开条例》、《关于全面推进政务公开工作的意见》</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按进展情况及时公开</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720"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文件</w:t>
            </w:r>
          </w:p>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重大政策解读及回应</w:t>
            </w:r>
          </w:p>
        </w:tc>
        <w:tc>
          <w:tcPr>
            <w:tcW w:w="234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left"/>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有关重大政策的解读及回应相关热点问题的解读及回应</w:t>
            </w:r>
          </w:p>
          <w:p>
            <w:pPr>
              <w:jc w:val="left"/>
              <w:rPr>
                <w:rFonts w:hint="eastAsia" w:ascii="仿宋_GB2312" w:hAnsi="仿宋_GB2312" w:eastAsia="仿宋_GB2312" w:cs="仿宋_GB2312"/>
                <w:sz w:val="24"/>
                <w:szCs w:val="24"/>
              </w:rPr>
            </w:pP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《政府信息公开条例》、《国务院办公厅关于在政务公开工作中进一步做好政务舆情回应的通知》</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重大决策作出后及时公开</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720" w:type="dxa"/>
            <w:vMerge w:val="continue"/>
            <w:noWrap w:val="0"/>
            <w:vAlign w:val="center"/>
          </w:tcPr>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重要会议</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以会议讨论作出重要改革方案等重大决策时，经党组研究认为有必要公开讨论决策过程的会议</w:t>
            </w: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《政府信息公开条例》、《关于全面推进政务公开工作的意见》</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提前一周发通知邀请</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3"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720" w:type="dxa"/>
            <w:vMerge w:val="continue"/>
            <w:noWrap w:val="0"/>
            <w:vAlign w:val="center"/>
          </w:tcPr>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征集采纳社会公众意见情况</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重大决策草案公布后征集到的社会公众意见情况、采纳与否情况及理由等</w:t>
            </w: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《政府信息公开条例》、《关于全面推进政务公开工作的意见》</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征求意见时对外公布的时限内公开</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20"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备灾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管理</w:t>
            </w:r>
          </w:p>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综合减灾示范社区</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综合减灾示范社区分布情况（其具体位置、创建时间、创建级别等）</w:t>
            </w: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《政府信息公开条例》、《社会救助暂行办法》、《国家综合防灾减灾规划（</w:t>
            </w:r>
            <w:r>
              <w:rPr>
                <w:rFonts w:hint="eastAsia" w:ascii="仿宋_GB2312" w:hAnsi="仿宋_GB2312" w:eastAsia="仿宋_GB2312" w:cs="仿宋_GB2312"/>
                <w:i w:val="0"/>
                <w:caps w:val="0"/>
                <w:color w:val="333333"/>
                <w:spacing w:val="0"/>
                <w:sz w:val="24"/>
                <w:szCs w:val="24"/>
                <w:shd w:val="clear" w:fill="FFFFFF"/>
              </w:rPr>
              <w:t>2016-2020</w:t>
            </w:r>
            <w:r>
              <w:rPr>
                <w:rFonts w:hint="eastAsia" w:ascii="仿宋_GB2312" w:hAnsi="仿宋_GB2312" w:eastAsia="仿宋_GB2312" w:cs="仿宋_GB2312"/>
                <w:i w:val="0"/>
                <w:caps w:val="0"/>
                <w:color w:val="000000"/>
                <w:spacing w:val="0"/>
                <w:sz w:val="24"/>
                <w:szCs w:val="24"/>
                <w:shd w:val="clear" w:fill="FFFFFF"/>
              </w:rPr>
              <w:t>年）》</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20" w:type="dxa"/>
            <w:vMerge w:val="continue"/>
            <w:noWrap w:val="0"/>
            <w:vAlign w:val="center"/>
          </w:tcPr>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预警信息</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气象、地震等单位发布的预警信息</w:t>
            </w: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20"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灾后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救助</w:t>
            </w:r>
          </w:p>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灾情核定信息</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本行政区域内因自然灾害造成的损失情况（受灾时间、灾害种类、受灾范围、灾害造成的损失等）</w:t>
            </w: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《政府信息公开条例》、《自然灾害救助条例》</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20" w:type="dxa"/>
            <w:vMerge w:val="continue"/>
            <w:noWrap w:val="0"/>
            <w:vAlign w:val="center"/>
          </w:tcPr>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救助审定信息</w:t>
            </w:r>
          </w:p>
        </w:tc>
        <w:tc>
          <w:tcPr>
            <w:tcW w:w="234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自然灾害救助（</w:t>
            </w:r>
            <w:r>
              <w:rPr>
                <w:rFonts w:hint="eastAsia" w:ascii="仿宋_GB2312" w:hAnsi="仿宋_GB2312" w:eastAsia="仿宋_GB2312" w:cs="仿宋_GB2312"/>
                <w:i w:val="0"/>
                <w:caps w:val="0"/>
                <w:color w:val="333333"/>
                <w:spacing w:val="0"/>
                <w:sz w:val="24"/>
                <w:szCs w:val="24"/>
                <w:shd w:val="clear" w:fill="FFFFFF"/>
              </w:rPr>
              <w:t>6</w:t>
            </w:r>
            <w:r>
              <w:rPr>
                <w:rFonts w:hint="eastAsia" w:ascii="仿宋_GB2312" w:hAnsi="仿宋_GB2312" w:eastAsia="仿宋_GB2312" w:cs="仿宋_GB2312"/>
                <w:i w:val="0"/>
                <w:caps w:val="0"/>
                <w:color w:val="000000"/>
                <w:spacing w:val="0"/>
                <w:sz w:val="24"/>
                <w:szCs w:val="24"/>
                <w:shd w:val="clear" w:fill="FFFFFF"/>
              </w:rPr>
              <w:t>类）的救助对象、申报材料、办理程序及时限等</w:t>
            </w:r>
          </w:p>
        </w:tc>
        <w:tc>
          <w:tcPr>
            <w:tcW w:w="1260"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《政府信息公开条例》、《自然灾害救助条例》</w:t>
            </w:r>
          </w:p>
        </w:tc>
        <w:tc>
          <w:tcPr>
            <w:tcW w:w="1196" w:type="dxa"/>
            <w:noWrap w:val="0"/>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720" w:type="dxa"/>
            <w:vMerge w:val="continue"/>
            <w:noWrap w:val="0"/>
            <w:vAlign w:val="center"/>
          </w:tcPr>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应急管理部门审批</w:t>
            </w:r>
          </w:p>
        </w:tc>
        <w:tc>
          <w:tcPr>
            <w:tcW w:w="2340"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救助款物通知及划拨情况</w:t>
            </w:r>
          </w:p>
        </w:tc>
        <w:tc>
          <w:tcPr>
            <w:tcW w:w="1260" w:type="dxa"/>
            <w:noWrap w:val="0"/>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《政府信息公开条例》、《自然灾害救助条例》</w:t>
            </w:r>
          </w:p>
        </w:tc>
        <w:tc>
          <w:tcPr>
            <w:tcW w:w="1196"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720"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灾后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救助</w:t>
            </w:r>
          </w:p>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因灾过渡期生活救助</w:t>
            </w:r>
          </w:p>
        </w:tc>
        <w:tc>
          <w:tcPr>
            <w:tcW w:w="2340"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因灾过渡期生活救助标准、过渡期生活救助对象评议结果公示（灾民姓名、受灾情况、拟救助金额、监督举报电话</w:t>
            </w:r>
            <w:r>
              <w:rPr>
                <w:rFonts w:hint="eastAsia" w:ascii="仿宋_GB2312" w:hAnsi="仿宋_GB2312" w:eastAsia="仿宋_GB2312" w:cs="仿宋_GB2312"/>
                <w:i w:val="0"/>
                <w:caps w:val="0"/>
                <w:color w:val="000000"/>
                <w:spacing w:val="0"/>
                <w:sz w:val="24"/>
                <w:szCs w:val="24"/>
                <w:shd w:val="clear" w:fill="FFFFFF"/>
                <w:lang w:eastAsia="zh-CN"/>
              </w:rPr>
              <w:t>）</w:t>
            </w:r>
            <w:r>
              <w:rPr>
                <w:rFonts w:hint="eastAsia" w:ascii="仿宋_GB2312" w:hAnsi="仿宋_GB2312" w:eastAsia="仿宋_GB2312" w:cs="仿宋_GB2312"/>
                <w:i w:val="0"/>
                <w:caps w:val="0"/>
                <w:color w:val="333333"/>
                <w:spacing w:val="0"/>
                <w:sz w:val="24"/>
                <w:szCs w:val="24"/>
                <w:shd w:val="clear" w:fill="FFFFFF"/>
              </w:rPr>
              <w:t> </w:t>
            </w:r>
            <w:r>
              <w:rPr>
                <w:rFonts w:hint="eastAsia" w:ascii="仿宋_GB2312" w:hAnsi="仿宋_GB2312" w:eastAsia="仿宋_GB2312" w:cs="仿宋_GB2312"/>
                <w:i w:val="0"/>
                <w:caps w:val="0"/>
                <w:color w:val="000000"/>
                <w:spacing w:val="0"/>
                <w:sz w:val="24"/>
                <w:szCs w:val="24"/>
                <w:shd w:val="clear" w:fill="FFFFFF"/>
              </w:rPr>
              <w:t>过渡期生活救助对象确定（灾民姓名、受灾情况、救助金额、监督举报电话</w:t>
            </w:r>
            <w:r>
              <w:rPr>
                <w:rFonts w:hint="eastAsia" w:ascii="仿宋_GB2312" w:hAnsi="仿宋_GB2312" w:eastAsia="仿宋_GB2312" w:cs="仿宋_GB2312"/>
                <w:i w:val="0"/>
                <w:caps w:val="0"/>
                <w:color w:val="333333"/>
                <w:spacing w:val="0"/>
                <w:sz w:val="24"/>
                <w:szCs w:val="24"/>
                <w:shd w:val="clear" w:fill="FFFFFF"/>
              </w:rPr>
              <w:t>)</w:t>
            </w:r>
          </w:p>
        </w:tc>
        <w:tc>
          <w:tcPr>
            <w:tcW w:w="1260" w:type="dxa"/>
            <w:noWrap w:val="0"/>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《政府信息公开条例》、《自然灾害救助条例》</w:t>
            </w:r>
          </w:p>
        </w:tc>
        <w:tc>
          <w:tcPr>
            <w:tcW w:w="1196"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7"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720" w:type="dxa"/>
            <w:vMerge w:val="continue"/>
            <w:noWrap w:val="0"/>
            <w:vAlign w:val="center"/>
          </w:tcPr>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居民住房恢复重建救助</w:t>
            </w:r>
          </w:p>
        </w:tc>
        <w:tc>
          <w:tcPr>
            <w:tcW w:w="2340"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居民住房恢复重建救助标准（居民因灾倒房、损房恢复重建具体救助标准）居民住房恢复重建救助对象评议结果公示（公开灾民姓名、受灾情况、拟救助标准、监督举报电话）</w:t>
            </w:r>
          </w:p>
          <w:p>
            <w:pPr>
              <w:jc w:val="both"/>
              <w:rPr>
                <w:rFonts w:hint="eastAsia" w:ascii="仿宋_GB2312" w:hAnsi="仿宋_GB2312" w:eastAsia="仿宋_GB2312" w:cs="仿宋_GB2312"/>
                <w:i w:val="0"/>
                <w:caps w:val="0"/>
                <w:color w:val="000000"/>
                <w:spacing w:val="0"/>
                <w:sz w:val="24"/>
                <w:szCs w:val="24"/>
                <w:shd w:val="clear" w:fill="FFFFFF"/>
              </w:rPr>
            </w:pPr>
          </w:p>
        </w:tc>
        <w:tc>
          <w:tcPr>
            <w:tcW w:w="1260" w:type="dxa"/>
            <w:noWrap w:val="0"/>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《政府信息公开条例》、《自然灾害救助条例》</w:t>
            </w:r>
          </w:p>
        </w:tc>
        <w:tc>
          <w:tcPr>
            <w:tcW w:w="1196"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信息形成或变更之日起</w:t>
            </w:r>
            <w:r>
              <w:rPr>
                <w:rFonts w:hint="eastAsia" w:ascii="仿宋_GB2312" w:hAnsi="仿宋_GB2312" w:eastAsia="仿宋_GB2312" w:cs="仿宋_GB2312"/>
                <w:i w:val="0"/>
                <w:caps w:val="0"/>
                <w:color w:val="333333"/>
                <w:spacing w:val="0"/>
                <w:sz w:val="24"/>
                <w:szCs w:val="24"/>
                <w:shd w:val="clear" w:fill="FFFFFF"/>
              </w:rPr>
              <w:t>20</w:t>
            </w:r>
            <w:r>
              <w:rPr>
                <w:rFonts w:hint="eastAsia" w:ascii="仿宋_GB2312" w:hAnsi="仿宋_GB2312" w:eastAsia="仿宋_GB2312" w:cs="仿宋_GB2312"/>
                <w:i w:val="0"/>
                <w:caps w:val="0"/>
                <w:color w:val="000000"/>
                <w:spacing w:val="0"/>
                <w:sz w:val="24"/>
                <w:szCs w:val="24"/>
                <w:shd w:val="clear" w:fill="FFFFFF"/>
              </w:rPr>
              <w:t>个工作日内</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20" w:type="dxa"/>
            <w:vMerge w:val="restart"/>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款物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管理</w:t>
            </w:r>
          </w:p>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捐赠款物信息</w:t>
            </w:r>
          </w:p>
        </w:tc>
        <w:tc>
          <w:tcPr>
            <w:tcW w:w="2340"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年度捐赠款物信息以及款物使用情况</w:t>
            </w:r>
          </w:p>
        </w:tc>
        <w:tc>
          <w:tcPr>
            <w:tcW w:w="1260" w:type="dxa"/>
            <w:noWrap w:val="0"/>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《政府信息公开条例》</w:t>
            </w:r>
          </w:p>
        </w:tc>
        <w:tc>
          <w:tcPr>
            <w:tcW w:w="1196"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按进展情况及时公开</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20" w:type="dxa"/>
            <w:vMerge w:val="continue"/>
            <w:noWrap w:val="0"/>
            <w:vAlign w:val="center"/>
          </w:tcPr>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年度款物使用情况</w:t>
            </w:r>
          </w:p>
        </w:tc>
        <w:tc>
          <w:tcPr>
            <w:tcW w:w="2340"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年度救灾资金和救灾物资等使用情况</w:t>
            </w:r>
          </w:p>
        </w:tc>
        <w:tc>
          <w:tcPr>
            <w:tcW w:w="1260" w:type="dxa"/>
            <w:noWrap w:val="0"/>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《政府信息公开条例》</w:t>
            </w:r>
          </w:p>
        </w:tc>
        <w:tc>
          <w:tcPr>
            <w:tcW w:w="1196"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按进展情况及时公开</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8" w:hRule="atLeast"/>
        </w:trPr>
        <w:tc>
          <w:tcPr>
            <w:tcW w:w="540" w:type="dxa"/>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20"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jc w:val="both"/>
              <w:rPr>
                <w:rFonts w:hint="eastAsia" w:ascii="仿宋_GB2312" w:hAnsi="仿宋_GB2312" w:eastAsia="仿宋_GB2312" w:cs="仿宋_GB2312"/>
                <w:i w:val="0"/>
                <w:caps w:val="0"/>
                <w:color w:val="333333"/>
                <w:spacing w:val="0"/>
                <w:sz w:val="24"/>
                <w:szCs w:val="24"/>
              </w:rPr>
            </w:pPr>
            <w:r>
              <w:rPr>
                <w:rFonts w:hint="eastAsia" w:ascii="仿宋_GB2312" w:hAnsi="仿宋_GB2312" w:eastAsia="仿宋_GB2312" w:cs="仿宋_GB2312"/>
                <w:i w:val="0"/>
                <w:caps w:val="0"/>
                <w:color w:val="000000"/>
                <w:spacing w:val="0"/>
                <w:kern w:val="0"/>
                <w:sz w:val="24"/>
                <w:szCs w:val="24"/>
                <w:shd w:val="clear" w:fill="FFFFFF"/>
                <w:lang w:val="en-US" w:eastAsia="zh-CN" w:bidi="ar"/>
              </w:rPr>
              <w:t>动态</w:t>
            </w:r>
          </w:p>
          <w:p>
            <w:pPr>
              <w:jc w:val="center"/>
              <w:rPr>
                <w:rFonts w:hint="eastAsia" w:ascii="仿宋_GB2312" w:hAnsi="仿宋_GB2312" w:eastAsia="仿宋_GB2312" w:cs="仿宋_GB2312"/>
                <w:sz w:val="24"/>
                <w:szCs w:val="24"/>
              </w:rPr>
            </w:pPr>
          </w:p>
        </w:tc>
        <w:tc>
          <w:tcPr>
            <w:tcW w:w="720" w:type="dxa"/>
            <w:noWrap w:val="0"/>
            <w:vAlign w:val="center"/>
          </w:tcPr>
          <w:p>
            <w:pPr>
              <w:jc w:val="center"/>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工作信息</w:t>
            </w:r>
          </w:p>
        </w:tc>
        <w:tc>
          <w:tcPr>
            <w:tcW w:w="2340"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防灾减灾救灾其他相关动态信息</w:t>
            </w:r>
          </w:p>
        </w:tc>
        <w:tc>
          <w:tcPr>
            <w:tcW w:w="1260" w:type="dxa"/>
            <w:noWrap w:val="0"/>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县应急管理部门</w:t>
            </w:r>
          </w:p>
        </w:tc>
        <w:tc>
          <w:tcPr>
            <w:tcW w:w="1504"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《政府信息公开条例》</w:t>
            </w:r>
          </w:p>
        </w:tc>
        <w:tc>
          <w:tcPr>
            <w:tcW w:w="1196" w:type="dxa"/>
            <w:noWrap w:val="0"/>
            <w:vAlign w:val="center"/>
          </w:tcPr>
          <w:p>
            <w:pPr>
              <w:jc w:val="left"/>
              <w:rPr>
                <w:rFonts w:hint="eastAsia" w:ascii="仿宋_GB2312" w:hAnsi="仿宋_GB2312" w:eastAsia="仿宋_GB2312" w:cs="仿宋_GB2312"/>
                <w:i w:val="0"/>
                <w:caps w:val="0"/>
                <w:color w:val="000000"/>
                <w:spacing w:val="0"/>
                <w:sz w:val="24"/>
                <w:szCs w:val="24"/>
                <w:shd w:val="clear" w:fill="FFFFFF"/>
              </w:rPr>
            </w:pPr>
            <w:r>
              <w:rPr>
                <w:rFonts w:hint="eastAsia" w:ascii="仿宋_GB2312" w:hAnsi="仿宋_GB2312" w:eastAsia="仿宋_GB2312" w:cs="仿宋_GB2312"/>
                <w:i w:val="0"/>
                <w:caps w:val="0"/>
                <w:color w:val="000000"/>
                <w:spacing w:val="0"/>
                <w:sz w:val="24"/>
                <w:szCs w:val="24"/>
                <w:shd w:val="clear" w:fill="FFFFFF"/>
              </w:rPr>
              <w:t>按进展情况及时公开</w:t>
            </w:r>
          </w:p>
        </w:tc>
        <w:tc>
          <w:tcPr>
            <w:tcW w:w="1834" w:type="dxa"/>
            <w:noWrap w:val="0"/>
            <w:vAlign w:val="center"/>
          </w:tcPr>
          <w:p>
            <w:pPr>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政府网站</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公开查阅点</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政务服务中心</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公示栏</w:t>
            </w:r>
          </w:p>
          <w:p>
            <w:pPr>
              <w:jc w:val="left"/>
              <w:rPr>
                <w:rFonts w:hint="eastAsia" w:ascii="宋体" w:hAnsi="宋体" w:cs="宋体"/>
                <w:sz w:val="18"/>
                <w:szCs w:val="18"/>
              </w:rPr>
            </w:pPr>
            <w:r>
              <w:rPr>
                <w:rFonts w:hint="eastAsia" w:ascii="宋体" w:hAnsi="宋体" w:cs="宋体"/>
                <w:sz w:val="18"/>
                <w:szCs w:val="18"/>
              </w:rPr>
              <w:t>□发布会</w:t>
            </w:r>
          </w:p>
          <w:p>
            <w:pPr>
              <w:jc w:val="left"/>
              <w:rPr>
                <w:rFonts w:hint="eastAsia" w:ascii="宋体" w:hAnsi="宋体" w:cs="宋体"/>
                <w:sz w:val="18"/>
                <w:szCs w:val="18"/>
              </w:rPr>
            </w:pPr>
            <w:r>
              <w:rPr>
                <w:rFonts w:hint="eastAsia" w:ascii="宋体" w:hAnsi="宋体" w:cs="宋体"/>
                <w:sz w:val="18"/>
                <w:szCs w:val="18"/>
              </w:rPr>
              <w:sym w:font="Wingdings 2" w:char="0052"/>
            </w:r>
            <w:r>
              <w:rPr>
                <w:rFonts w:hint="eastAsia" w:ascii="宋体" w:hAnsi="宋体" w:cs="宋体"/>
                <w:sz w:val="18"/>
                <w:szCs w:val="18"/>
              </w:rPr>
              <w:t>两微一端</w:t>
            </w:r>
          </w:p>
          <w:p>
            <w:pPr>
              <w:jc w:val="left"/>
              <w:rPr>
                <w:rFonts w:hint="eastAsia" w:ascii="宋体" w:hAnsi="宋体" w:cs="宋体"/>
                <w:b/>
                <w:bCs/>
                <w:sz w:val="18"/>
                <w:szCs w:val="18"/>
              </w:rPr>
            </w:pPr>
            <w:r>
              <w:rPr>
                <w:rFonts w:hint="eastAsia" w:ascii="宋体" w:hAnsi="宋体" w:cs="宋体"/>
                <w:sz w:val="18"/>
                <w:szCs w:val="18"/>
              </w:rPr>
              <w:sym w:font="Wingdings 2" w:char="00A3"/>
            </w:r>
            <w:r>
              <w:rPr>
                <w:rFonts w:hint="eastAsia" w:ascii="宋体" w:hAnsi="宋体" w:cs="宋体"/>
                <w:sz w:val="18"/>
                <w:szCs w:val="18"/>
              </w:rPr>
              <w:t>其他</w:t>
            </w:r>
          </w:p>
        </w:tc>
        <w:tc>
          <w:tcPr>
            <w:tcW w:w="93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675" w:type="dxa"/>
            <w:noWrap w:val="0"/>
            <w:vAlign w:val="center"/>
          </w:tcPr>
          <w:p>
            <w:pPr>
              <w:jc w:val="center"/>
              <w:rPr>
                <w:rFonts w:hint="eastAsia" w:ascii="宋体" w:hAnsi="宋体" w:cs="宋体"/>
                <w:sz w:val="18"/>
                <w:szCs w:val="18"/>
              </w:rPr>
            </w:pPr>
          </w:p>
        </w:tc>
        <w:tc>
          <w:tcPr>
            <w:tcW w:w="675"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30" w:type="dxa"/>
            <w:noWrap w:val="0"/>
            <w:vAlign w:val="center"/>
          </w:tcPr>
          <w:p>
            <w:pPr>
              <w:jc w:val="center"/>
              <w:rPr>
                <w:rFonts w:hint="eastAsia" w:ascii="宋体" w:hAnsi="宋体" w:cs="宋体"/>
                <w:sz w:val="18"/>
                <w:szCs w:val="18"/>
              </w:rPr>
            </w:pPr>
          </w:p>
        </w:tc>
        <w:tc>
          <w:tcPr>
            <w:tcW w:w="810" w:type="dxa"/>
            <w:noWrap w:val="0"/>
            <w:vAlign w:val="center"/>
          </w:tcPr>
          <w:p>
            <w:pPr>
              <w:jc w:val="center"/>
              <w:rPr>
                <w:rFonts w:hint="eastAsia" w:ascii="宋体" w:hAnsi="宋体" w:cs="宋体"/>
                <w:sz w:val="18"/>
                <w:szCs w:val="18"/>
              </w:rPr>
            </w:pPr>
            <w:r>
              <w:rPr>
                <w:rFonts w:hint="eastAsia" w:ascii="宋体" w:hAnsi="宋体" w:cs="宋体"/>
                <w:sz w:val="18"/>
                <w:szCs w:val="18"/>
              </w:rPr>
              <w:t>√</w:t>
            </w:r>
          </w:p>
        </w:tc>
        <w:tc>
          <w:tcPr>
            <w:tcW w:w="949" w:type="dxa"/>
            <w:noWrap w:val="0"/>
            <w:vAlign w:val="center"/>
          </w:tcPr>
          <w:p>
            <w:pPr>
              <w:jc w:val="center"/>
              <w:rPr>
                <w:rFonts w:hint="eastAsia" w:ascii="宋体" w:hAnsi="宋体" w:cs="宋体"/>
                <w:sz w:val="18"/>
                <w:szCs w:val="18"/>
              </w:rPr>
            </w:pPr>
          </w:p>
        </w:tc>
      </w:tr>
    </w:tbl>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D2A55"/>
    <w:rsid w:val="1132639B"/>
    <w:rsid w:val="18A52272"/>
    <w:rsid w:val="1A1167BE"/>
    <w:rsid w:val="2D63111B"/>
    <w:rsid w:val="2FF83D67"/>
    <w:rsid w:val="386F5EAC"/>
    <w:rsid w:val="3F7D28FD"/>
    <w:rsid w:val="4E4A41EE"/>
    <w:rsid w:val="4FDE7C04"/>
    <w:rsid w:val="51B04751"/>
    <w:rsid w:val="56512268"/>
    <w:rsid w:val="64FD2446"/>
    <w:rsid w:val="6580332A"/>
    <w:rsid w:val="69FF52B8"/>
    <w:rsid w:val="76AC1801"/>
    <w:rsid w:val="7D3D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2020-09-16T03:20:00Z</dcterms:created>
  <dc:creator>Administrator</dc:creator>
  <cp:lastModifiedBy>Administrator</cp:lastModifiedBy>
  <dcterms:modified xsi:type="dcterms:W3CDTF">2020-09-27T02:09:53Z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