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N w:val="0"/>
        <w:jc w:val="center"/>
        <w:rPr>
          <w:rFonts w:ascii="方正小标宋_GBK" w:eastAsia="方正小标宋_GBK"/>
          <w:b w:val="0"/>
          <w:bCs w:val="0"/>
          <w:sz w:val="30"/>
          <w:szCs w:val="30"/>
        </w:rPr>
      </w:pPr>
      <w:bookmarkStart w:id="1" w:name="_GoBack"/>
      <w:bookmarkEnd w:id="1"/>
      <w:bookmarkStart w:id="0" w:name="_Toc24724726"/>
      <w:r>
        <w:rPr>
          <w:rFonts w:hint="eastAsia" w:ascii="方正小标宋_GBK" w:eastAsia="方正小标宋_GBK"/>
          <w:b w:val="0"/>
          <w:bCs w:val="0"/>
          <w:sz w:val="30"/>
          <w:szCs w:val="30"/>
        </w:rPr>
        <w:t>救灾生产领域基层政务公开标准目录</w:t>
      </w:r>
      <w:bookmarkEnd w:id="0"/>
    </w:p>
    <w:tbl>
      <w:tblPr>
        <w:tblStyle w:val="3"/>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仿宋_GB2312" w:eastAsia="仿宋_GB2312"/>
                <w:color w:val="000000"/>
                <w:kern w:val="0"/>
                <w:sz w:val="18"/>
                <w:szCs w:val="18"/>
              </w:rPr>
            </w:pPr>
            <w:r>
              <w:rPr>
                <w:rFonts w:hint="eastAsia" w:ascii="黑体" w:hAnsi="黑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黑体" w:hAnsi="黑体" w:eastAsia="黑体" w:cs="宋体"/>
                <w:kern w:val="0"/>
                <w:sz w:val="22"/>
              </w:rPr>
            </w:pPr>
            <w:r>
              <w:rPr>
                <w:rFonts w:hint="eastAsia" w:ascii="黑体" w:hAnsi="黑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rPr>
            </w:pPr>
          </w:p>
        </w:tc>
        <w:tc>
          <w:tcPr>
            <w:tcW w:w="540" w:type="dxa"/>
            <w:tcBorders>
              <w:top w:val="nil"/>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县级</w:t>
            </w:r>
          </w:p>
        </w:tc>
        <w:tc>
          <w:tcPr>
            <w:tcW w:w="664" w:type="dxa"/>
            <w:tcBorders>
              <w:top w:val="nil"/>
              <w:left w:val="nil"/>
              <w:bottom w:val="single" w:color="auto" w:sz="4" w:space="0"/>
              <w:right w:val="single" w:color="auto" w:sz="4" w:space="0"/>
            </w:tcBorders>
            <w:vAlign w:val="center"/>
          </w:tcPr>
          <w:p>
            <w:pPr>
              <w:widowControl/>
              <w:autoSpaceDN w:val="0"/>
              <w:jc w:val="center"/>
              <w:rPr>
                <w:rFonts w:ascii="黑体" w:hAnsi="黑体" w:eastAsia="黑体" w:cs="宋体"/>
                <w:color w:val="000000"/>
                <w:kern w:val="0"/>
                <w:sz w:val="22"/>
              </w:rPr>
            </w:pPr>
            <w:r>
              <w:rPr>
                <w:rFonts w:hint="eastAsia" w:ascii="黑体" w:hAnsi="黑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olor w:val="000000"/>
                <w:sz w:val="18"/>
                <w:szCs w:val="18"/>
              </w:rPr>
              <w:t>1</w:t>
            </w:r>
          </w:p>
        </w:tc>
        <w:tc>
          <w:tcPr>
            <w:tcW w:w="900" w:type="dxa"/>
            <w:vMerge w:val="restart"/>
            <w:tcBorders>
              <w:top w:val="nil"/>
              <w:left w:val="nil"/>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政策</w:t>
            </w:r>
          </w:p>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olor w:val="000000"/>
                <w:sz w:val="18"/>
                <w:szCs w:val="18"/>
              </w:rPr>
              <w:t>2</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olor w:val="000000"/>
                <w:sz w:val="18"/>
                <w:szCs w:val="18"/>
              </w:rPr>
              <w:t>3</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olor w:val="000000"/>
                <w:sz w:val="18"/>
                <w:szCs w:val="18"/>
              </w:rPr>
              <w:t>4</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olor w:val="000000"/>
                <w:sz w:val="18"/>
                <w:szCs w:val="18"/>
              </w:rPr>
              <w:t>5</w:t>
            </w:r>
          </w:p>
        </w:tc>
        <w:tc>
          <w:tcPr>
            <w:tcW w:w="900" w:type="dxa"/>
            <w:vMerge w:val="restart"/>
            <w:tcBorders>
              <w:top w:val="nil"/>
              <w:left w:val="nil"/>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政策</w:t>
            </w:r>
          </w:p>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olor w:val="000000"/>
                <w:sz w:val="18"/>
                <w:szCs w:val="18"/>
              </w:rPr>
              <w:t>6</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olor w:val="000000"/>
                <w:sz w:val="18"/>
                <w:szCs w:val="18"/>
              </w:rPr>
            </w:pPr>
            <w:r>
              <w:rPr>
                <w:rFonts w:ascii="仿宋_GB2312" w:eastAsia="仿宋_GB2312"/>
                <w:color w:val="000000"/>
                <w:sz w:val="18"/>
                <w:szCs w:val="18"/>
              </w:rPr>
              <w:t>1</w:t>
            </w:r>
            <w:r>
              <w:rPr>
                <w:rFonts w:hint="eastAsia" w:ascii="仿宋_GB2312" w:eastAsia="仿宋_GB2312"/>
                <w:color w:val="000000"/>
                <w:sz w:val="18"/>
                <w:szCs w:val="18"/>
              </w:rPr>
              <w:t>、有关重大政策的解读及回应</w:t>
            </w:r>
            <w:r>
              <w:rPr>
                <w:rFonts w:ascii="仿宋_GB2312" w:eastAsia="仿宋_GB2312"/>
                <w:color w:val="000000"/>
                <w:sz w:val="18"/>
                <w:szCs w:val="18"/>
              </w:rPr>
              <w:t xml:space="preserve">                       </w:t>
            </w:r>
          </w:p>
          <w:p>
            <w:pPr>
              <w:autoSpaceDN w:val="0"/>
              <w:rPr>
                <w:rFonts w:ascii="仿宋_GB2312" w:eastAsia="仿宋_GB2312" w:cs="宋体"/>
                <w:color w:val="000000"/>
                <w:sz w:val="18"/>
                <w:szCs w:val="18"/>
              </w:rPr>
            </w:pPr>
            <w:r>
              <w:rPr>
                <w:rFonts w:ascii="仿宋_GB2312" w:eastAsia="仿宋_GB2312"/>
                <w:color w:val="000000"/>
                <w:sz w:val="18"/>
                <w:szCs w:val="18"/>
              </w:rPr>
              <w:t>2</w:t>
            </w: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olor w:val="000000"/>
                <w:sz w:val="18"/>
                <w:szCs w:val="18"/>
              </w:rPr>
              <w:t>7</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olor w:val="000000"/>
                <w:sz w:val="18"/>
                <w:szCs w:val="18"/>
              </w:rPr>
              <w:t>8</w:t>
            </w:r>
          </w:p>
        </w:tc>
        <w:tc>
          <w:tcPr>
            <w:tcW w:w="900" w:type="dxa"/>
            <w:tcBorders>
              <w:top w:val="nil"/>
              <w:left w:val="nil"/>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政策</w:t>
            </w:r>
          </w:p>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p>
            <w:pPr>
              <w:autoSpaceDN w:val="0"/>
              <w:spacing w:line="240" w:lineRule="exact"/>
              <w:jc w:val="left"/>
              <w:rPr>
                <w:rFonts w:ascii="仿宋_GB2312" w:eastAsia="仿宋_GB2312" w:cs="宋体"/>
                <w:sz w:val="18"/>
                <w:szCs w:val="18"/>
              </w:rPr>
            </w:pP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9</w:t>
            </w:r>
          </w:p>
        </w:tc>
        <w:tc>
          <w:tcPr>
            <w:tcW w:w="900" w:type="dxa"/>
            <w:vMerge w:val="restart"/>
            <w:tcBorders>
              <w:top w:val="nil"/>
              <w:left w:val="nil"/>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备灾</w:t>
            </w:r>
          </w:p>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《政府信息公开条例》、《社会救助暂行办法》、《国家综合防灾减灾规划（</w:t>
            </w:r>
            <w:r>
              <w:rPr>
                <w:rFonts w:ascii="仿宋_GB2312" w:eastAsia="仿宋_GB2312"/>
                <w:sz w:val="18"/>
                <w:szCs w:val="18"/>
              </w:rPr>
              <w:t>2016-2020</w:t>
            </w:r>
            <w:r>
              <w:rPr>
                <w:rFonts w:hint="eastAsia" w:ascii="仿宋_GB2312" w:eastAsia="仿宋_GB2312"/>
                <w:sz w:val="18"/>
                <w:szCs w:val="18"/>
              </w:rPr>
              <w:t>年）》</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信息形成或变更之日起</w:t>
            </w:r>
            <w:r>
              <w:rPr>
                <w:rFonts w:ascii="仿宋_GB2312" w:eastAsia="仿宋_GB2312"/>
                <w:sz w:val="18"/>
                <w:szCs w:val="18"/>
              </w:rPr>
              <w:t>20</w:t>
            </w:r>
            <w:r>
              <w:rPr>
                <w:rFonts w:hint="eastAsia" w:ascii="仿宋_GB2312" w:eastAsia="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r>
              <w:rPr>
                <w:rFonts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10</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信息形成或变更之日起</w:t>
            </w:r>
            <w:r>
              <w:rPr>
                <w:rFonts w:ascii="仿宋_GB2312" w:eastAsia="仿宋_GB2312"/>
                <w:sz w:val="18"/>
                <w:szCs w:val="18"/>
              </w:rPr>
              <w:t>20</w:t>
            </w:r>
            <w:r>
              <w:rPr>
                <w:rFonts w:hint="eastAsia" w:ascii="仿宋_GB2312" w:eastAsia="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r>
              <w:rPr>
                <w:rFonts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11</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eastAsia="仿宋_GB2312"/>
                <w:sz w:val="18"/>
                <w:szCs w:val="18"/>
              </w:rPr>
            </w:pPr>
            <w:r>
              <w:rPr>
                <w:rFonts w:hint="eastAsia" w:ascii="仿宋_GB2312" w:eastAsia="仿宋_GB2312"/>
                <w:sz w:val="18"/>
                <w:szCs w:val="18"/>
              </w:rPr>
              <w:t>■政府网站</w:t>
            </w:r>
          </w:p>
          <w:p>
            <w:pPr>
              <w:autoSpaceDN w:val="0"/>
              <w:spacing w:line="240" w:lineRule="exact"/>
              <w:jc w:val="lef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12</w:t>
            </w:r>
          </w:p>
        </w:tc>
        <w:tc>
          <w:tcPr>
            <w:tcW w:w="900" w:type="dxa"/>
            <w:tcBorders>
              <w:top w:val="nil"/>
              <w:left w:val="nil"/>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灾后</w:t>
            </w:r>
          </w:p>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13</w:t>
            </w:r>
          </w:p>
        </w:tc>
        <w:tc>
          <w:tcPr>
            <w:tcW w:w="900" w:type="dxa"/>
            <w:tcBorders>
              <w:top w:val="nil"/>
              <w:left w:val="nil"/>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灾后</w:t>
            </w:r>
          </w:p>
          <w:p>
            <w:pPr>
              <w:autoSpaceDN w:val="0"/>
              <w:jc w:val="center"/>
              <w:rPr>
                <w:rFonts w:ascii="仿宋_GB2312" w:eastAsia="仿宋_GB2312" w:cs="宋体"/>
                <w:color w:val="000000"/>
                <w:sz w:val="18"/>
                <w:szCs w:val="18"/>
              </w:rPr>
            </w:pPr>
            <w:r>
              <w:rPr>
                <w:rFonts w:hint="eastAsia" w:ascii="仿宋_GB2312"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自然灾害救助（</w:t>
            </w:r>
            <w:r>
              <w:rPr>
                <w:rFonts w:ascii="仿宋_GB2312" w:eastAsia="仿宋_GB2312"/>
                <w:color w:val="000000"/>
                <w:sz w:val="18"/>
                <w:szCs w:val="18"/>
              </w:rPr>
              <w:t>6</w:t>
            </w:r>
            <w:r>
              <w:rPr>
                <w:rFonts w:hint="eastAsia" w:ascii="仿宋_GB2312" w:eastAsia="仿宋_GB2312"/>
                <w:color w:val="000000"/>
                <w:sz w:val="18"/>
                <w:szCs w:val="18"/>
              </w:rPr>
              <w:t>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14</w:t>
            </w:r>
          </w:p>
        </w:tc>
        <w:tc>
          <w:tcPr>
            <w:tcW w:w="900" w:type="dxa"/>
            <w:vMerge w:val="restart"/>
            <w:tcBorders>
              <w:top w:val="nil"/>
              <w:left w:val="nil"/>
              <w:bottom w:val="single" w:color="auto" w:sz="4" w:space="0"/>
              <w:right w:val="single" w:color="auto" w:sz="4" w:space="0"/>
            </w:tcBorders>
            <w:vAlign w:val="center"/>
          </w:tcPr>
          <w:p>
            <w:pPr>
              <w:autoSpaceDN w:val="0"/>
              <w:jc w:val="center"/>
              <w:rPr>
                <w:rFonts w:ascii="仿宋_GB2312" w:eastAsia="仿宋_GB2312"/>
                <w:sz w:val="18"/>
                <w:szCs w:val="18"/>
              </w:rPr>
            </w:pPr>
            <w:r>
              <w:rPr>
                <w:rFonts w:hint="eastAsia" w:ascii="仿宋_GB2312" w:eastAsia="仿宋_GB2312"/>
                <w:sz w:val="18"/>
                <w:szCs w:val="18"/>
              </w:rPr>
              <w:t>灾害</w:t>
            </w:r>
          </w:p>
          <w:p>
            <w:pPr>
              <w:autoSpaceDN w:val="0"/>
              <w:jc w:val="center"/>
              <w:rPr>
                <w:rFonts w:ascii="仿宋_GB2312"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15</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w:t>
            </w:r>
            <w:r>
              <w:rPr>
                <w:rFonts w:ascii="仿宋_GB2312" w:eastAsia="仿宋_GB2312"/>
                <w:sz w:val="18"/>
                <w:szCs w:val="18"/>
              </w:rPr>
              <w:t xml:space="preserve">                                         </w:t>
            </w:r>
            <w:r>
              <w:rPr>
                <w:rFonts w:hint="eastAsia" w:ascii="仿宋_GB2312" w:eastAsia="仿宋_GB2312"/>
                <w:sz w:val="18"/>
                <w:szCs w:val="18"/>
              </w:rPr>
              <w:t>过渡期生活救助对象确定（灾民姓名、受灾情况、救助金额、监督举报电话</w:t>
            </w:r>
            <w:r>
              <w:rPr>
                <w:rFonts w:ascii="仿宋_GB2312" w:eastAsia="仿宋_GB2312"/>
                <w:sz w:val="18"/>
                <w:szCs w:val="18"/>
              </w:rPr>
              <w:t>)</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16</w:t>
            </w:r>
          </w:p>
        </w:tc>
        <w:tc>
          <w:tcPr>
            <w:tcW w:w="900" w:type="dxa"/>
            <w:tcBorders>
              <w:top w:val="nil"/>
              <w:left w:val="nil"/>
              <w:bottom w:val="single" w:color="auto" w:sz="4" w:space="0"/>
              <w:right w:val="single" w:color="auto" w:sz="4" w:space="0"/>
            </w:tcBorders>
            <w:vAlign w:val="center"/>
          </w:tcPr>
          <w:p>
            <w:pPr>
              <w:autoSpaceDN w:val="0"/>
              <w:jc w:val="center"/>
              <w:rPr>
                <w:rFonts w:ascii="仿宋_GB2312" w:eastAsia="仿宋_GB2312"/>
                <w:sz w:val="18"/>
                <w:szCs w:val="18"/>
              </w:rPr>
            </w:pPr>
            <w:r>
              <w:rPr>
                <w:rFonts w:hint="eastAsia" w:ascii="仿宋_GB2312" w:eastAsia="仿宋_GB2312"/>
                <w:sz w:val="18"/>
                <w:szCs w:val="18"/>
              </w:rPr>
              <w:t>灾后</w:t>
            </w:r>
          </w:p>
          <w:p>
            <w:pPr>
              <w:autoSpaceDN w:val="0"/>
              <w:jc w:val="center"/>
              <w:rPr>
                <w:rFonts w:ascii="仿宋_GB2312"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sz w:val="18"/>
                <w:szCs w:val="18"/>
              </w:rPr>
            </w:pPr>
            <w:r>
              <w:rPr>
                <w:rFonts w:hint="eastAsia" w:ascii="仿宋_GB2312" w:eastAsia="仿宋_GB2312"/>
                <w:sz w:val="18"/>
                <w:szCs w:val="18"/>
              </w:rPr>
              <w:t>居民住房恢复重建救助标准（居民因灾倒房、损房恢复重建具体救助标准）</w:t>
            </w:r>
            <w:r>
              <w:rPr>
                <w:rFonts w:ascii="仿宋_GB2312" w:eastAsia="仿宋_GB2312"/>
                <w:sz w:val="18"/>
                <w:szCs w:val="18"/>
              </w:rPr>
              <w:t xml:space="preserve">                            </w:t>
            </w:r>
          </w:p>
          <w:p>
            <w:pPr>
              <w:autoSpaceDN w:val="0"/>
              <w:rPr>
                <w:rFonts w:ascii="仿宋_GB2312"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信息形成或变更之日起</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17</w:t>
            </w:r>
          </w:p>
        </w:tc>
        <w:tc>
          <w:tcPr>
            <w:tcW w:w="900" w:type="dxa"/>
            <w:vMerge w:val="restart"/>
            <w:tcBorders>
              <w:top w:val="nil"/>
              <w:left w:val="nil"/>
              <w:bottom w:val="single" w:color="auto" w:sz="4" w:space="0"/>
              <w:right w:val="single" w:color="auto" w:sz="4" w:space="0"/>
            </w:tcBorders>
            <w:vAlign w:val="center"/>
          </w:tcPr>
          <w:p>
            <w:pPr>
              <w:autoSpaceDN w:val="0"/>
              <w:jc w:val="center"/>
              <w:rPr>
                <w:rFonts w:ascii="仿宋_GB2312" w:eastAsia="仿宋_GB2312"/>
                <w:sz w:val="18"/>
                <w:szCs w:val="18"/>
              </w:rPr>
            </w:pPr>
            <w:r>
              <w:rPr>
                <w:rFonts w:hint="eastAsia" w:ascii="仿宋_GB2312" w:eastAsia="仿宋_GB2312"/>
                <w:sz w:val="18"/>
                <w:szCs w:val="18"/>
              </w:rPr>
              <w:t>款物</w:t>
            </w:r>
          </w:p>
          <w:p>
            <w:pPr>
              <w:autoSpaceDN w:val="0"/>
              <w:jc w:val="center"/>
              <w:rPr>
                <w:rFonts w:ascii="仿宋_GB2312"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18</w:t>
            </w:r>
          </w:p>
        </w:tc>
        <w:tc>
          <w:tcPr>
            <w:tcW w:w="198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_GB2312" w:eastAsia="仿宋_GB2312" w:cs="宋体"/>
                <w:color w:val="000000"/>
                <w:sz w:val="18"/>
                <w:szCs w:val="18"/>
              </w:rPr>
            </w:pPr>
            <w:r>
              <w:rPr>
                <w:rFonts w:ascii="仿宋_GB2312" w:eastAsia="仿宋_GB2312" w:cs="宋体"/>
                <w:color w:val="000000"/>
                <w:sz w:val="18"/>
                <w:szCs w:val="18"/>
              </w:rPr>
              <w:t>19</w:t>
            </w:r>
          </w:p>
        </w:tc>
        <w:tc>
          <w:tcPr>
            <w:tcW w:w="900" w:type="dxa"/>
            <w:tcBorders>
              <w:top w:val="nil"/>
              <w:left w:val="nil"/>
              <w:bottom w:val="single" w:color="auto" w:sz="4" w:space="0"/>
              <w:right w:val="single" w:color="auto" w:sz="4" w:space="0"/>
            </w:tcBorders>
            <w:vAlign w:val="center"/>
          </w:tcPr>
          <w:p>
            <w:pPr>
              <w:autoSpaceDN w:val="0"/>
              <w:jc w:val="center"/>
              <w:rPr>
                <w:rFonts w:ascii="仿宋_GB2312" w:eastAsia="仿宋_GB2312"/>
                <w:color w:val="000000"/>
                <w:sz w:val="18"/>
                <w:szCs w:val="18"/>
              </w:rPr>
            </w:pPr>
            <w:r>
              <w:rPr>
                <w:rFonts w:hint="eastAsia" w:ascii="仿宋_GB2312" w:eastAsia="仿宋_GB2312"/>
                <w:color w:val="000000"/>
                <w:sz w:val="18"/>
                <w:szCs w:val="18"/>
              </w:rPr>
              <w:t>工作</w:t>
            </w:r>
          </w:p>
          <w:p>
            <w:pPr>
              <w:autoSpaceDN w:val="0"/>
              <w:jc w:val="center"/>
              <w:rPr>
                <w:rFonts w:ascii="仿宋_GB2312"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autoSpaceDN w:val="0"/>
              <w:rPr>
                <w:rFonts w:ascii="仿宋_GB2312" w:eastAsia="仿宋_GB2312" w:cs="宋体"/>
                <w:sz w:val="18"/>
                <w:szCs w:val="18"/>
              </w:rPr>
            </w:pPr>
            <w:r>
              <w:rPr>
                <w:rFonts w:hint="eastAsia" w:ascii="仿宋_GB2312" w:eastAsia="仿宋_GB2312"/>
                <w:sz w:val="18"/>
                <w:szCs w:val="18"/>
              </w:rPr>
              <w:t>√</w:t>
            </w:r>
          </w:p>
        </w:tc>
      </w:tr>
    </w:tbl>
    <w:p>
      <w:pPr>
        <w:autoSpaceDN w:val="0"/>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F23"/>
    <w:rsid w:val="00077E45"/>
    <w:rsid w:val="00484406"/>
    <w:rsid w:val="004C60C7"/>
    <w:rsid w:val="00547B55"/>
    <w:rsid w:val="005B3B00"/>
    <w:rsid w:val="005D3986"/>
    <w:rsid w:val="007A72EA"/>
    <w:rsid w:val="007D2C68"/>
    <w:rsid w:val="00886E08"/>
    <w:rsid w:val="009041A7"/>
    <w:rsid w:val="00934EB3"/>
    <w:rsid w:val="00977A4E"/>
    <w:rsid w:val="009A7F86"/>
    <w:rsid w:val="00C96F23"/>
    <w:rsid w:val="00E67A59"/>
    <w:rsid w:val="0E3F2C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99"/>
    <w:pPr>
      <w:keepNext/>
      <w:keepLines/>
      <w:spacing w:before="340" w:after="330" w:line="578" w:lineRule="auto"/>
      <w:outlineLvl w:val="0"/>
    </w:pPr>
    <w:rPr>
      <w:rFonts w:cs="宋体"/>
      <w:b/>
      <w:bCs/>
      <w:kern w:val="44"/>
      <w:sz w:val="44"/>
      <w:szCs w:val="44"/>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4"/>
    <w:link w:val="2"/>
    <w:locked/>
    <w:uiPriority w:val="99"/>
    <w:rPr>
      <w:rFonts w:ascii="Calibri" w:hAnsi="Calibri" w:eastAsia="宋体" w:cs="宋体"/>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912</Words>
  <Characters>5204</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2020-09-25T01:26:00Z</dcterms:created>
  <dc:creator>Microsoft</dc:creator>
  <cp:lastModifiedBy>中杰者</cp:lastModifiedBy>
  <cp:lastPrinted>2020-09-17T02:14:00Z</cp:lastPrinted>
  <dcterms:modified xsi:type="dcterms:W3CDTF">2020-12-16T21:00:18Z</dcterms:modified>
  <dc:title>安全生产领域基层政务公开标准目录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