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jc w:val="center"/>
        <w:rPr>
          <w:rFonts w:hint="eastAsia" w:ascii="方正小标宋简体" w:hAnsi="方正小标宋简体" w:eastAsia="方正小标宋简体" w:cs="方正小标宋简体"/>
          <w:bCs/>
          <w:kern w:val="0"/>
          <w:sz w:val="44"/>
          <w:szCs w:val="44"/>
          <w:lang w:bidi="ar"/>
        </w:rPr>
      </w:pPr>
      <w:bookmarkStart w:id="0" w:name="_GoBack"/>
      <w:r>
        <w:rPr>
          <w:rFonts w:hint="eastAsia" w:ascii="方正小标宋简体" w:hAnsi="方正小标宋简体" w:eastAsia="方正小标宋简体" w:cs="方正小标宋简体"/>
          <w:bCs/>
          <w:kern w:val="0"/>
          <w:sz w:val="44"/>
          <w:szCs w:val="44"/>
          <w:lang w:eastAsia="zh-CN" w:bidi="ar"/>
        </w:rPr>
        <w:t>容县应急管理局</w:t>
      </w:r>
      <w:r>
        <w:rPr>
          <w:rFonts w:hint="eastAsia" w:ascii="方正小标宋简体" w:hAnsi="方正小标宋简体" w:eastAsia="方正小标宋简体" w:cs="方正小标宋简体"/>
          <w:bCs/>
          <w:kern w:val="0"/>
          <w:sz w:val="44"/>
          <w:szCs w:val="44"/>
          <w:lang w:bidi="ar"/>
        </w:rPr>
        <w:t>安全生产领域基层政务公开标准目录（2020年版）</w:t>
      </w:r>
    </w:p>
    <w:bookmarkEnd w:id="0"/>
    <w:tbl>
      <w:tblPr>
        <w:tblStyle w:val="3"/>
        <w:tblW w:w="14240" w:type="dxa"/>
        <w:tblInd w:w="0" w:type="dxa"/>
        <w:tblLayout w:type="fixed"/>
        <w:tblCellMar>
          <w:top w:w="0" w:type="dxa"/>
          <w:left w:w="0" w:type="dxa"/>
          <w:bottom w:w="0" w:type="dxa"/>
          <w:right w:w="0" w:type="dxa"/>
        </w:tblCellMar>
      </w:tblPr>
      <w:tblGrid>
        <w:gridCol w:w="1150"/>
        <w:gridCol w:w="267"/>
        <w:gridCol w:w="705"/>
        <w:gridCol w:w="2073"/>
        <w:gridCol w:w="1539"/>
        <w:gridCol w:w="1224"/>
        <w:gridCol w:w="1580"/>
        <w:gridCol w:w="2683"/>
        <w:gridCol w:w="509"/>
        <w:gridCol w:w="397"/>
        <w:gridCol w:w="386"/>
        <w:gridCol w:w="408"/>
        <w:gridCol w:w="374"/>
        <w:gridCol w:w="374"/>
        <w:gridCol w:w="571"/>
      </w:tblGrid>
      <w:tr>
        <w:tblPrEx>
          <w:tblCellMar>
            <w:top w:w="0" w:type="dxa"/>
            <w:left w:w="0" w:type="dxa"/>
            <w:bottom w:w="0" w:type="dxa"/>
            <w:right w:w="0" w:type="dxa"/>
          </w:tblCellMar>
        </w:tblPrEx>
        <w:trPr>
          <w:trHeight w:val="639" w:hRule="atLeast"/>
        </w:trPr>
        <w:tc>
          <w:tcPr>
            <w:tcW w:w="21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公开事项</w:t>
            </w:r>
          </w:p>
        </w:tc>
        <w:tc>
          <w:tcPr>
            <w:tcW w:w="20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公开内容</w:t>
            </w:r>
          </w:p>
        </w:tc>
        <w:tc>
          <w:tcPr>
            <w:tcW w:w="153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公开依据</w:t>
            </w:r>
          </w:p>
        </w:tc>
        <w:tc>
          <w:tcPr>
            <w:tcW w:w="12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公开时限</w:t>
            </w:r>
          </w:p>
        </w:tc>
        <w:tc>
          <w:tcPr>
            <w:tcW w:w="15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公开主体</w:t>
            </w:r>
          </w:p>
        </w:tc>
        <w:tc>
          <w:tcPr>
            <w:tcW w:w="2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公开渠道和载体</w:t>
            </w:r>
          </w:p>
        </w:tc>
        <w:tc>
          <w:tcPr>
            <w:tcW w:w="9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公开对象</w:t>
            </w:r>
          </w:p>
        </w:tc>
        <w:tc>
          <w:tcPr>
            <w:tcW w:w="7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公开方式</w:t>
            </w:r>
          </w:p>
        </w:tc>
        <w:tc>
          <w:tcPr>
            <w:tcW w:w="74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公开层级</w:t>
            </w:r>
          </w:p>
        </w:tc>
        <w:tc>
          <w:tcPr>
            <w:tcW w:w="57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责任指导处室</w:t>
            </w:r>
          </w:p>
        </w:tc>
      </w:tr>
      <w:tr>
        <w:tblPrEx>
          <w:tblCellMar>
            <w:top w:w="0" w:type="dxa"/>
            <w:left w:w="0" w:type="dxa"/>
            <w:bottom w:w="0" w:type="dxa"/>
            <w:right w:w="0" w:type="dxa"/>
          </w:tblCellMar>
        </w:tblPrEx>
        <w:trPr>
          <w:trHeight w:val="1252"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一级事项</w:t>
            </w:r>
          </w:p>
        </w:tc>
        <w:tc>
          <w:tcPr>
            <w:tcW w:w="9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二级事项</w:t>
            </w:r>
          </w:p>
        </w:tc>
        <w:tc>
          <w:tcPr>
            <w:tcW w:w="20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53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2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15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全社会</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特定群体</w:t>
            </w: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主动</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依申请</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县级</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r>
              <w:rPr>
                <w:rFonts w:hint="eastAsia" w:ascii="黑体" w:hAnsi="黑体" w:eastAsia="黑体" w:cs="黑体"/>
                <w:bCs/>
                <w:kern w:val="0"/>
                <w:szCs w:val="21"/>
                <w:lang w:bidi="ar"/>
              </w:rPr>
              <w:t>乡级</w:t>
            </w:r>
          </w:p>
        </w:tc>
        <w:tc>
          <w:tcPr>
            <w:tcW w:w="57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Cs/>
                <w:szCs w:val="21"/>
              </w:rPr>
            </w:pPr>
          </w:p>
        </w:tc>
      </w:tr>
      <w:tr>
        <w:tblPrEx>
          <w:tblCellMar>
            <w:top w:w="0" w:type="dxa"/>
            <w:left w:w="0" w:type="dxa"/>
            <w:bottom w:w="0" w:type="dxa"/>
            <w:right w:w="0" w:type="dxa"/>
          </w:tblCellMar>
        </w:tblPrEx>
        <w:trPr>
          <w:trHeight w:val="1014"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政策文件</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法律法规</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与安全生产有关的法律、法规</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 xml:space="preserve">■政府网站   </w:t>
            </w:r>
            <w:r>
              <w:rPr>
                <w:rFonts w:hint="eastAsia" w:ascii="仿宋" w:hAnsi="仿宋" w:eastAsia="仿宋" w:cs="仿宋"/>
                <w:bCs/>
                <w:kern w:val="0"/>
                <w:szCs w:val="21"/>
                <w:lang w:bidi="ar"/>
              </w:rPr>
              <w:sym w:font="Wingdings 2" w:char="00A3"/>
            </w:r>
            <w:r>
              <w:rPr>
                <w:rFonts w:hint="eastAsia" w:ascii="仿宋" w:hAnsi="仿宋" w:eastAsia="仿宋" w:cs="仿宋"/>
                <w:bCs/>
                <w:kern w:val="0"/>
                <w:szCs w:val="21"/>
                <w:lang w:bidi="ar"/>
              </w:rPr>
              <w:t>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                          □社区/企事业单位、村公示栏（电子屏）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szCs w:val="21"/>
                <w:lang w:eastAsia="zh-CN"/>
              </w:rPr>
              <w:t>综合执法股</w:t>
            </w:r>
          </w:p>
        </w:tc>
      </w:tr>
      <w:tr>
        <w:tblPrEx>
          <w:tblCellMar>
            <w:top w:w="0" w:type="dxa"/>
            <w:left w:w="0" w:type="dxa"/>
            <w:bottom w:w="0" w:type="dxa"/>
            <w:right w:w="0" w:type="dxa"/>
          </w:tblCellMar>
        </w:tblPrEx>
        <w:trPr>
          <w:trHeight w:val="99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部门和地方规章</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与安全生产有关的部门和地方规章</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容县应急管理局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szCs w:val="21"/>
                <w:lang w:eastAsia="zh-CN"/>
              </w:rPr>
              <w:t>综合执法股</w:t>
            </w:r>
          </w:p>
        </w:tc>
      </w:tr>
      <w:tr>
        <w:tblPrEx>
          <w:tblCellMar>
            <w:top w:w="0" w:type="dxa"/>
            <w:left w:w="0" w:type="dxa"/>
            <w:bottom w:w="0" w:type="dxa"/>
            <w:right w:w="0" w:type="dxa"/>
          </w:tblCellMar>
        </w:tblPrEx>
        <w:trPr>
          <w:trHeight w:val="1304"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其他政策文件</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其他可以公开的与安全生产有关的政策文件，包括改革方案、发展规划、专项规划、工作计划等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容县应急管理局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1038"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标准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安全生产领域有关的国家标准、行业标准、地方标准等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重大决策草案</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涉及管理相对人切身利益、需社会广泛知晓的重要改革方案等重大决策，决策前向社会公开决策草案、决策依据</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政策文件</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重大政策解读及回应</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有关重大政策的解读与回应，安全生产相关热点问题的解读与回应</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《中华人民共和国政府信息公开条例》(国务院令第711号）、中办国办《关于全面推进政务公开工作的意见》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重大决策作出后及时公开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综合执法股</w:t>
            </w:r>
            <w:r>
              <w:rPr>
                <w:rFonts w:hint="eastAsia" w:ascii="仿宋" w:hAnsi="仿宋" w:eastAsia="仿宋" w:cs="仿宋"/>
                <w:bCs/>
                <w:kern w:val="0"/>
                <w:szCs w:val="21"/>
                <w:lang w:bidi="ar"/>
              </w:rPr>
              <w:t>、危化</w:t>
            </w:r>
            <w:r>
              <w:rPr>
                <w:rFonts w:hint="eastAsia" w:ascii="仿宋" w:hAnsi="仿宋" w:eastAsia="仿宋" w:cs="仿宋"/>
                <w:bCs/>
                <w:kern w:val="0"/>
                <w:szCs w:val="21"/>
                <w:lang w:eastAsia="zh-CN" w:bidi="ar"/>
              </w:rPr>
              <w:t>矿山股</w:t>
            </w:r>
            <w:r>
              <w:rPr>
                <w:rFonts w:hint="eastAsia" w:ascii="仿宋" w:hAnsi="仿宋" w:eastAsia="仿宋" w:cs="仿宋"/>
                <w:bCs/>
                <w:kern w:val="0"/>
                <w:szCs w:val="21"/>
                <w:lang w:bidi="ar"/>
              </w:rPr>
              <w:t>、</w:t>
            </w:r>
            <w:r>
              <w:rPr>
                <w:rFonts w:hint="eastAsia" w:ascii="仿宋" w:hAnsi="仿宋" w:eastAsia="仿宋" w:cs="仿宋"/>
                <w:bCs/>
                <w:kern w:val="0"/>
                <w:szCs w:val="21"/>
                <w:lang w:eastAsia="zh-CN" w:bidi="ar"/>
              </w:rPr>
              <w:t>烟爆股</w:t>
            </w:r>
            <w:r>
              <w:rPr>
                <w:rFonts w:hint="eastAsia" w:ascii="仿宋" w:hAnsi="仿宋" w:eastAsia="仿宋" w:cs="仿宋"/>
                <w:bCs/>
                <w:kern w:val="0"/>
                <w:szCs w:val="21"/>
                <w:lang w:bidi="ar"/>
              </w:rPr>
              <w:t>、</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7</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重要会议</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通过会议讨论作出重要改革方案等重大决策时，经党组研究认为有必要公开讨论决策过程的会议</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提前一周发通知邀请</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局办公室</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8</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征集采纳社会公众意见情况</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重大决策草案公布后征集到的社会公众意见情况、采纳与否情况及理由等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《中华人民共和国政府信息公开条例》(国务院令第711号），中央办公厅、国务院办公厅《关于全面推进政务公开工作的意见》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征求意见时对外公布的时限内公开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2480"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依法行政</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行政许可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办理行政许可和其他对外管理服务事项的依据、条件、程序</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szCs w:val="21"/>
                <w:lang w:eastAsia="zh-CN"/>
              </w:rPr>
              <w:t>局办公室</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依法行政</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行政处罚</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办理行政处罚的依据、条件、程序以及本级行政机关认为具有一定社会影响的行政处罚决定</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3708"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行政强制</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办理行政强制的依据、条件、程序</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《中华人民共和国政府信息公开条例》(国务院令第711号）《中华人民共和国突发事件应对法》、《突发事件应急预案管理办法》、《中共中央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3708"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隐患管理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重大隐患排查、挂牌督办及其整改情况，安全生产举报电话等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《安全生产法》、《中华人民共和国政府信息公开条例》(国务院令第711号）、《中共中央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3708"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应急管理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 xml:space="preserve">承担处置主责、非敏感的应急信息，包括事故灾害类预警信息、事故信息、事故后采取的应急处置措施和应对结果等  </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《中华人民共和国政府信息公开条例》(国务院令第711号），《中华人民共和国突发事件应对法》，中央办公厅、国务院办公厅《关于全面加强政务公开工作的意见》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2173"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联合惩戒管理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列入或撤销纳入安全生产失信/联合惩戒名单管理的企业信息，具体企业名称、证照编号、经营地址、负责人姓名等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《中华人民共和国政府信息公开条例》（国务院令第711号）、《社会信用体系建设规划纲要（2014-2020年）》</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 w:val="18"/>
                <w:szCs w:val="18"/>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4322"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行政管理</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事故通报</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《安全生产法》、《中华人民共和国政府信息公开条例》(国务院令第711号）、《中共中央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 w:val="18"/>
                <w:szCs w:val="18"/>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动态信息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●业务工作动态           ●安全生产执法检查动态</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综合执法股、局办公室</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安全生产预警提示信息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kern w:val="0"/>
                <w:szCs w:val="21"/>
                <w:lang w:bidi="ar"/>
              </w:rPr>
            </w:pPr>
            <w:r>
              <w:rPr>
                <w:rFonts w:hint="eastAsia" w:ascii="仿宋" w:hAnsi="仿宋" w:eastAsia="仿宋" w:cs="仿宋"/>
                <w:bCs/>
                <w:kern w:val="0"/>
                <w:szCs w:val="21"/>
                <w:lang w:bidi="ar"/>
              </w:rPr>
              <w:t xml:space="preserve">●气象及灾害预警信息           </w:t>
            </w:r>
          </w:p>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 xml:space="preserve"> ●不同时段、不同领域安全生产提示信息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信息形成后及时公开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bCs/>
                <w:szCs w:val="21"/>
              </w:rPr>
            </w:pPr>
            <w:r>
              <w:rPr>
                <w:rFonts w:hint="eastAsia" w:ascii="仿宋" w:hAnsi="仿宋" w:eastAsia="仿宋" w:cs="仿宋"/>
                <w:bCs/>
                <w:kern w:val="0"/>
                <w:szCs w:val="21"/>
                <w:lang w:eastAsia="zh-CN" w:bidi="ar"/>
              </w:rPr>
              <w:t>综合执法股、危化矿山股、烟爆股、救援保障股</w:t>
            </w:r>
          </w:p>
        </w:tc>
      </w:tr>
      <w:tr>
        <w:tblPrEx>
          <w:tblCellMar>
            <w:top w:w="0" w:type="dxa"/>
            <w:left w:w="0" w:type="dxa"/>
            <w:bottom w:w="0" w:type="dxa"/>
            <w:right w:w="0" w:type="dxa"/>
          </w:tblCellMar>
        </w:tblPrEx>
        <w:trPr>
          <w:trHeight w:val="2480"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公共服务</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政务公开目录</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政务公开事项的索引、名称、内容概述、生成日期等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政务公开标准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政府信息公开指南等流程性信息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权力清单及责任清单</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同级政府审批通过的行政执法主体信息和行政许可、行政处罚、行政强制、行政检查、行政确认、行政奖励及其他行政职权等行政执法职权职责清单</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信息形成或者变更20个工作日内，如有更新，及时公开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主要业务办事指南</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主要业务工作的办事依据、程序、时限，办事时间、地点、部门、联系方式及相关办理结果</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信息形成或者变更之日起20个工作日内</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综合执法股</w:t>
            </w:r>
          </w:p>
        </w:tc>
      </w:tr>
      <w:tr>
        <w:tblPrEx>
          <w:tblCellMar>
            <w:top w:w="0" w:type="dxa"/>
            <w:left w:w="0" w:type="dxa"/>
            <w:bottom w:w="0" w:type="dxa"/>
            <w:right w:w="0" w:type="dxa"/>
          </w:tblCellMar>
        </w:tblPrEx>
        <w:trPr>
          <w:trHeight w:val="2480" w:hRule="atLeast"/>
        </w:trPr>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公共服务</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年度报告</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政府信息公开年度报告及相关统计报表</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每年1月31日前</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r>
      <w:tr>
        <w:tblPrEx>
          <w:tblCellMar>
            <w:top w:w="0" w:type="dxa"/>
            <w:left w:w="0" w:type="dxa"/>
            <w:bottom w:w="0" w:type="dxa"/>
            <w:right w:w="0" w:type="dxa"/>
          </w:tblCellMar>
        </w:tblPrEx>
        <w:trPr>
          <w:trHeight w:val="2787" w:hRule="atLeast"/>
        </w:trPr>
        <w:tc>
          <w:tcPr>
            <w:tcW w:w="1150"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重点领域信息公开</w:t>
            </w: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1</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财政资金信息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●预算、决算                       ●“三公”经费                     ●安全生产专项资金使用等财政资金信息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《中华人民共和国政府信息公开条例》(国务院令第711号）、《国务院关于深化预算管理制度改革的决定》、《国务院办公厅关于进一步推进预算公开工作意见的通知》</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按中央要求时限公开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szCs w:val="21"/>
                <w:lang w:eastAsia="zh-CN"/>
              </w:rPr>
              <w:t>局办公室</w:t>
            </w:r>
          </w:p>
        </w:tc>
      </w:tr>
      <w:tr>
        <w:tblPrEx>
          <w:tblCellMar>
            <w:top w:w="0" w:type="dxa"/>
            <w:left w:w="0" w:type="dxa"/>
            <w:bottom w:w="0" w:type="dxa"/>
            <w:right w:w="0" w:type="dxa"/>
          </w:tblCellMar>
        </w:tblPrEx>
        <w:trPr>
          <w:trHeight w:val="3094" w:hRule="atLeast"/>
        </w:trPr>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2</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政府采购信息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本单位采购实施情况相关信息</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《中华人民共和国政府信息公开条例》(国务院令第711号）,《国务院关于深化预算管理制度改革的决定》(国发〔2014〕45号),中办、国办印发《关于进一步推进预算公开工作的意见》的通知</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szCs w:val="21"/>
                <w:lang w:eastAsia="zh-CN"/>
              </w:rPr>
              <w:t>局办公室</w:t>
            </w:r>
          </w:p>
        </w:tc>
      </w:tr>
      <w:tr>
        <w:tblPrEx>
          <w:tblCellMar>
            <w:top w:w="0" w:type="dxa"/>
            <w:left w:w="0" w:type="dxa"/>
            <w:bottom w:w="0" w:type="dxa"/>
            <w:right w:w="0" w:type="dxa"/>
          </w:tblCellMar>
        </w:tblPrEx>
        <w:trPr>
          <w:trHeight w:val="2480" w:hRule="atLeast"/>
        </w:trPr>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bidi="ar"/>
              </w:rPr>
              <w:t>重点领域信息公开</w:t>
            </w: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3</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办事纪律和监督管理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本单位的办事纪律,受理投诉、举报、信访的途径等内容</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局</w:t>
            </w:r>
            <w:r>
              <w:rPr>
                <w:rFonts w:hint="eastAsia" w:ascii="仿宋" w:hAnsi="仿宋" w:eastAsia="仿宋" w:cs="仿宋"/>
                <w:bCs/>
                <w:kern w:val="0"/>
                <w:szCs w:val="21"/>
                <w:lang w:bidi="ar"/>
              </w:rPr>
              <w:t>办公室</w:t>
            </w:r>
          </w:p>
        </w:tc>
      </w:tr>
      <w:tr>
        <w:tblPrEx>
          <w:tblCellMar>
            <w:top w:w="0" w:type="dxa"/>
            <w:left w:w="0" w:type="dxa"/>
            <w:bottom w:w="0" w:type="dxa"/>
            <w:right w:w="0" w:type="dxa"/>
          </w:tblCellMar>
        </w:tblPrEx>
        <w:trPr>
          <w:trHeight w:val="2480"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4</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重大工程项目信息</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项目名称、执行措施、责任分工、取得成效、后续举措等</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《中华人民共和国政府信息公开条例》(国务院令第711号）、《国务院办公厅关于推进重大建设项目批准和实施领域政府信息公开的意见》（国办发〔2017〕94号）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局办公室</w:t>
            </w:r>
          </w:p>
        </w:tc>
      </w:tr>
      <w:tr>
        <w:tblPrEx>
          <w:tblCellMar>
            <w:top w:w="0" w:type="dxa"/>
            <w:left w:w="0" w:type="dxa"/>
            <w:bottom w:w="0" w:type="dxa"/>
            <w:right w:w="0" w:type="dxa"/>
          </w:tblCellMar>
        </w:tblPrEx>
        <w:trPr>
          <w:trHeight w:val="355"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5</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检查和巡查发现安全监管监察问题</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检查和巡查发现的、并要求向社会公开的问题及整改落实情况</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《中华人民共和国政府信息公开条例》(国务院令第711号）、《中共中央 国务院关于推进安全生产领域改革发展的意见》</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按进展情况及时公开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rPr>
            </w:pPr>
            <w:r>
              <w:rPr>
                <w:rFonts w:hint="eastAsia" w:ascii="仿宋" w:hAnsi="仿宋" w:eastAsia="仿宋" w:cs="仿宋"/>
                <w:bCs/>
                <w:kern w:val="0"/>
                <w:szCs w:val="21"/>
                <w:lang w:eastAsia="zh-CN" w:bidi="ar"/>
              </w:rPr>
              <w:t>综合执法股、危化矿山股、烟爆股</w:t>
            </w:r>
          </w:p>
        </w:tc>
      </w:tr>
      <w:tr>
        <w:tblPrEx>
          <w:tblCellMar>
            <w:top w:w="0" w:type="dxa"/>
            <w:left w:w="0" w:type="dxa"/>
            <w:bottom w:w="0" w:type="dxa"/>
            <w:right w:w="0" w:type="dxa"/>
          </w:tblCellMar>
        </w:tblPrEx>
        <w:trPr>
          <w:trHeight w:val="4025" w:hRule="atLeast"/>
        </w:trPr>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Cs/>
                <w:szCs w:val="21"/>
              </w:rPr>
            </w:pPr>
          </w:p>
        </w:tc>
        <w:tc>
          <w:tcPr>
            <w:tcW w:w="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right"/>
              <w:textAlignment w:val="center"/>
              <w:rPr>
                <w:rFonts w:hint="eastAsia" w:ascii="仿宋" w:hAnsi="仿宋" w:eastAsia="仿宋" w:cs="仿宋"/>
                <w:bCs/>
                <w:szCs w:val="21"/>
              </w:rPr>
            </w:pPr>
            <w:r>
              <w:rPr>
                <w:rFonts w:hint="eastAsia" w:ascii="仿宋" w:hAnsi="仿宋" w:eastAsia="仿宋" w:cs="仿宋"/>
                <w:bCs/>
                <w:kern w:val="0"/>
                <w:szCs w:val="21"/>
                <w:lang w:bidi="ar"/>
              </w:rPr>
              <w:t>6</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建议提案办理</w:t>
            </w:r>
          </w:p>
        </w:tc>
        <w:tc>
          <w:tcPr>
            <w:tcW w:w="2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●办理制度与推进情况            ●人大代表建议办理              ●政协委员提案办理</w:t>
            </w:r>
          </w:p>
        </w:tc>
        <w:tc>
          <w:tcPr>
            <w:tcW w:w="15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《中华人民共和国政府信息公开条例》(国务院令第711号）、《国务院办公厅关于做好全国人大代表建议和全国政协委员提案办理结果公开工作的通知》（国办发〔2014〕46号）</w:t>
            </w:r>
          </w:p>
        </w:tc>
        <w:tc>
          <w:tcPr>
            <w:tcW w:w="12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按照中央有关要求公开</w:t>
            </w:r>
          </w:p>
        </w:tc>
        <w:tc>
          <w:tcPr>
            <w:tcW w:w="1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容县应急管理局</w:t>
            </w:r>
          </w:p>
        </w:tc>
        <w:tc>
          <w:tcPr>
            <w:tcW w:w="2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■政府网站   □政府公报</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□两微一端   □发布会</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□广播电视   □纸质媒体</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■公开查阅点 ■政务服务中心</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■便民服务站 □入户/现场</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□社区/企事业单位、村公示栏（电子屏）</w:t>
            </w:r>
            <w:r>
              <w:rPr>
                <w:rFonts w:hint="eastAsia" w:ascii="仿宋" w:hAnsi="仿宋" w:eastAsia="仿宋" w:cs="仿宋"/>
                <w:bCs/>
                <w:kern w:val="0"/>
                <w:szCs w:val="21"/>
                <w:lang w:bidi="ar"/>
              </w:rPr>
              <w:br w:type="textWrapping"/>
            </w:r>
            <w:r>
              <w:rPr>
                <w:rFonts w:hint="eastAsia" w:ascii="仿宋" w:hAnsi="仿宋" w:eastAsia="仿宋" w:cs="仿宋"/>
                <w:bCs/>
                <w:kern w:val="0"/>
                <w:szCs w:val="21"/>
                <w:lang w:bidi="ar"/>
              </w:rPr>
              <w:t>□精准推送   □其他</w:t>
            </w:r>
          </w:p>
        </w:tc>
        <w:tc>
          <w:tcPr>
            <w:tcW w:w="5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4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bCs/>
                <w:szCs w:val="21"/>
              </w:rPr>
            </w:pPr>
            <w:r>
              <w:rPr>
                <w:rFonts w:hint="eastAsia" w:ascii="仿宋" w:hAnsi="仿宋" w:eastAsia="仿宋" w:cs="仿宋"/>
                <w:bCs/>
                <w:kern w:val="0"/>
                <w:szCs w:val="21"/>
                <w:lang w:bidi="ar"/>
              </w:rPr>
              <w:t>√</w:t>
            </w:r>
          </w:p>
        </w:tc>
        <w:tc>
          <w:tcPr>
            <w:tcW w:w="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bCs/>
                <w:szCs w:val="21"/>
              </w:rPr>
            </w:pP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Cs/>
                <w:szCs w:val="21"/>
                <w:lang w:eastAsia="zh-CN"/>
              </w:rPr>
            </w:pPr>
            <w:r>
              <w:rPr>
                <w:rFonts w:hint="eastAsia" w:ascii="仿宋" w:hAnsi="仿宋" w:eastAsia="仿宋" w:cs="仿宋"/>
                <w:bCs/>
                <w:kern w:val="0"/>
                <w:szCs w:val="21"/>
                <w:lang w:eastAsia="zh-CN" w:bidi="ar"/>
              </w:rPr>
              <w:t>局办公室、综合执法股、危化矿山股、烟爆股</w:t>
            </w:r>
          </w:p>
        </w:tc>
      </w:tr>
    </w:tbl>
    <w:p>
      <w:pPr>
        <w:pStyle w:val="2"/>
        <w:jc w:val="center"/>
        <w:rPr>
          <w:rFonts w:hint="eastAsia" w:ascii="方正小标宋简体" w:hAnsi="方正小标宋简体" w:eastAsia="方正小标宋简体" w:cs="方正小标宋简体"/>
          <w:bCs/>
          <w:kern w:val="0"/>
          <w:sz w:val="44"/>
          <w:szCs w:val="44"/>
          <w:lang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1348D"/>
    <w:rsid w:val="33B13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2020-12-15T02:59:00Z</dcterms:created>
  <dc:creator>Administrator</dc:creator>
  <cp:lastModifiedBy>Administrator</cp:lastModifiedBy>
  <dcterms:modified xsi:type="dcterms:W3CDTF">2020-12-15T03:01:16Z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