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附件1</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宣布失效的安全生产文件目录(2008年)</w:t>
      </w:r>
    </w:p>
    <w:p>
      <w:pPr>
        <w:ind w:firstLine="640"/>
        <w:jc w:val="both"/>
        <w:rPr>
          <w:rFonts w:hint="eastAsia" w:ascii="楷体" w:hAnsi="楷体" w:eastAsia="楷体" w:cs="楷体"/>
          <w:color w:val="auto"/>
          <w:sz w:val="32"/>
          <w:szCs w:val="32"/>
          <w:lang w:val="en-US" w:eastAsia="zh-CN"/>
        </w:rPr>
      </w:pPr>
      <w:r>
        <w:rPr>
          <w:rFonts w:hint="eastAsia" w:ascii="宋体" w:hAnsi="宋体" w:eastAsia="宋体" w:cs="宋体"/>
          <w:color w:val="auto"/>
          <w:sz w:val="32"/>
          <w:szCs w:val="32"/>
          <w:lang w:val="en-US" w:eastAsia="zh-CN"/>
        </w:rPr>
        <w:t xml:space="preserve">           </w:t>
      </w:r>
      <w:r>
        <w:rPr>
          <w:rFonts w:hint="eastAsia" w:ascii="楷体" w:hAnsi="楷体" w:eastAsia="楷体" w:cs="楷体"/>
          <w:color w:val="auto"/>
          <w:sz w:val="32"/>
          <w:szCs w:val="32"/>
          <w:lang w:val="en-US" w:eastAsia="zh-CN"/>
        </w:rPr>
        <w:t xml:space="preserve">  (自治区安全生产监管局发文)</w:t>
      </w:r>
    </w:p>
    <w:tbl>
      <w:tblPr>
        <w:tblStyle w:val="3"/>
        <w:tblW w:w="9931"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135"/>
        <w:gridCol w:w="3150"/>
      </w:tblGrid>
      <w:tr>
        <w:trPr>
          <w:trHeight w:val="686" w:hRule="atLeast"/>
        </w:trPr>
        <w:tc>
          <w:tcPr>
            <w:tcW w:w="646"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13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15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119" w:hRule="atLeast"/>
        </w:trPr>
        <w:tc>
          <w:tcPr>
            <w:tcW w:w="646"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6135"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3150"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关于安全评价工作有关问题的通知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桂安监管法规〔2008〕6号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关于下达安全生产行政执法文书统一格式的通知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桂安监管法规〔2008〕9号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转发国家安监总局关于做好安全生产许可证延期换证工作的通知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桂安监管法规〔2008〕24号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关于对我区到期的小型露天采石场开采方案编制咨询机构和安全评价乙级机构进行年审换证的通知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桂安监管法规〔2008〕22号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关于印发安全监管行政复议法律文书（式样）和安全监管行政复议案件案由规定的通知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桂安监管法规〔2008〕28号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关于印发《广西安全生产行业协会和中介组织专项治理实施方案》的通知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桂安监管法规〔2008〕35号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6135" w:type="dxa"/>
            <w:vAlign w:val="top"/>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转发国家安全监管总局关于进一步加强当前安全生产工作的通知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桂安监管协调〔2008〕1号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6135" w:type="dxa"/>
            <w:vAlign w:val="top"/>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关于立即设立并公布安全生产举报电话的紧急通知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桂安监管〔2008〕40号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转发国家安监总局关于进一步加强春节期间值守应急工作的通知</w:t>
            </w:r>
          </w:p>
        </w:tc>
        <w:tc>
          <w:tcPr>
            <w:tcW w:w="3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〔2008〕</w:t>
            </w:r>
            <w:r>
              <w:rPr>
                <w:rFonts w:hint="eastAsia" w:ascii="仿宋" w:hAnsi="仿宋" w:eastAsia="仿宋" w:cs="仿宋"/>
                <w:i w:val="0"/>
                <w:color w:val="auto"/>
                <w:kern w:val="0"/>
                <w:sz w:val="24"/>
                <w:szCs w:val="24"/>
                <w:u w:val="none"/>
                <w:lang w:val="en-US" w:eastAsia="zh-CN" w:bidi="ar"/>
              </w:rPr>
              <w:t>5号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6135" w:type="dxa"/>
            <w:vAlign w:val="top"/>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转发自治区人民政府办公厅《关于进一步加强政府系统值班零报告制度》的通知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桂安监管应急〔2008〕7号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 xml:space="preserve"> 关于加强生产经营单位安全生产应急管理工作有关问题的通知</w:t>
            </w:r>
          </w:p>
        </w:tc>
        <w:tc>
          <w:tcPr>
            <w:tcW w:w="3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〔2008〕</w:t>
            </w:r>
            <w:r>
              <w:rPr>
                <w:rFonts w:hint="eastAsia" w:ascii="仿宋" w:hAnsi="仿宋" w:eastAsia="仿宋" w:cs="仿宋"/>
                <w:i w:val="0"/>
                <w:color w:val="auto"/>
                <w:kern w:val="0"/>
                <w:sz w:val="24"/>
                <w:szCs w:val="24"/>
                <w:u w:val="none"/>
                <w:lang w:val="en-US" w:eastAsia="zh-CN" w:bidi="ar"/>
              </w:rPr>
              <w:t>11号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转发国家安监总局关于进一步加强生产安全事故信息报送工作的通知</w:t>
            </w:r>
          </w:p>
        </w:tc>
        <w:tc>
          <w:tcPr>
            <w:tcW w:w="3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〔2008〕</w:t>
            </w:r>
            <w:r>
              <w:rPr>
                <w:rFonts w:hint="eastAsia" w:ascii="仿宋" w:hAnsi="仿宋" w:eastAsia="仿宋" w:cs="仿宋"/>
                <w:i w:val="0"/>
                <w:color w:val="auto"/>
                <w:kern w:val="0"/>
                <w:sz w:val="24"/>
                <w:szCs w:val="24"/>
                <w:u w:val="none"/>
                <w:lang w:val="en-US" w:eastAsia="zh-CN" w:bidi="ar"/>
              </w:rPr>
              <w:t>17号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转发国务院办公厅关于做好近期煤炭生产供应工作的通知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〔2008〕</w:t>
            </w:r>
            <w:r>
              <w:rPr>
                <w:rFonts w:hint="eastAsia" w:ascii="仿宋" w:hAnsi="仿宋" w:eastAsia="仿宋" w:cs="仿宋"/>
                <w:color w:val="auto"/>
                <w:sz w:val="24"/>
                <w:szCs w:val="24"/>
              </w:rPr>
              <w:t>3号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转发国家安全监管总局国家煤矿安监局关于切实做好放假、停产检修煤矿节后复产工作的紧急通知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〔2008〕</w:t>
            </w:r>
            <w:r>
              <w:rPr>
                <w:rFonts w:hint="eastAsia" w:ascii="仿宋" w:hAnsi="仿宋" w:eastAsia="仿宋" w:cs="仿宋"/>
                <w:color w:val="auto"/>
                <w:sz w:val="24"/>
                <w:szCs w:val="24"/>
              </w:rPr>
              <w:t>4号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转发国家安全监管总局、国家煤矿安监局关于预防暴雨洪水引发煤矿事故灾难指导意见的通知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〔2008〕</w:t>
            </w:r>
            <w:r>
              <w:rPr>
                <w:rFonts w:hint="eastAsia" w:ascii="仿宋" w:hAnsi="仿宋" w:eastAsia="仿宋" w:cs="仿宋"/>
                <w:color w:val="auto"/>
                <w:sz w:val="24"/>
                <w:szCs w:val="24"/>
              </w:rPr>
              <w:t>17号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转发国家安监总局国家煤矿安监局关于进一步加强当前煤矿安全生产工作的通知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〔2008〕</w:t>
            </w:r>
            <w:r>
              <w:rPr>
                <w:rFonts w:hint="eastAsia" w:ascii="仿宋" w:hAnsi="仿宋" w:eastAsia="仿宋" w:cs="仿宋"/>
                <w:color w:val="auto"/>
                <w:sz w:val="24"/>
                <w:szCs w:val="24"/>
              </w:rPr>
              <w:t>25号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17</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转发国家安全监管总局、国家煤矿安监局关于加强煤矿放顶煤开采安全管理工作的通知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〔2008〕</w:t>
            </w:r>
            <w:r>
              <w:rPr>
                <w:rFonts w:hint="eastAsia" w:ascii="仿宋" w:hAnsi="仿宋" w:eastAsia="仿宋" w:cs="仿宋"/>
                <w:color w:val="auto"/>
                <w:sz w:val="24"/>
                <w:szCs w:val="24"/>
              </w:rPr>
              <w:t>31号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18</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转发国家安全监管总局国家煤矿安监局关于进一步加强煤矿水害防治工作的通知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〔2008〕</w:t>
            </w:r>
            <w:r>
              <w:rPr>
                <w:rFonts w:hint="eastAsia" w:ascii="仿宋" w:hAnsi="仿宋" w:eastAsia="仿宋" w:cs="仿宋"/>
                <w:color w:val="auto"/>
                <w:sz w:val="24"/>
                <w:szCs w:val="24"/>
              </w:rPr>
              <w:t>36号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19</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转发国家安全监管总局国家煤矿安监局关于加强煤矿机电运输安全管理工作的通知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〔2008〕</w:t>
            </w:r>
            <w:r>
              <w:rPr>
                <w:rFonts w:hint="eastAsia" w:ascii="仿宋" w:hAnsi="仿宋" w:eastAsia="仿宋" w:cs="仿宋"/>
                <w:color w:val="auto"/>
                <w:sz w:val="24"/>
                <w:szCs w:val="24"/>
              </w:rPr>
              <w:t>41号</w:t>
            </w:r>
          </w:p>
        </w:tc>
      </w:tr>
      <w:tr>
        <w:trPr>
          <w:trHeight w:val="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w:t>
            </w:r>
          </w:p>
        </w:tc>
        <w:tc>
          <w:tcPr>
            <w:tcW w:w="6135"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转发国家安全监管总局国家煤矿安监局关于加强煤矿顶板管理工作的通知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〔2008〕</w:t>
            </w:r>
            <w:r>
              <w:rPr>
                <w:rFonts w:hint="eastAsia" w:ascii="仿宋" w:hAnsi="仿宋" w:eastAsia="仿宋" w:cs="仿宋"/>
                <w:color w:val="auto"/>
                <w:sz w:val="24"/>
                <w:szCs w:val="24"/>
              </w:rPr>
              <w:t>42号</w:t>
            </w:r>
          </w:p>
        </w:tc>
      </w:tr>
      <w:t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21</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关于做好春节后非煤矿山恢复生产安全工作的通知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桂安监管一〔2008〕7号</w:t>
            </w:r>
          </w:p>
        </w:tc>
      </w:tr>
      <w:tr>
        <w:trPr>
          <w:trHeight w:val="90" w:hRule="atLeast"/>
        </w:trP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22</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贯彻落实国家安全监管总局关于加强金属非金属矿山安全基础管理指导意见的通知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桂安监管一〔2008〕11号</w:t>
            </w:r>
          </w:p>
        </w:tc>
      </w:tr>
      <w:t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23</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转发国家安全监管总局关于加强冶金有色行业安全监管工作的通知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桂安监管一〔2008〕13号</w:t>
            </w:r>
          </w:p>
        </w:tc>
      </w:tr>
      <w:t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24</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关于进一步加强尾矿库汛期安全监管工作的通知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桂安监管一〔2008〕35号</w:t>
            </w:r>
          </w:p>
        </w:tc>
      </w:tr>
      <w:tr>
        <w:tc>
          <w:tcPr>
            <w:tcW w:w="64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25</w:t>
            </w:r>
          </w:p>
        </w:tc>
        <w:tc>
          <w:tcPr>
            <w:tcW w:w="6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转发国家安全监管总局关于进一步加强非煤矿山排土场安全生产工作的通知</w:t>
            </w:r>
          </w:p>
        </w:tc>
        <w:tc>
          <w:tcPr>
            <w:tcW w:w="315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桂安监管一〔2008〕51号</w:t>
            </w:r>
          </w:p>
        </w:tc>
      </w:tr>
    </w:tbl>
    <w:p>
      <w:pPr>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ind w:firstLine="960" w:firstLineChars="300"/>
        <w:jc w:val="both"/>
        <w:rPr>
          <w:rFonts w:hint="eastAsia" w:ascii="仿宋" w:hAnsi="仿宋" w:eastAsia="仿宋" w:cs="仿宋"/>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宣布失效的安全生产文件目录(2009年)</w:t>
      </w:r>
    </w:p>
    <w:p>
      <w:pPr>
        <w:jc w:val="center"/>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(自治区安全生产监管局发文)</w:t>
      </w:r>
    </w:p>
    <w:tbl>
      <w:tblPr>
        <w:tblStyle w:val="3"/>
        <w:tblW w:w="9811"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5985"/>
        <w:gridCol w:w="3135"/>
      </w:tblGrid>
      <w:tr>
        <w:trPr>
          <w:trHeight w:val="686" w:hRule="atLeast"/>
        </w:trPr>
        <w:tc>
          <w:tcPr>
            <w:tcW w:w="691"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598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13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312" w:hRule="atLeast"/>
        </w:trPr>
        <w:tc>
          <w:tcPr>
            <w:tcW w:w="691" w:type="dxa"/>
            <w:vMerge w:val="continue"/>
            <w:vAlign w:val="top"/>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vertAlign w:val="baseline"/>
                <w:lang w:val="en-US" w:eastAsia="zh-CN"/>
              </w:rPr>
            </w:pPr>
          </w:p>
        </w:tc>
        <w:tc>
          <w:tcPr>
            <w:tcW w:w="5985" w:type="dxa"/>
            <w:vMerge w:val="continue"/>
            <w:vAlign w:val="top"/>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vertAlign w:val="baseline"/>
                <w:lang w:val="en-US" w:eastAsia="zh-CN"/>
              </w:rPr>
            </w:pPr>
          </w:p>
        </w:tc>
        <w:tc>
          <w:tcPr>
            <w:tcW w:w="3135" w:type="dxa"/>
            <w:vMerge w:val="continue"/>
            <w:vAlign w:val="top"/>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vertAlign w:val="baseline"/>
                <w:lang w:val="en-US" w:eastAsia="zh-CN"/>
              </w:rPr>
            </w:pP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59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关于成立自治区安监局信息工作小组的通知</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2009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15号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59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关于成立自治区安监局督查工作组的通知</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2009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16号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59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关于调整广西壮族自治区安全生产监督管理局保密档案领导小组的通知</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2009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42号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59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关于印发广西壮族自治区安全生产监督管理局机关公务车辆管理办法的通知</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桂安监管办〔</w:t>
            </w:r>
            <w:r>
              <w:rPr>
                <w:rFonts w:hint="eastAsia" w:ascii="仿宋" w:hAnsi="仿宋" w:eastAsia="仿宋" w:cs="仿宋"/>
                <w:color w:val="auto"/>
                <w:sz w:val="24"/>
                <w:szCs w:val="24"/>
                <w:lang w:val="en-US" w:eastAsia="zh-CN"/>
              </w:rPr>
              <w:t>2009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59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广西壮族自治区安全生产监督管理局处室车辆管理办法的通知</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桂安监管办〔</w:t>
            </w:r>
            <w:r>
              <w:rPr>
                <w:rFonts w:hint="eastAsia" w:ascii="仿宋" w:hAnsi="仿宋" w:eastAsia="仿宋" w:cs="仿宋"/>
                <w:color w:val="auto"/>
                <w:sz w:val="24"/>
                <w:szCs w:val="24"/>
                <w:lang w:val="en-US" w:eastAsia="zh-CN"/>
              </w:rPr>
              <w:t>2009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关于乐业县红程烟花爆竹销售有限公司经营许可有关问题的批复</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桂安监管法规〔2009〕1号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关于贯彻实施《广西壮族自治区依法行政考核办法》的意见</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桂安监管法规〔2009〕7号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关于将非煤矿山企业安全生产许可证违法行为部分行政处罚权委托实施的通知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桂安监管法规〔2009〕28号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关于解决矿山救护队指战员待遇有关问题的通知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未编文号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转发国家安全监管总局关于加强矿山危险化学品应急救援骨干队伍建设的指导意见</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lang w:eastAsia="zh-CN"/>
              </w:rPr>
              <w:t>〔2009〕</w:t>
            </w:r>
            <w:r>
              <w:rPr>
                <w:rFonts w:hint="eastAsia" w:ascii="仿宋" w:hAnsi="仿宋" w:eastAsia="仿宋" w:cs="仿宋"/>
                <w:i w:val="0"/>
                <w:color w:val="auto"/>
                <w:kern w:val="0"/>
                <w:sz w:val="24"/>
                <w:szCs w:val="24"/>
                <w:u w:val="none"/>
                <w:lang w:val="en-US" w:eastAsia="zh-CN" w:bidi="ar"/>
              </w:rPr>
              <w:t>20号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关于贯彻实施生产安全事故信息和处置办法的通知</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lang w:eastAsia="zh-CN"/>
              </w:rPr>
              <w:t>〔2009〕</w:t>
            </w:r>
            <w:r>
              <w:rPr>
                <w:rFonts w:hint="eastAsia" w:ascii="仿宋" w:hAnsi="仿宋" w:eastAsia="仿宋" w:cs="仿宋"/>
                <w:i w:val="0"/>
                <w:color w:val="auto"/>
                <w:kern w:val="0"/>
                <w:sz w:val="24"/>
                <w:szCs w:val="24"/>
                <w:u w:val="none"/>
                <w:lang w:val="en-US" w:eastAsia="zh-CN" w:bidi="ar"/>
              </w:rPr>
              <w:t>23号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关于矿山救护队续发新证有关问题的通知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未编文号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w:t>
            </w:r>
          </w:p>
        </w:tc>
        <w:tc>
          <w:tcPr>
            <w:tcW w:w="598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关于加强地采矿山水害探测工作的通知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〔2009〕</w:t>
            </w:r>
            <w:r>
              <w:rPr>
                <w:rFonts w:hint="eastAsia" w:ascii="仿宋" w:hAnsi="仿宋" w:eastAsia="仿宋" w:cs="仿宋"/>
                <w:color w:val="auto"/>
                <w:sz w:val="24"/>
                <w:szCs w:val="24"/>
              </w:rPr>
              <w:t>20号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w:t>
            </w:r>
          </w:p>
        </w:tc>
        <w:tc>
          <w:tcPr>
            <w:tcW w:w="598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转发国家安全监管总局、国家煤矿安监局关于印发国家级安全质量标准化煤故考核办法(试行)的通知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〔2009〕</w:t>
            </w:r>
            <w:r>
              <w:rPr>
                <w:rFonts w:hint="eastAsia" w:ascii="仿宋" w:hAnsi="仿宋" w:eastAsia="仿宋" w:cs="仿宋"/>
                <w:color w:val="auto"/>
                <w:sz w:val="24"/>
                <w:szCs w:val="24"/>
              </w:rPr>
              <w:t>22号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598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关于切实加强煤矿安全生产工作的通知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〔2009〕</w:t>
            </w:r>
            <w:r>
              <w:rPr>
                <w:rFonts w:hint="eastAsia" w:ascii="仿宋" w:hAnsi="仿宋" w:eastAsia="仿宋" w:cs="仿宋"/>
                <w:color w:val="auto"/>
                <w:sz w:val="24"/>
                <w:szCs w:val="24"/>
              </w:rPr>
              <w:t>25号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转发国家安全监管总局关于做好空气化工产品无人值守“现场供气”生产活动安全监督工作的通知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w:t>
            </w:r>
            <w:r>
              <w:rPr>
                <w:rFonts w:hint="eastAsia" w:ascii="仿宋" w:hAnsi="仿宋" w:eastAsia="仿宋" w:cs="仿宋"/>
                <w:color w:val="auto"/>
                <w:sz w:val="24"/>
                <w:szCs w:val="24"/>
                <w:lang w:val="en-US" w:eastAsia="zh-CN"/>
              </w:rPr>
              <w:t>危化</w:t>
            </w:r>
            <w:r>
              <w:rPr>
                <w:rFonts w:hint="eastAsia" w:ascii="仿宋" w:hAnsi="仿宋" w:eastAsia="仿宋" w:cs="仿宋"/>
                <w:color w:val="auto"/>
                <w:sz w:val="24"/>
                <w:szCs w:val="24"/>
                <w:lang w:eastAsia="zh-CN"/>
              </w:rPr>
              <w:t>〔2009〕</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17</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转发国家安全监管总局办公厅关于进一步加强金属非金属地下矿山提升系统安全管理工作的通知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桂安监管一〔2009〕4号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18</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关于实施非煤矿山“623”联系点安全监管工作制度的通知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桂安监管一〔2009〕5号</w:t>
            </w:r>
          </w:p>
        </w:tc>
      </w:tr>
      <w:t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19</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关于转发国家安全监管总局办公厅关于进一步加强尾矿库汛期安全生产工作的通知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桂安监管一〔2009〕19号</w:t>
            </w:r>
          </w:p>
        </w:tc>
      </w:tr>
      <w:t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转发国家安全监管总局办公厅关于加强冶金企业制氧安全生产管理的通知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桂安监管一〔2009〕26号</w:t>
            </w:r>
          </w:p>
        </w:tc>
      </w:tr>
      <w:t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21</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转发国家安全监管总局关于贯彻落实《冶金企业安全生产监督管理规定》工作的通知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桂安监管一〔2009〕32号</w:t>
            </w:r>
          </w:p>
        </w:tc>
      </w:tr>
      <w:t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22</w:t>
            </w:r>
          </w:p>
        </w:tc>
        <w:tc>
          <w:tcPr>
            <w:tcW w:w="59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关于泥炭开采办理安全生产许可证有关问题的批复</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桂安监管一〔2009〕46号</w:t>
            </w:r>
          </w:p>
        </w:tc>
      </w:tr>
      <w:t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23</w:t>
            </w:r>
          </w:p>
        </w:tc>
        <w:tc>
          <w:tcPr>
            <w:tcW w:w="5985" w:type="dxa"/>
            <w:vAlign w:val="top"/>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bidi="ar"/>
              </w:rPr>
              <w:t>转发国家安全监管总局关于切实加强工商贸企业租赁厂房安全管理工作的通</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bidi="ar"/>
              </w:rPr>
              <w:t>桂安监二</w:t>
            </w:r>
            <w:r>
              <w:rPr>
                <w:rFonts w:hint="eastAsia" w:ascii="仿宋" w:hAnsi="仿宋" w:eastAsia="仿宋" w:cs="仿宋"/>
                <w:color w:val="auto"/>
                <w:sz w:val="24"/>
                <w:szCs w:val="24"/>
                <w:vertAlign w:val="baseline"/>
                <w:lang w:val="en-US" w:eastAsia="zh-CN"/>
              </w:rPr>
              <w:t>〔2009〕</w:t>
            </w:r>
            <w:r>
              <w:rPr>
                <w:rFonts w:hint="eastAsia" w:ascii="仿宋" w:hAnsi="仿宋" w:eastAsia="仿宋" w:cs="仿宋"/>
                <w:color w:val="auto"/>
                <w:kern w:val="0"/>
                <w:sz w:val="24"/>
                <w:szCs w:val="24"/>
                <w:lang w:val="en-US" w:eastAsia="zh-CN" w:bidi="ar"/>
              </w:rPr>
              <w:t>8</w:t>
            </w:r>
            <w:r>
              <w:rPr>
                <w:rFonts w:hint="eastAsia" w:ascii="仿宋" w:hAnsi="仿宋" w:eastAsia="仿宋" w:cs="仿宋"/>
                <w:color w:val="auto"/>
                <w:kern w:val="0"/>
                <w:sz w:val="24"/>
                <w:szCs w:val="24"/>
                <w:lang w:bidi="ar"/>
              </w:rPr>
              <w:t>号</w:t>
            </w:r>
          </w:p>
        </w:tc>
      </w:tr>
    </w:tbl>
    <w:p>
      <w:pPr>
        <w:jc w:val="left"/>
        <w:rPr>
          <w:rFonts w:hint="eastAsia" w:ascii="宋体" w:hAnsi="宋体" w:eastAsia="宋体" w:cs="宋体"/>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pStyle w:val="5"/>
        <w:rPr>
          <w:rFonts w:hint="eastAsia"/>
          <w:color w:val="auto"/>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宣布失效的安全生产文件目录(2010年)</w:t>
      </w:r>
    </w:p>
    <w:p>
      <w:pPr>
        <w:jc w:val="center"/>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(自治区安全生产监管局发文)</w:t>
      </w:r>
    </w:p>
    <w:tbl>
      <w:tblPr>
        <w:tblStyle w:val="3"/>
        <w:tblW w:w="9874"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6150"/>
        <w:gridCol w:w="3135"/>
      </w:tblGrid>
      <w:tr>
        <w:trPr>
          <w:trHeight w:val="686" w:hRule="atLeast"/>
        </w:trPr>
        <w:tc>
          <w:tcPr>
            <w:tcW w:w="589"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15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13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119" w:hRule="atLeast"/>
        </w:trPr>
        <w:tc>
          <w:tcPr>
            <w:tcW w:w="589"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6150"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3135"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转发国家安全监管总局、国家煤监局关于加强安全生产科技成果推广工作指导意见的通知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桂安监管法规〔2010〕1号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关于贯彻落实新修订的《安全评价机构管理规定》有关工作的通知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桂安监管法规〔2010〕31号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转发国家安全监管总局《安全生产行政执法文书（式样）》的通知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桂安监管法规〔2010〕32号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转发《广西壮族自治区规范性文件监督管理办法》的通知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桂安监管法规〔2010〕43号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转发国家安全监管总局关于加强基层安全生产应急队伍建设的意见的通知</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〔2010〕</w:t>
            </w:r>
            <w:r>
              <w:rPr>
                <w:rFonts w:hint="eastAsia" w:ascii="仿宋" w:hAnsi="仿宋" w:eastAsia="仿宋" w:cs="仿宋"/>
                <w:i w:val="0"/>
                <w:color w:val="auto"/>
                <w:kern w:val="0"/>
                <w:sz w:val="24"/>
                <w:szCs w:val="24"/>
                <w:u w:val="none"/>
                <w:lang w:val="en-US" w:eastAsia="zh-CN" w:bidi="ar"/>
              </w:rPr>
              <w:t>4号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转发关于进一步加强和改进生产安全事故信息报告和处置工作的通知</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〔2010〕</w:t>
            </w:r>
            <w:r>
              <w:rPr>
                <w:rFonts w:hint="eastAsia" w:ascii="仿宋" w:hAnsi="仿宋" w:eastAsia="仿宋" w:cs="仿宋"/>
                <w:i w:val="0"/>
                <w:color w:val="auto"/>
                <w:kern w:val="0"/>
                <w:sz w:val="24"/>
                <w:szCs w:val="24"/>
                <w:u w:val="none"/>
                <w:lang w:val="en-US" w:eastAsia="zh-CN" w:bidi="ar"/>
              </w:rPr>
              <w:t>7号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转发国家安全监管总局国家防汛抗旱总指挥部办公室关于做好矿山尾矿库等汛期安全生产工作的通知</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〔2010〕</w:t>
            </w:r>
            <w:r>
              <w:rPr>
                <w:rFonts w:hint="eastAsia" w:ascii="仿宋" w:hAnsi="仿宋" w:eastAsia="仿宋" w:cs="仿宋"/>
                <w:i w:val="0"/>
                <w:color w:val="auto"/>
                <w:kern w:val="0"/>
                <w:sz w:val="24"/>
                <w:szCs w:val="24"/>
                <w:u w:val="none"/>
                <w:lang w:val="en-US" w:eastAsia="zh-CN" w:bidi="ar"/>
              </w:rPr>
              <w:t>19号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关于进一步做好生产安全事故应急预案备案有关工作的通知</w:t>
            </w:r>
          </w:p>
        </w:tc>
        <w:tc>
          <w:tcPr>
            <w:tcW w:w="31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〔2010〕</w:t>
            </w:r>
            <w:r>
              <w:rPr>
                <w:rFonts w:hint="eastAsia" w:ascii="仿宋" w:hAnsi="仿宋" w:eastAsia="仿宋" w:cs="仿宋"/>
                <w:i w:val="0"/>
                <w:color w:val="auto"/>
                <w:kern w:val="0"/>
                <w:sz w:val="24"/>
                <w:szCs w:val="24"/>
                <w:u w:val="none"/>
                <w:lang w:val="en-US" w:eastAsia="zh-CN" w:bidi="ar"/>
              </w:rPr>
              <w:t>20号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w:t>
            </w:r>
          </w:p>
        </w:tc>
        <w:tc>
          <w:tcPr>
            <w:tcW w:w="6150"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sz w:val="24"/>
                <w:szCs w:val="24"/>
              </w:rPr>
              <w:t>关于切实加强煤矿水害防治工作的通知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〔2010〕</w:t>
            </w:r>
            <w:r>
              <w:rPr>
                <w:rFonts w:hint="eastAsia" w:ascii="仿宋" w:hAnsi="仿宋" w:eastAsia="仿宋" w:cs="仿宋"/>
                <w:color w:val="auto"/>
                <w:sz w:val="24"/>
                <w:szCs w:val="24"/>
              </w:rPr>
              <w:t>10号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6150" w:type="dxa"/>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转发国家安全监管总局国家煤矿安监局关于认真贯彻落实国务院《通知》精神切实加强煤矿安全生产工作实施意见的通知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〔2010〕</w:t>
            </w:r>
            <w:r>
              <w:rPr>
                <w:rFonts w:hint="eastAsia" w:ascii="仿宋" w:hAnsi="仿宋" w:eastAsia="仿宋" w:cs="仿宋"/>
                <w:color w:val="auto"/>
                <w:sz w:val="24"/>
                <w:szCs w:val="24"/>
              </w:rPr>
              <w:t>21号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关于抓紧做好金属非金属矿山建设项目安全设施“三同时”工作的通知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桂安监管一〔2010〕6号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关于印发《广西壮族自治区尾矿库隐患综合治理方案》的通知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桂安监管一〔2010〕8号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转发国家安全监管总局办公厅关于金属非金属矿山企业安全生产许可证与爆破作业单位许可证有关问题复函的通知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桂安监管一〔2010〕13号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转发国家安全监管总局办公厅关于金属非金属矿山通风管理及煤系矿山废弃矿井安全监管工作的通知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桂安监管一〔2010〕14号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关于加强有效期届满非煤矿山企业安全生产许可证管理工作的通知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桂安监管一〔2010〕23号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转发国家安全监管总局关于进下加强金属非金属矿山防治水工作的通知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桂安监管一〔2010〕25号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17</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转发国家安全监管总局关于切实加强金属非金属地下矿山提升运输系统安全管理严防坠罐跑车事故的通知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桂安监管一〔2010〕28号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18</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转发国家安全监管总局关一加强金属非金属地下矿山通风安全管理防范中毒窒息事故的通知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桂安监管一〔2010〕30号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19</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转发国家安全监管总局办公厅关于爆破作业单位许可证有关问题复函的通知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桂安监管一〔2010〕37号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转发国家安全监管总局关于加强金属非金属矿山建设项目安全工作的通知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桂安监管一〔2010〕39号</w:t>
            </w:r>
          </w:p>
        </w:tc>
      </w:tr>
      <w:tr>
        <w:tc>
          <w:tcPr>
            <w:tcW w:w="589"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21</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转发国家安全监管总局关于进一步加强冶金煤气安全技术管理有关规定的通知</w:t>
            </w:r>
          </w:p>
        </w:tc>
        <w:tc>
          <w:tcPr>
            <w:tcW w:w="313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桂安监管一〔2010〕41号</w:t>
            </w:r>
          </w:p>
        </w:tc>
      </w:tr>
    </w:tbl>
    <w:p>
      <w:pPr>
        <w:jc w:val="both"/>
        <w:rPr>
          <w:rFonts w:hint="eastAsia" w:ascii="仿宋" w:hAnsi="仿宋" w:eastAsia="仿宋" w:cs="仿宋"/>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宣布失效的安全生产文件目录(2011年)</w:t>
      </w:r>
    </w:p>
    <w:p>
      <w:pPr>
        <w:jc w:val="center"/>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(自治区安全生产监管局发文)</w:t>
      </w:r>
    </w:p>
    <w:tbl>
      <w:tblPr>
        <w:tblStyle w:val="3"/>
        <w:tblW w:w="9856"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060"/>
        <w:gridCol w:w="3105"/>
      </w:tblGrid>
      <w:tr>
        <w:trPr>
          <w:trHeight w:val="686" w:hRule="atLeast"/>
        </w:trPr>
        <w:tc>
          <w:tcPr>
            <w:tcW w:w="691"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06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10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119" w:hRule="atLeast"/>
        </w:trPr>
        <w:tc>
          <w:tcPr>
            <w:tcW w:w="691" w:type="dxa"/>
            <w:vMerge w:val="continue"/>
            <w:vAlign w:val="top"/>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vertAlign w:val="baseline"/>
                <w:lang w:val="en-US" w:eastAsia="zh-CN"/>
              </w:rPr>
            </w:pPr>
          </w:p>
        </w:tc>
        <w:tc>
          <w:tcPr>
            <w:tcW w:w="6060" w:type="dxa"/>
            <w:vMerge w:val="continue"/>
            <w:vAlign w:val="top"/>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vertAlign w:val="baseline"/>
                <w:lang w:val="en-US" w:eastAsia="zh-CN"/>
              </w:rPr>
            </w:pPr>
          </w:p>
        </w:tc>
        <w:tc>
          <w:tcPr>
            <w:tcW w:w="3105" w:type="dxa"/>
            <w:vMerge w:val="continue"/>
            <w:vAlign w:val="top"/>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vertAlign w:val="baseline"/>
                <w:lang w:val="en-US" w:eastAsia="zh-CN"/>
              </w:rPr>
            </w:pP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0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关于印发《广西壮族自治区安全生产监督管理局门户网站管理暂行办法》的通知</w:t>
            </w:r>
          </w:p>
        </w:tc>
        <w:tc>
          <w:tcPr>
            <w:tcW w:w="31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桂安监管办〔</w:t>
            </w:r>
            <w:r>
              <w:rPr>
                <w:rFonts w:hint="eastAsia" w:ascii="仿宋" w:hAnsi="仿宋" w:eastAsia="仿宋" w:cs="仿宋"/>
                <w:color w:val="auto"/>
                <w:sz w:val="24"/>
                <w:szCs w:val="24"/>
                <w:lang w:val="en-US" w:eastAsia="zh-CN"/>
              </w:rPr>
              <w:t>2011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21号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0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关于印发《广西壮族自治区安全生产监督管理局内部财务管理制度（暂行）》通知</w:t>
            </w:r>
          </w:p>
        </w:tc>
        <w:tc>
          <w:tcPr>
            <w:tcW w:w="31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桂安监管办〔</w:t>
            </w:r>
            <w:r>
              <w:rPr>
                <w:rFonts w:hint="eastAsia" w:ascii="仿宋" w:hAnsi="仿宋" w:eastAsia="仿宋" w:cs="仿宋"/>
                <w:color w:val="auto"/>
                <w:sz w:val="24"/>
                <w:szCs w:val="24"/>
                <w:lang w:val="en-US" w:eastAsia="zh-CN"/>
              </w:rPr>
              <w:t>2011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23号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关于印发《广西工矿商贸企业安全生产标准化建设实施方案》的通知</w:t>
            </w:r>
          </w:p>
        </w:tc>
        <w:tc>
          <w:tcPr>
            <w:tcW w:w="31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桂安监管法规〔2011〕36号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关于印发《建设项目立项前安全条件论证暂行规定》的通知</w:t>
            </w:r>
          </w:p>
        </w:tc>
        <w:tc>
          <w:tcPr>
            <w:tcW w:w="31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桂安监管法规〔2011〕37号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关于印发自治区安监系统质量兴桂战略各级职责的通知</w:t>
            </w:r>
          </w:p>
        </w:tc>
        <w:tc>
          <w:tcPr>
            <w:tcW w:w="3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w:t>
            </w:r>
            <w:r>
              <w:rPr>
                <w:rFonts w:hint="eastAsia" w:ascii="仿宋" w:hAnsi="仿宋" w:eastAsia="仿宋" w:cs="仿宋"/>
                <w:color w:val="auto"/>
                <w:sz w:val="24"/>
                <w:szCs w:val="24"/>
                <w:vertAlign w:val="baseline"/>
                <w:lang w:val="en-US" w:eastAsia="zh-CN"/>
              </w:rPr>
              <w:t>〔2011〕</w:t>
            </w:r>
            <w:r>
              <w:rPr>
                <w:rFonts w:hint="eastAsia" w:ascii="仿宋" w:hAnsi="仿宋" w:eastAsia="仿宋" w:cs="仿宋"/>
                <w:i w:val="0"/>
                <w:color w:val="auto"/>
                <w:kern w:val="0"/>
                <w:sz w:val="24"/>
                <w:szCs w:val="24"/>
                <w:u w:val="none"/>
                <w:lang w:val="en-US" w:eastAsia="zh-CN" w:bidi="ar"/>
              </w:rPr>
              <w:t>23号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转发关于进一步加强台风灾害防御工作意见的通知</w:t>
            </w:r>
          </w:p>
        </w:tc>
        <w:tc>
          <w:tcPr>
            <w:tcW w:w="3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〔2011〕</w:t>
            </w:r>
            <w:r>
              <w:rPr>
                <w:rFonts w:hint="eastAsia" w:ascii="仿宋" w:hAnsi="仿宋" w:eastAsia="仿宋" w:cs="仿宋"/>
                <w:i w:val="0"/>
                <w:color w:val="auto"/>
                <w:kern w:val="0"/>
                <w:sz w:val="24"/>
                <w:szCs w:val="24"/>
                <w:u w:val="none"/>
                <w:lang w:val="en-US" w:eastAsia="zh-CN" w:bidi="ar"/>
              </w:rPr>
              <w:t>4号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转发国家安全监管总局办公厅关于印发安全监管部门应急预案框架指南的通知</w:t>
            </w:r>
          </w:p>
        </w:tc>
        <w:tc>
          <w:tcPr>
            <w:tcW w:w="3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〔2011〕</w:t>
            </w:r>
            <w:r>
              <w:rPr>
                <w:rFonts w:hint="eastAsia" w:ascii="仿宋" w:hAnsi="仿宋" w:eastAsia="仿宋" w:cs="仿宋"/>
                <w:i w:val="0"/>
                <w:color w:val="auto"/>
                <w:kern w:val="0"/>
                <w:sz w:val="24"/>
                <w:szCs w:val="24"/>
                <w:u w:val="none"/>
                <w:lang w:val="en-US" w:eastAsia="zh-CN" w:bidi="ar"/>
              </w:rPr>
              <w:t>18号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6060" w:type="dxa"/>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转发国家煤矿安监局关于深入贯彻落实国办发</w:t>
            </w:r>
            <w:r>
              <w:rPr>
                <w:rFonts w:hint="eastAsia" w:ascii="仿宋" w:hAnsi="仿宋" w:eastAsia="仿宋" w:cs="仿宋"/>
                <w:color w:val="auto"/>
                <w:sz w:val="24"/>
                <w:szCs w:val="24"/>
                <w:lang w:eastAsia="zh-CN"/>
              </w:rPr>
              <w:t>〔2011〕</w:t>
            </w:r>
            <w:r>
              <w:rPr>
                <w:rFonts w:hint="eastAsia" w:ascii="仿宋" w:hAnsi="仿宋" w:eastAsia="仿宋" w:cs="仿宋"/>
                <w:color w:val="auto"/>
                <w:sz w:val="24"/>
                <w:szCs w:val="24"/>
              </w:rPr>
              <w:t>26号文件精神进一步加强煤矿瓦斯防治监管监察的通知</w:t>
            </w:r>
          </w:p>
        </w:tc>
        <w:tc>
          <w:tcPr>
            <w:tcW w:w="31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〔2011〕</w:t>
            </w:r>
            <w:r>
              <w:rPr>
                <w:rFonts w:hint="eastAsia" w:ascii="仿宋" w:hAnsi="仿宋" w:eastAsia="仿宋" w:cs="仿宋"/>
                <w:color w:val="auto"/>
                <w:sz w:val="24"/>
                <w:szCs w:val="24"/>
              </w:rPr>
              <w:t>19号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w:t>
            </w:r>
          </w:p>
        </w:tc>
        <w:tc>
          <w:tcPr>
            <w:tcW w:w="6060" w:type="dxa"/>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转发国家安全监管总局办公厅国家煤矿安监局办公室关于进一步加强煤矿用空气压缩机安全管理的通知</w:t>
            </w:r>
          </w:p>
        </w:tc>
        <w:tc>
          <w:tcPr>
            <w:tcW w:w="31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〔2011〕</w:t>
            </w:r>
            <w:r>
              <w:rPr>
                <w:rFonts w:hint="eastAsia" w:ascii="仿宋" w:hAnsi="仿宋" w:eastAsia="仿宋" w:cs="仿宋"/>
                <w:color w:val="auto"/>
                <w:sz w:val="24"/>
                <w:szCs w:val="24"/>
              </w:rPr>
              <w:t>27号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6060"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关于印发《广西壮族自治区安全生产执法监察工作指导意见》的通知</w:t>
            </w:r>
          </w:p>
        </w:tc>
        <w:tc>
          <w:tcPr>
            <w:tcW w:w="31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桂安监管执法</w:t>
            </w:r>
            <w:r>
              <w:rPr>
                <w:rFonts w:hint="eastAsia" w:ascii="仿宋" w:hAnsi="仿宋" w:eastAsia="仿宋" w:cs="仿宋"/>
                <w:color w:val="auto"/>
                <w:sz w:val="24"/>
                <w:szCs w:val="24"/>
                <w:lang w:eastAsia="zh-CN"/>
              </w:rPr>
              <w:t>〔2011〕</w:t>
            </w:r>
            <w:r>
              <w:rPr>
                <w:rFonts w:hint="eastAsia" w:ascii="仿宋" w:hAnsi="仿宋" w:eastAsia="仿宋" w:cs="仿宋"/>
                <w:color w:val="auto"/>
                <w:sz w:val="24"/>
                <w:szCs w:val="24"/>
              </w:rPr>
              <w:t>11号</w:t>
            </w:r>
          </w:p>
        </w:tc>
      </w:tr>
      <w:t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转发国家安全监管总局关于切实加强非煤矿山安全生产工作的通知</w:t>
            </w:r>
          </w:p>
        </w:tc>
        <w:tc>
          <w:tcPr>
            <w:tcW w:w="31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桂安监管一〔2011〕4号</w:t>
            </w:r>
          </w:p>
        </w:tc>
      </w:tr>
      <w:t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转发国家安全监管总局关于贯彻落实金属与非金属矿产资源地质勘探安全生产监督管理暂行规定的通知</w:t>
            </w:r>
          </w:p>
        </w:tc>
        <w:tc>
          <w:tcPr>
            <w:tcW w:w="31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桂安监管一〔2011〕8号</w:t>
            </w:r>
          </w:p>
        </w:tc>
      </w:tr>
    </w:tbl>
    <w:p>
      <w:pPr>
        <w:jc w:val="both"/>
        <w:rPr>
          <w:rFonts w:hint="eastAsia" w:ascii="仿宋" w:hAnsi="仿宋" w:eastAsia="仿宋" w:cs="仿宋"/>
          <w:color w:val="auto"/>
          <w:sz w:val="32"/>
          <w:szCs w:val="32"/>
          <w:lang w:val="en-US" w:eastAsia="zh-CN"/>
        </w:rPr>
      </w:pPr>
    </w:p>
    <w:p>
      <w:pPr>
        <w:jc w:val="both"/>
        <w:rPr>
          <w:rFonts w:hint="eastAsia" w:ascii="宋体" w:hAnsi="宋体" w:eastAsia="宋体" w:cs="宋体"/>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宣布失效的安全生产文件目录(2012年)</w:t>
      </w:r>
    </w:p>
    <w:p>
      <w:pPr>
        <w:jc w:val="center"/>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(自治区安全生产监管局发文)</w:t>
      </w:r>
    </w:p>
    <w:tbl>
      <w:tblPr>
        <w:tblStyle w:val="3"/>
        <w:tblW w:w="9811"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6015"/>
        <w:gridCol w:w="3090"/>
      </w:tblGrid>
      <w:tr>
        <w:trPr>
          <w:trHeight w:val="686" w:hRule="atLeast"/>
        </w:trPr>
        <w:tc>
          <w:tcPr>
            <w:tcW w:w="7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015"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09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312" w:hRule="atLeast"/>
        </w:trPr>
        <w:tc>
          <w:tcPr>
            <w:tcW w:w="706" w:type="dxa"/>
            <w:vMerge w:val="continue"/>
            <w:vAlign w:val="top"/>
          </w:tcPr>
          <w:p>
            <w:pPr>
              <w:keepNext w:val="0"/>
              <w:keepLines w:val="0"/>
              <w:pageBreakBefore w:val="0"/>
              <w:kinsoku/>
              <w:wordWrap/>
              <w:overflowPunct/>
              <w:topLinePunct w:val="0"/>
              <w:autoSpaceDE/>
              <w:autoSpaceDN/>
              <w:bidi w:val="0"/>
              <w:adjustRightInd/>
              <w:snapToGrid/>
              <w:spacing w:line="360" w:lineRule="exact"/>
              <w:outlineLvl w:val="9"/>
              <w:rPr>
                <w:rFonts w:hint="eastAsia" w:ascii="宋体" w:hAnsi="宋体" w:eastAsia="宋体" w:cs="宋体"/>
                <w:color w:val="auto"/>
                <w:sz w:val="24"/>
                <w:szCs w:val="24"/>
                <w:vertAlign w:val="baseline"/>
                <w:lang w:val="en-US" w:eastAsia="zh-CN"/>
              </w:rPr>
            </w:pPr>
          </w:p>
        </w:tc>
        <w:tc>
          <w:tcPr>
            <w:tcW w:w="6015" w:type="dxa"/>
            <w:vMerge w:val="continue"/>
            <w:vAlign w:val="top"/>
          </w:tcPr>
          <w:p>
            <w:pPr>
              <w:keepNext w:val="0"/>
              <w:keepLines w:val="0"/>
              <w:pageBreakBefore w:val="0"/>
              <w:kinsoku/>
              <w:wordWrap/>
              <w:overflowPunct/>
              <w:topLinePunct w:val="0"/>
              <w:autoSpaceDE/>
              <w:autoSpaceDN/>
              <w:bidi w:val="0"/>
              <w:adjustRightInd/>
              <w:snapToGrid/>
              <w:spacing w:line="360" w:lineRule="exact"/>
              <w:outlineLvl w:val="9"/>
              <w:rPr>
                <w:rFonts w:hint="eastAsia" w:ascii="宋体" w:hAnsi="宋体" w:eastAsia="宋体" w:cs="宋体"/>
                <w:color w:val="auto"/>
                <w:sz w:val="24"/>
                <w:szCs w:val="24"/>
                <w:vertAlign w:val="baseline"/>
                <w:lang w:val="en-US" w:eastAsia="zh-CN"/>
              </w:rPr>
            </w:pPr>
          </w:p>
        </w:tc>
        <w:tc>
          <w:tcPr>
            <w:tcW w:w="3090" w:type="dxa"/>
            <w:vMerge w:val="continue"/>
            <w:vAlign w:val="top"/>
          </w:tcPr>
          <w:p>
            <w:pPr>
              <w:keepNext w:val="0"/>
              <w:keepLines w:val="0"/>
              <w:pageBreakBefore w:val="0"/>
              <w:kinsoku/>
              <w:wordWrap/>
              <w:overflowPunct/>
              <w:topLinePunct w:val="0"/>
              <w:autoSpaceDE/>
              <w:autoSpaceDN/>
              <w:bidi w:val="0"/>
              <w:adjustRightInd/>
              <w:snapToGrid/>
              <w:spacing w:line="360" w:lineRule="exact"/>
              <w:outlineLvl w:val="9"/>
              <w:rPr>
                <w:rFonts w:hint="eastAsia" w:ascii="宋体" w:hAnsi="宋体" w:eastAsia="宋体" w:cs="宋体"/>
                <w:color w:val="auto"/>
                <w:sz w:val="24"/>
                <w:szCs w:val="24"/>
                <w:vertAlign w:val="baseline"/>
                <w:lang w:val="en-US" w:eastAsia="zh-CN"/>
              </w:rPr>
            </w:pP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015" w:type="dxa"/>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关于成立自治区安监局国家安全领导小组的通知</w:t>
            </w:r>
          </w:p>
        </w:tc>
        <w:tc>
          <w:tcPr>
            <w:tcW w:w="3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8号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关于印发安全生产行政审批项目操作规范标准化实施方案的通知</w:t>
            </w:r>
          </w:p>
        </w:tc>
        <w:tc>
          <w:tcPr>
            <w:tcW w:w="3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桂安监管法规〔2012〕13号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广西壮族自治区安全监督管理局关于印发《安全生产行政审批项目委托实施管理办法》的通知</w:t>
            </w:r>
          </w:p>
        </w:tc>
        <w:tc>
          <w:tcPr>
            <w:tcW w:w="3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桂安监管法规〔2012〕26号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广西安全生产监督管理局行政审批管理办法</w:t>
            </w:r>
          </w:p>
        </w:tc>
        <w:tc>
          <w:tcPr>
            <w:tcW w:w="3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桂安监管法规〔2012〕29号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关于做好安全生产（经营）许可证委托制证工作的通知</w:t>
            </w:r>
          </w:p>
        </w:tc>
        <w:tc>
          <w:tcPr>
            <w:tcW w:w="3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桂安监管法规〔2012〕31号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关于桂林市部分矿山企业与公安消防队伍签订救援协议有关问题的复函</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桂安监管函</w:t>
            </w:r>
            <w:r>
              <w:rPr>
                <w:rFonts w:hint="eastAsia" w:ascii="仿宋" w:hAnsi="仿宋" w:eastAsia="仿宋" w:cs="仿宋"/>
                <w:color w:val="auto"/>
                <w:sz w:val="24"/>
                <w:szCs w:val="24"/>
                <w:vertAlign w:val="baseline"/>
                <w:lang w:val="en-US" w:eastAsia="zh-CN"/>
              </w:rPr>
              <w:t>〔2012〕</w:t>
            </w:r>
            <w:r>
              <w:rPr>
                <w:rFonts w:hint="eastAsia" w:ascii="仿宋" w:hAnsi="仿宋" w:eastAsia="仿宋" w:cs="仿宋"/>
                <w:i w:val="0"/>
                <w:color w:val="auto"/>
                <w:kern w:val="0"/>
                <w:sz w:val="24"/>
                <w:szCs w:val="24"/>
                <w:u w:val="none"/>
                <w:lang w:val="en-US" w:eastAsia="zh-CN" w:bidi="ar"/>
              </w:rPr>
              <w:t>136号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关于印发《自治区安监局应急管理规范化建设实施方案》通知</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〔2012〕</w:t>
            </w:r>
            <w:r>
              <w:rPr>
                <w:rFonts w:hint="eastAsia" w:ascii="仿宋" w:hAnsi="仿宋" w:eastAsia="仿宋" w:cs="仿宋"/>
                <w:i w:val="0"/>
                <w:color w:val="auto"/>
                <w:kern w:val="0"/>
                <w:sz w:val="24"/>
                <w:szCs w:val="24"/>
                <w:u w:val="none"/>
                <w:lang w:val="en-US" w:eastAsia="zh-CN" w:bidi="ar"/>
              </w:rPr>
              <w:t>11号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转发国家安全监管总局关于进一步加强安全生产统计工作指导意见的通知</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〔2012〕</w:t>
            </w:r>
            <w:r>
              <w:rPr>
                <w:rFonts w:hint="eastAsia" w:ascii="仿宋" w:hAnsi="仿宋" w:eastAsia="仿宋" w:cs="仿宋"/>
                <w:i w:val="0"/>
                <w:color w:val="auto"/>
                <w:kern w:val="0"/>
                <w:sz w:val="24"/>
                <w:szCs w:val="24"/>
                <w:u w:val="none"/>
                <w:lang w:val="en-US" w:eastAsia="zh-CN" w:bidi="ar"/>
              </w:rPr>
              <w:t>15号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转发国家安全监管总局办公厅关于印发安全生产信息报告和统计工作规范的通知</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〔2012〕</w:t>
            </w:r>
            <w:r>
              <w:rPr>
                <w:rFonts w:hint="eastAsia" w:ascii="仿宋" w:hAnsi="仿宋" w:eastAsia="仿宋" w:cs="仿宋"/>
                <w:i w:val="0"/>
                <w:color w:val="auto"/>
                <w:kern w:val="0"/>
                <w:sz w:val="24"/>
                <w:szCs w:val="24"/>
                <w:u w:val="none"/>
                <w:lang w:val="en-US" w:eastAsia="zh-CN" w:bidi="ar"/>
              </w:rPr>
              <w:t>23号</w:t>
            </w:r>
          </w:p>
        </w:tc>
      </w:tr>
      <w:tr>
        <w:trPr>
          <w:trHeight w:val="90" w:hRule="atLeast"/>
        </w:trP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转发国家安全监管总局关于加强科学施救提高生产安全事故灾难应急救援水平的指导意见</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〔2012〕</w:t>
            </w:r>
            <w:r>
              <w:rPr>
                <w:rFonts w:hint="eastAsia" w:ascii="仿宋" w:hAnsi="仿宋" w:eastAsia="仿宋" w:cs="仿宋"/>
                <w:i w:val="0"/>
                <w:color w:val="auto"/>
                <w:kern w:val="0"/>
                <w:sz w:val="24"/>
                <w:szCs w:val="24"/>
                <w:u w:val="none"/>
                <w:lang w:val="en-US" w:eastAsia="zh-CN" w:bidi="ar"/>
              </w:rPr>
              <w:t>30号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关于印发广西壮族自治区矿山、危险化学品、烟花爆竹安全事故应急预案的通知</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〔2012〕</w:t>
            </w:r>
            <w:r>
              <w:rPr>
                <w:rFonts w:hint="eastAsia" w:ascii="仿宋" w:hAnsi="仿宋" w:eastAsia="仿宋" w:cs="仿宋"/>
                <w:i w:val="0"/>
                <w:color w:val="auto"/>
                <w:kern w:val="0"/>
                <w:sz w:val="24"/>
                <w:szCs w:val="24"/>
                <w:u w:val="none"/>
                <w:lang w:val="en-US" w:eastAsia="zh-CN" w:bidi="ar"/>
              </w:rPr>
              <w:t>31号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w:t>
            </w:r>
          </w:p>
        </w:tc>
        <w:tc>
          <w:tcPr>
            <w:tcW w:w="6015" w:type="dxa"/>
            <w:vAlign w:val="center"/>
          </w:tcPr>
          <w:p>
            <w:pPr>
              <w:keepNext w:val="0"/>
              <w:keepLines w:val="0"/>
              <w:pageBreakBefore w:val="0"/>
              <w:kinsoku/>
              <w:wordWrap/>
              <w:overflowPunct/>
              <w:topLinePunct w:val="0"/>
              <w:autoSpaceDE/>
              <w:autoSpaceDN/>
              <w:bidi w:val="0"/>
              <w:adjustRightInd/>
              <w:snapToGrid/>
              <w:spacing w:line="36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关于进一步加强安全生产行政执法统计工作的通知</w:t>
            </w:r>
          </w:p>
        </w:tc>
        <w:tc>
          <w:tcPr>
            <w:tcW w:w="3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桂安监管执法</w:t>
            </w:r>
            <w:r>
              <w:rPr>
                <w:rFonts w:hint="eastAsia" w:ascii="仿宋" w:hAnsi="仿宋" w:eastAsia="仿宋" w:cs="仿宋"/>
                <w:color w:val="auto"/>
                <w:sz w:val="24"/>
                <w:szCs w:val="24"/>
                <w:lang w:eastAsia="zh-CN"/>
              </w:rPr>
              <w:t>〔2012〕</w:t>
            </w:r>
            <w:r>
              <w:rPr>
                <w:rFonts w:hint="eastAsia" w:ascii="仿宋" w:hAnsi="仿宋" w:eastAsia="仿宋" w:cs="仿宋"/>
                <w:color w:val="auto"/>
                <w:sz w:val="24"/>
                <w:szCs w:val="24"/>
              </w:rPr>
              <w:t>5号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转发国家安全监管总局办公厅关于港区内危险化学品安全监管有关问题复函的通知</w:t>
            </w:r>
          </w:p>
        </w:tc>
        <w:tc>
          <w:tcPr>
            <w:tcW w:w="3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lang w:eastAsia="zh-CN"/>
              </w:rPr>
              <w:t>〔2012〕</w:t>
            </w: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转发国家安全监管总局办公厅关于相邻露天矿山开采等范围之间最小安全距离有关问题的复函</w:t>
            </w:r>
          </w:p>
        </w:tc>
        <w:tc>
          <w:tcPr>
            <w:tcW w:w="3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桂安监管一〔2012〕5号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60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关于调整非煤矿山建设项目安全设施“三同时”审批权限的通知</w:t>
            </w:r>
          </w:p>
        </w:tc>
        <w:tc>
          <w:tcPr>
            <w:tcW w:w="3090"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桂安监管一〔2012〕23</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w:t>
            </w:r>
          </w:p>
        </w:tc>
        <w:tc>
          <w:tcPr>
            <w:tcW w:w="6015"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kern w:val="0"/>
                <w:sz w:val="24"/>
                <w:szCs w:val="24"/>
                <w:lang w:bidi="ar"/>
              </w:rPr>
              <w:t>关于做好冶金有色行业煤气作业操作人员持证上岗工作的通知</w:t>
            </w:r>
          </w:p>
        </w:tc>
        <w:tc>
          <w:tcPr>
            <w:tcW w:w="309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kern w:val="0"/>
                <w:sz w:val="24"/>
                <w:szCs w:val="24"/>
                <w:lang w:bidi="ar"/>
              </w:rPr>
              <w:t>桂安监管二</w:t>
            </w:r>
            <w:r>
              <w:rPr>
                <w:rFonts w:hint="eastAsia" w:ascii="仿宋" w:hAnsi="仿宋" w:eastAsia="仿宋" w:cs="仿宋"/>
                <w:color w:val="auto"/>
                <w:sz w:val="24"/>
                <w:szCs w:val="24"/>
                <w:lang w:eastAsia="zh-CN"/>
              </w:rPr>
              <w:t>〔201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kern w:val="0"/>
                <w:sz w:val="24"/>
                <w:szCs w:val="24"/>
                <w:lang w:val="en-US" w:eastAsia="zh-CN" w:bidi="ar"/>
              </w:rPr>
              <w:t>9</w:t>
            </w:r>
            <w:r>
              <w:rPr>
                <w:rFonts w:hint="eastAsia" w:ascii="仿宋" w:hAnsi="仿宋" w:eastAsia="仿宋" w:cs="仿宋"/>
                <w:color w:val="auto"/>
                <w:kern w:val="0"/>
                <w:sz w:val="24"/>
                <w:szCs w:val="24"/>
                <w:lang w:bidi="ar"/>
              </w:rPr>
              <w:t>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17</w:t>
            </w:r>
          </w:p>
        </w:tc>
        <w:tc>
          <w:tcPr>
            <w:tcW w:w="6015"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kern w:val="0"/>
                <w:sz w:val="24"/>
                <w:szCs w:val="24"/>
                <w:lang w:bidi="ar"/>
              </w:rPr>
              <w:t>转发国家安全监管总局办公厅关于启用冶金等工贸企业安全生产标准化达标信息管理系统的通知</w:t>
            </w:r>
          </w:p>
        </w:tc>
        <w:tc>
          <w:tcPr>
            <w:tcW w:w="309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kern w:val="0"/>
                <w:sz w:val="24"/>
                <w:szCs w:val="24"/>
                <w:lang w:bidi="ar"/>
              </w:rPr>
              <w:t>桂安监管二</w:t>
            </w:r>
            <w:r>
              <w:rPr>
                <w:rFonts w:hint="eastAsia" w:ascii="仿宋" w:hAnsi="仿宋" w:eastAsia="仿宋" w:cs="仿宋"/>
                <w:color w:val="auto"/>
                <w:sz w:val="24"/>
                <w:szCs w:val="24"/>
                <w:lang w:eastAsia="zh-CN"/>
              </w:rPr>
              <w:t>〔201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kern w:val="0"/>
                <w:sz w:val="24"/>
                <w:szCs w:val="24"/>
                <w:lang w:val="en-US" w:eastAsia="zh-CN" w:bidi="ar"/>
              </w:rPr>
              <w:t>25</w:t>
            </w:r>
            <w:r>
              <w:rPr>
                <w:rFonts w:hint="eastAsia" w:ascii="仿宋" w:hAnsi="仿宋" w:eastAsia="仿宋" w:cs="仿宋"/>
                <w:color w:val="auto"/>
                <w:kern w:val="0"/>
                <w:sz w:val="24"/>
                <w:szCs w:val="24"/>
                <w:lang w:bidi="ar"/>
              </w:rPr>
              <w:t>号</w:t>
            </w:r>
          </w:p>
        </w:tc>
      </w:tr>
      <w:tr>
        <w:tc>
          <w:tcPr>
            <w:tcW w:w="706" w:type="dxa"/>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18</w:t>
            </w:r>
          </w:p>
        </w:tc>
        <w:tc>
          <w:tcPr>
            <w:tcW w:w="6015"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kern w:val="0"/>
                <w:sz w:val="24"/>
                <w:szCs w:val="24"/>
                <w:lang w:bidi="ar"/>
              </w:rPr>
              <w:t>关于做好安全生产标准化证书信息</w:t>
            </w:r>
            <w:r>
              <w:rPr>
                <w:rFonts w:hint="eastAsia" w:ascii="仿宋" w:hAnsi="仿宋" w:eastAsia="仿宋" w:cs="仿宋"/>
                <w:color w:val="auto"/>
                <w:kern w:val="0"/>
                <w:sz w:val="24"/>
                <w:szCs w:val="24"/>
                <w:lang w:eastAsia="zh-CN" w:bidi="ar"/>
              </w:rPr>
              <w:t>补</w:t>
            </w:r>
            <w:r>
              <w:rPr>
                <w:rFonts w:hint="eastAsia" w:ascii="仿宋" w:hAnsi="仿宋" w:eastAsia="仿宋" w:cs="仿宋"/>
                <w:color w:val="auto"/>
                <w:kern w:val="0"/>
                <w:sz w:val="24"/>
                <w:szCs w:val="24"/>
                <w:lang w:bidi="ar"/>
              </w:rPr>
              <w:t>录工作的通知</w:t>
            </w:r>
          </w:p>
        </w:tc>
        <w:tc>
          <w:tcPr>
            <w:tcW w:w="309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kern w:val="0"/>
                <w:sz w:val="24"/>
                <w:szCs w:val="24"/>
                <w:lang w:bidi="ar"/>
              </w:rPr>
              <w:t>桂安监管二</w:t>
            </w:r>
            <w:r>
              <w:rPr>
                <w:rFonts w:hint="eastAsia" w:ascii="仿宋" w:hAnsi="仿宋" w:eastAsia="仿宋" w:cs="仿宋"/>
                <w:color w:val="auto"/>
                <w:sz w:val="24"/>
                <w:szCs w:val="24"/>
                <w:lang w:eastAsia="zh-CN"/>
              </w:rPr>
              <w:t>〔201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kern w:val="0"/>
                <w:sz w:val="24"/>
                <w:szCs w:val="24"/>
                <w:lang w:val="en-US" w:eastAsia="zh-CN" w:bidi="ar"/>
              </w:rPr>
              <w:t>49</w:t>
            </w:r>
            <w:r>
              <w:rPr>
                <w:rFonts w:hint="eastAsia" w:ascii="仿宋" w:hAnsi="仿宋" w:eastAsia="仿宋" w:cs="仿宋"/>
                <w:color w:val="auto"/>
                <w:kern w:val="0"/>
                <w:sz w:val="24"/>
                <w:szCs w:val="24"/>
                <w:lang w:bidi="ar"/>
              </w:rPr>
              <w:t>号</w:t>
            </w:r>
          </w:p>
        </w:tc>
      </w:tr>
    </w:tbl>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宣布失效的安全生产文件目录(2013年)</w:t>
      </w:r>
    </w:p>
    <w:p>
      <w:pPr>
        <w:jc w:val="center"/>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(自治区安全生产监管局发文)</w:t>
      </w:r>
    </w:p>
    <w:tbl>
      <w:tblPr>
        <w:tblStyle w:val="3"/>
        <w:tblW w:w="9811"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6150"/>
        <w:gridCol w:w="3045"/>
      </w:tblGrid>
      <w:tr>
        <w:trPr>
          <w:trHeight w:val="686" w:hRule="atLeast"/>
        </w:trPr>
        <w:tc>
          <w:tcPr>
            <w:tcW w:w="616" w:type="dxa"/>
            <w:vMerge w:val="restart"/>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150" w:type="dxa"/>
            <w:vMerge w:val="restart"/>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045" w:type="dxa"/>
            <w:vMerge w:val="restart"/>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119" w:hRule="atLeast"/>
        </w:trPr>
        <w:tc>
          <w:tcPr>
            <w:tcW w:w="616" w:type="dxa"/>
            <w:vMerge w:val="continue"/>
            <w:vAlign w:val="top"/>
          </w:tcPr>
          <w:p>
            <w:pPr>
              <w:keepNext w:val="0"/>
              <w:keepLines w:val="0"/>
              <w:pageBreakBefore w:val="0"/>
              <w:kinsoku/>
              <w:wordWrap/>
              <w:overflowPunct/>
              <w:topLinePunct w:val="0"/>
              <w:autoSpaceDE/>
              <w:autoSpaceDN/>
              <w:bidi w:val="0"/>
              <w:adjustRightInd/>
              <w:snapToGrid/>
              <w:spacing w:line="380" w:lineRule="exact"/>
              <w:outlineLvl w:val="9"/>
              <w:rPr>
                <w:rFonts w:hint="eastAsia" w:ascii="宋体" w:hAnsi="宋体" w:eastAsia="宋体" w:cs="宋体"/>
                <w:color w:val="auto"/>
                <w:sz w:val="24"/>
                <w:szCs w:val="24"/>
                <w:vertAlign w:val="baseline"/>
                <w:lang w:val="en-US" w:eastAsia="zh-CN"/>
              </w:rPr>
            </w:pPr>
          </w:p>
        </w:tc>
        <w:tc>
          <w:tcPr>
            <w:tcW w:w="6150" w:type="dxa"/>
            <w:vMerge w:val="continue"/>
            <w:vAlign w:val="top"/>
          </w:tcPr>
          <w:p>
            <w:pPr>
              <w:keepNext w:val="0"/>
              <w:keepLines w:val="0"/>
              <w:pageBreakBefore w:val="0"/>
              <w:kinsoku/>
              <w:wordWrap/>
              <w:overflowPunct/>
              <w:topLinePunct w:val="0"/>
              <w:autoSpaceDE/>
              <w:autoSpaceDN/>
              <w:bidi w:val="0"/>
              <w:adjustRightInd/>
              <w:snapToGrid/>
              <w:spacing w:line="380" w:lineRule="exact"/>
              <w:outlineLvl w:val="9"/>
              <w:rPr>
                <w:rFonts w:hint="eastAsia" w:ascii="宋体" w:hAnsi="宋体" w:eastAsia="宋体" w:cs="宋体"/>
                <w:color w:val="auto"/>
                <w:sz w:val="24"/>
                <w:szCs w:val="24"/>
                <w:vertAlign w:val="baseline"/>
                <w:lang w:val="en-US" w:eastAsia="zh-CN"/>
              </w:rPr>
            </w:pPr>
          </w:p>
        </w:tc>
        <w:tc>
          <w:tcPr>
            <w:tcW w:w="3045" w:type="dxa"/>
            <w:vMerge w:val="continue"/>
            <w:vAlign w:val="top"/>
          </w:tcPr>
          <w:p>
            <w:pPr>
              <w:keepNext w:val="0"/>
              <w:keepLines w:val="0"/>
              <w:pageBreakBefore w:val="0"/>
              <w:kinsoku/>
              <w:wordWrap/>
              <w:overflowPunct/>
              <w:topLinePunct w:val="0"/>
              <w:autoSpaceDE/>
              <w:autoSpaceDN/>
              <w:bidi w:val="0"/>
              <w:adjustRightInd/>
              <w:snapToGrid/>
              <w:spacing w:line="380" w:lineRule="exact"/>
              <w:outlineLvl w:val="9"/>
              <w:rPr>
                <w:rFonts w:hint="eastAsia" w:ascii="宋体" w:hAnsi="宋体" w:eastAsia="宋体" w:cs="宋体"/>
                <w:color w:val="auto"/>
                <w:sz w:val="24"/>
                <w:szCs w:val="24"/>
                <w:vertAlign w:val="baseline"/>
                <w:lang w:val="en-US" w:eastAsia="zh-CN"/>
              </w:rPr>
            </w:pP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关于印发《广西壮族自治区安全生产监督管理局图书室管理制度》的通知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桂安监管办〔</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关于对自治区安监局政务公开和信息公开工作领导小组人员进行调整的通知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桂安监管办〔</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10号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关于成立自治区安监局招投标领导小组的通知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关于成立安全生产宣传工作小组的通知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31号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关于调整局普法依法治理领导小组成员的通知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32号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关于调整自治区安监局密码工作管理办公室组成人员名单的通知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39号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关于调整自治区安监局国家安全领导小组人员的通知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40号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关于调整广西壮族自治区安全生产监督管理局保密、档案领导小组人员的通知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41号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关于调整自治区安监局计划生育领导小组的通知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54号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jc w:val="both"/>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关于成立局网络信息安全协调小组的通知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桂安监管〔</w:t>
            </w:r>
            <w:r>
              <w:rPr>
                <w:rFonts w:hint="eastAsia" w:ascii="仿宋" w:hAnsi="仿宋" w:eastAsia="仿宋" w:cs="仿宋"/>
                <w:color w:val="auto"/>
                <w:sz w:val="24"/>
                <w:szCs w:val="24"/>
                <w:lang w:val="en-US" w:eastAsia="zh-CN"/>
              </w:rPr>
              <w:t>2013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64号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11</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关于印发《广西壮族自治区安全生产监督管理局安全生产行政复议程序规定》的通知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桂安监管法规〔2013〕9号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12</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关于贯彻落实《特种作业人员安全技术培训考核管理规定》有关事项的通知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ind w:right="-109" w:rightChars="-52"/>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桂安监管法规〔2013〕26号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13</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关于做好《煤矿安全质量标准化考核评级办法（试行）》实施工作的通知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lang w:eastAsia="zh-CN"/>
              </w:rPr>
              <w:t>〔2013〕</w:t>
            </w:r>
            <w:r>
              <w:rPr>
                <w:rFonts w:hint="eastAsia" w:ascii="仿宋" w:hAnsi="仿宋" w:eastAsia="仿宋" w:cs="仿宋"/>
                <w:color w:val="auto"/>
                <w:sz w:val="24"/>
                <w:szCs w:val="24"/>
              </w:rPr>
              <w:t>13号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关于开展执法监察队伍标准化建设活动的通知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桂安监管执法</w:t>
            </w:r>
            <w:r>
              <w:rPr>
                <w:rFonts w:hint="eastAsia" w:ascii="仿宋" w:hAnsi="仿宋" w:eastAsia="仿宋" w:cs="仿宋"/>
                <w:color w:val="auto"/>
                <w:sz w:val="24"/>
                <w:szCs w:val="24"/>
                <w:lang w:eastAsia="zh-CN"/>
              </w:rPr>
              <w:t>〔2013〕</w:t>
            </w:r>
            <w:r>
              <w:rPr>
                <w:rFonts w:hint="eastAsia" w:ascii="仿宋" w:hAnsi="仿宋" w:eastAsia="仿宋" w:cs="仿宋"/>
                <w:color w:val="auto"/>
                <w:sz w:val="24"/>
                <w:szCs w:val="24"/>
              </w:rPr>
              <w:t>6号</w:t>
            </w:r>
          </w:p>
        </w:tc>
      </w:tr>
      <w:tr>
        <w:trPr>
          <w:trHeight w:val="0" w:hRule="atLeast"/>
        </w:trP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6150" w:type="dxa"/>
            <w:vAlign w:val="center"/>
          </w:tcPr>
          <w:p>
            <w:pPr>
              <w:keepNext w:val="0"/>
              <w:keepLines w:val="0"/>
              <w:pageBreakBefore w:val="0"/>
              <w:kinsoku/>
              <w:wordWrap/>
              <w:overflowPunct/>
              <w:topLinePunct w:val="0"/>
              <w:autoSpaceDE/>
              <w:autoSpaceDN/>
              <w:bidi w:val="0"/>
              <w:adjustRightInd/>
              <w:snapToGrid/>
              <w:spacing w:line="380" w:lineRule="exac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关于切实加强安全生产执法监察工作的通知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桂安监管执法</w:t>
            </w:r>
            <w:r>
              <w:rPr>
                <w:rFonts w:hint="eastAsia" w:ascii="仿宋" w:hAnsi="仿宋" w:eastAsia="仿宋" w:cs="仿宋"/>
                <w:color w:val="auto"/>
                <w:sz w:val="24"/>
                <w:szCs w:val="24"/>
                <w:lang w:eastAsia="zh-CN"/>
              </w:rPr>
              <w:t>〔2013〕</w:t>
            </w:r>
            <w:r>
              <w:rPr>
                <w:rFonts w:hint="eastAsia" w:ascii="仿宋" w:hAnsi="仿宋" w:eastAsia="仿宋" w:cs="仿宋"/>
                <w:color w:val="auto"/>
                <w:sz w:val="24"/>
                <w:szCs w:val="24"/>
              </w:rPr>
              <w:t>7号</w:t>
            </w:r>
          </w:p>
        </w:tc>
      </w:tr>
      <w:t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16</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关于严格执行金属非金属矿山建设项目安全专篇写提纲等文书格式的通知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桂安监管一〔2013〕10号</w:t>
            </w:r>
          </w:p>
        </w:tc>
      </w:tr>
      <w:t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17</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转发国家安全监管总局办公厅关于危险化学品安全监管有关问题复函的通知</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桂安监管</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lang w:eastAsia="zh-CN"/>
              </w:rPr>
              <w:t>〔2013〕</w:t>
            </w: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号</w:t>
            </w:r>
          </w:p>
        </w:tc>
      </w:tr>
      <w:tr>
        <w:tc>
          <w:tcPr>
            <w:tcW w:w="616"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18</w:t>
            </w:r>
          </w:p>
        </w:tc>
        <w:tc>
          <w:tcPr>
            <w:tcW w:w="615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关于陆川县恒安铁沙岗铁矿安全监管涉及有关问题的复函</w:t>
            </w:r>
          </w:p>
        </w:tc>
        <w:tc>
          <w:tcPr>
            <w:tcW w:w="3045" w:type="dxa"/>
            <w:vAlign w:val="center"/>
          </w:tcPr>
          <w:p>
            <w:pPr>
              <w:keepNext w:val="0"/>
              <w:keepLines w:val="0"/>
              <w:pageBreakBefore w:val="0"/>
              <w:kinsoku/>
              <w:wordWrap/>
              <w:overflowPunct/>
              <w:topLinePunct w:val="0"/>
              <w:autoSpaceDE/>
              <w:autoSpaceDN/>
              <w:bidi w:val="0"/>
              <w:adjustRightInd/>
              <w:snapToGrid/>
              <w:spacing w:line="38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桂安监管函〔2013〕177号</w:t>
            </w:r>
          </w:p>
        </w:tc>
      </w:tr>
    </w:tbl>
    <w:p>
      <w:pPr>
        <w:jc w:val="both"/>
        <w:rPr>
          <w:rFonts w:hint="eastAsia" w:ascii="仿宋" w:hAnsi="仿宋" w:eastAsia="仿宋" w:cs="仿宋"/>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宣布失效的安全生产文件目录(2014年)</w:t>
      </w:r>
    </w:p>
    <w:p>
      <w:pPr>
        <w:ind w:firstLine="1929" w:firstLineChars="603"/>
        <w:jc w:val="both"/>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 (自治区安全生产监管局发文)</w:t>
      </w:r>
    </w:p>
    <w:tbl>
      <w:tblPr>
        <w:tblStyle w:val="3"/>
        <w:tblW w:w="9799"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180"/>
        <w:gridCol w:w="3015"/>
      </w:tblGrid>
      <w:tr>
        <w:trPr>
          <w:trHeight w:val="686" w:hRule="atLeast"/>
        </w:trPr>
        <w:tc>
          <w:tcPr>
            <w:tcW w:w="604"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18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01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312" w:hRule="atLeast"/>
        </w:trPr>
        <w:tc>
          <w:tcPr>
            <w:tcW w:w="604"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6180"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3015"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1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关于公布保留、下放、取消行政审批事项目录的通知</w:t>
            </w:r>
          </w:p>
        </w:tc>
        <w:tc>
          <w:tcPr>
            <w:tcW w:w="3015" w:type="dxa"/>
            <w:vAlign w:val="center"/>
          </w:tcPr>
          <w:p>
            <w:pPr>
              <w:keepNext w:val="0"/>
              <w:keepLines w:val="0"/>
              <w:pageBreakBefore w:val="0"/>
              <w:kinsoku/>
              <w:wordWrap/>
              <w:overflowPunct/>
              <w:topLinePunct w:val="0"/>
              <w:autoSpaceDE/>
              <w:autoSpaceDN/>
              <w:bidi w:val="0"/>
              <w:adjustRightInd/>
              <w:snapToGrid/>
              <w:spacing w:line="400" w:lineRule="exact"/>
              <w:ind w:right="-141" w:rightChars="-67"/>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桂安监管法规〔2014〕12号</w:t>
            </w:r>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1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转发国家安全监管总局办公厅关于进一步加强生产经营单位一线从业人员应急培训的通知</w:t>
            </w:r>
          </w:p>
        </w:tc>
        <w:tc>
          <w:tcPr>
            <w:tcW w:w="30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桂安监管应急</w:t>
            </w:r>
            <w:r>
              <w:rPr>
                <w:rFonts w:hint="eastAsia" w:ascii="仿宋" w:hAnsi="仿宋" w:eastAsia="仿宋" w:cs="仿宋"/>
                <w:color w:val="auto"/>
                <w:sz w:val="24"/>
                <w:szCs w:val="24"/>
                <w:vertAlign w:val="baseline"/>
                <w:lang w:val="en-US" w:eastAsia="zh-CN"/>
              </w:rPr>
              <w:t>〔2014〕</w:t>
            </w:r>
            <w:r>
              <w:rPr>
                <w:rFonts w:hint="eastAsia" w:ascii="仿宋" w:hAnsi="仿宋" w:eastAsia="仿宋" w:cs="仿宋"/>
                <w:i w:val="0"/>
                <w:color w:val="auto"/>
                <w:kern w:val="0"/>
                <w:sz w:val="24"/>
                <w:szCs w:val="24"/>
                <w:u w:val="none"/>
                <w:lang w:val="en-US" w:eastAsia="zh-CN" w:bidi="ar"/>
              </w:rPr>
              <w:t>4号</w:t>
            </w:r>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180" w:type="dxa"/>
            <w:vAlign w:val="center"/>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转发《国家安全监管总局关于印发安全生产行政执法统计制度的通知》的通知</w:t>
            </w:r>
          </w:p>
        </w:tc>
        <w:tc>
          <w:tcPr>
            <w:tcW w:w="301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桂安监管执法</w:t>
            </w:r>
            <w:r>
              <w:rPr>
                <w:rFonts w:hint="eastAsia" w:ascii="仿宋" w:hAnsi="仿宋" w:eastAsia="仿宋" w:cs="仿宋"/>
                <w:color w:val="auto"/>
                <w:sz w:val="24"/>
                <w:szCs w:val="24"/>
                <w:lang w:eastAsia="zh-CN"/>
              </w:rPr>
              <w:t>〔2014〕</w:t>
            </w:r>
            <w:r>
              <w:rPr>
                <w:rFonts w:hint="eastAsia" w:ascii="仿宋" w:hAnsi="仿宋" w:eastAsia="仿宋" w:cs="仿宋"/>
                <w:color w:val="auto"/>
                <w:sz w:val="24"/>
                <w:szCs w:val="24"/>
              </w:rPr>
              <w:t>1号</w:t>
            </w:r>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180" w:type="dxa"/>
            <w:vAlign w:val="center"/>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转发国家安全监管总局办公厅关于做好生产安全事故调查处理情况统计工作的通知</w:t>
            </w:r>
          </w:p>
        </w:tc>
        <w:tc>
          <w:tcPr>
            <w:tcW w:w="301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桂安监管执法</w:t>
            </w:r>
            <w:r>
              <w:rPr>
                <w:rFonts w:hint="eastAsia" w:ascii="仿宋" w:hAnsi="仿宋" w:eastAsia="仿宋" w:cs="仿宋"/>
                <w:color w:val="auto"/>
                <w:sz w:val="24"/>
                <w:szCs w:val="24"/>
                <w:lang w:eastAsia="zh-CN"/>
              </w:rPr>
              <w:t>〔2014〕</w:t>
            </w:r>
            <w:r>
              <w:rPr>
                <w:rFonts w:hint="eastAsia" w:ascii="仿宋" w:hAnsi="仿宋" w:eastAsia="仿宋" w:cs="仿宋"/>
                <w:color w:val="auto"/>
                <w:sz w:val="24"/>
                <w:szCs w:val="24"/>
              </w:rPr>
              <w:t>2号</w:t>
            </w:r>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61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转发国家安全监管总局办公厅关于坚决遏制岁末年初化工、危险化学品和烟花爆竹较大以上事故的通知</w:t>
            </w:r>
          </w:p>
        </w:tc>
        <w:tc>
          <w:tcPr>
            <w:tcW w:w="301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未编文号</w:t>
            </w:r>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61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w:t>
            </w:r>
            <w:r>
              <w:rPr>
                <w:rFonts w:hint="default" w:ascii="仿宋" w:hAnsi="仿宋" w:eastAsia="仿宋" w:cs="仿宋"/>
                <w:i w:val="0"/>
                <w:color w:val="auto"/>
                <w:kern w:val="0"/>
                <w:sz w:val="24"/>
                <w:szCs w:val="24"/>
                <w:u w:val="none"/>
                <w:lang w:eastAsia="zh-CN" w:bidi="ar"/>
              </w:rPr>
              <w:t>国家安全生产监督管理总局</w:t>
            </w:r>
            <w:r>
              <w:rPr>
                <w:rFonts w:hint="eastAsia" w:ascii="仿宋" w:hAnsi="仿宋" w:eastAsia="仿宋" w:cs="仿宋"/>
                <w:i w:val="0"/>
                <w:color w:val="auto"/>
                <w:kern w:val="0"/>
                <w:sz w:val="24"/>
                <w:szCs w:val="24"/>
                <w:u w:val="none"/>
                <w:lang w:val="en-US" w:eastAsia="zh-CN" w:bidi="ar"/>
              </w:rPr>
              <w:t>办公厅关于涉及石油天然气长输管道安全生产相关许可问题复函的通知</w:t>
            </w:r>
          </w:p>
        </w:tc>
        <w:tc>
          <w:tcPr>
            <w:tcW w:w="301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lang w:eastAsia="zh-CN"/>
              </w:rPr>
              <w:t>〔2014〕</w:t>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号</w:t>
            </w:r>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61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关于调整自治区烟花爆竹安全监管厅（局）际联席会议召集人及有关成员的通知</w:t>
            </w:r>
          </w:p>
        </w:tc>
        <w:tc>
          <w:tcPr>
            <w:tcW w:w="3015" w:type="dxa"/>
            <w:vAlign w:val="center"/>
          </w:tcPr>
          <w:p>
            <w:pPr>
              <w:keepNext w:val="0"/>
              <w:keepLines w:val="0"/>
              <w:pageBreakBefore w:val="0"/>
              <w:kinsoku/>
              <w:wordWrap/>
              <w:overflowPunct/>
              <w:topLinePunct w:val="0"/>
              <w:autoSpaceDE/>
              <w:autoSpaceDN/>
              <w:bidi w:val="0"/>
              <w:adjustRightInd/>
              <w:snapToGrid/>
              <w:spacing w:line="400" w:lineRule="exact"/>
              <w:ind w:left="240" w:leftChars="0" w:right="-141" w:rightChars="-67" w:hanging="240" w:hangingChars="100"/>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桂安监管烟爆</w:t>
            </w:r>
            <w:r>
              <w:rPr>
                <w:rFonts w:hint="eastAsia" w:ascii="仿宋" w:hAnsi="仿宋" w:eastAsia="仿宋" w:cs="仿宋"/>
                <w:color w:val="auto"/>
                <w:sz w:val="24"/>
                <w:szCs w:val="24"/>
                <w:lang w:eastAsia="zh-CN"/>
              </w:rPr>
              <w:t>〔2014〕</w:t>
            </w:r>
            <w:r>
              <w:rPr>
                <w:rFonts w:hint="eastAsia" w:ascii="仿宋" w:hAnsi="仿宋" w:eastAsia="仿宋" w:cs="仿宋"/>
                <w:color w:val="auto"/>
                <w:sz w:val="24"/>
                <w:szCs w:val="24"/>
                <w:vertAlign w:val="baseline"/>
                <w:lang w:val="en-US" w:eastAsia="zh-CN"/>
              </w:rPr>
              <w:t>13号</w:t>
            </w:r>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61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关于印发《广西烟花爆竹流向管理信息系统使用管理规定》的通知</w:t>
            </w:r>
          </w:p>
        </w:tc>
        <w:tc>
          <w:tcPr>
            <w:tcW w:w="301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未编文号</w:t>
            </w:r>
            <w:bookmarkStart w:id="0" w:name="_GoBack"/>
            <w:bookmarkEnd w:id="0"/>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w:t>
            </w:r>
          </w:p>
        </w:tc>
        <w:tc>
          <w:tcPr>
            <w:tcW w:w="6180" w:type="dxa"/>
            <w:vAlign w:val="top"/>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转发国家安全监管总局办公厅关于加强烟花生产用国储退役单基火药加工和使用安全监管的通知</w:t>
            </w:r>
          </w:p>
        </w:tc>
        <w:tc>
          <w:tcPr>
            <w:tcW w:w="301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未编文号</w:t>
            </w:r>
          </w:p>
        </w:tc>
      </w:tr>
      <w:tr>
        <w:tc>
          <w:tcPr>
            <w:tcW w:w="60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6180" w:type="dxa"/>
            <w:vAlign w:val="center"/>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rPr>
            </w:pPr>
            <w:r>
              <w:rPr>
                <w:rFonts w:hint="eastAsia" w:ascii="仿宋" w:hAnsi="仿宋" w:eastAsia="仿宋" w:cs="仿宋"/>
                <w:color w:val="auto"/>
                <w:sz w:val="24"/>
                <w:szCs w:val="24"/>
              </w:rPr>
              <w:t>关于印发安全生产非法违法企业信息发布管理办法的通知</w:t>
            </w:r>
          </w:p>
        </w:tc>
        <w:tc>
          <w:tcPr>
            <w:tcW w:w="301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未编文号</w:t>
            </w:r>
          </w:p>
        </w:tc>
      </w:tr>
    </w:tbl>
    <w:p>
      <w:pPr>
        <w:jc w:val="both"/>
        <w:rPr>
          <w:rFonts w:hint="eastAsia" w:ascii="仿宋" w:hAnsi="仿宋" w:eastAsia="仿宋" w:cs="仿宋"/>
          <w:color w:val="auto"/>
          <w:sz w:val="24"/>
          <w:szCs w:val="24"/>
          <w:lang w:val="en-US" w:eastAsia="zh-CN"/>
        </w:rPr>
      </w:pPr>
    </w:p>
    <w:p>
      <w:p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宣布失效的安全生产文件目录(2015年)</w:t>
      </w:r>
    </w:p>
    <w:p>
      <w:pPr>
        <w:jc w:val="center"/>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(自治区安全生产监管局发文)</w:t>
      </w:r>
    </w:p>
    <w:tbl>
      <w:tblPr>
        <w:tblStyle w:val="3"/>
        <w:tblW w:w="9871"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105"/>
        <w:gridCol w:w="3075"/>
      </w:tblGrid>
      <w:tr>
        <w:trPr>
          <w:trHeight w:val="686" w:hRule="atLeast"/>
        </w:trPr>
        <w:tc>
          <w:tcPr>
            <w:tcW w:w="691"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10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07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119" w:hRule="atLeast"/>
        </w:trPr>
        <w:tc>
          <w:tcPr>
            <w:tcW w:w="691"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6105"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3075"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关于调整保留、下放取消行政审批事项目录的通知</w:t>
            </w:r>
          </w:p>
        </w:tc>
        <w:tc>
          <w:tcPr>
            <w:tcW w:w="307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桂安监管法规〔2015〕4号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105" w:type="dxa"/>
            <w:vAlign w:val="top"/>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转发杨栋梁局长针对当前安全生产工作作出重要指示的通知</w:t>
            </w:r>
          </w:p>
        </w:tc>
        <w:tc>
          <w:tcPr>
            <w:tcW w:w="307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未编文号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关于进一步加强岁末年初安全生产隐患排查防范工作的通知</w:t>
            </w:r>
          </w:p>
        </w:tc>
        <w:tc>
          <w:tcPr>
            <w:tcW w:w="307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eastAsia="zh-CN"/>
              </w:rPr>
              <w:t>未编文号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105" w:type="dxa"/>
            <w:vAlign w:val="center"/>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关于切实加大对煤矿重大隐患查处力度的通知</w:t>
            </w:r>
          </w:p>
        </w:tc>
        <w:tc>
          <w:tcPr>
            <w:tcW w:w="307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vertAlign w:val="baseline"/>
                <w:lang w:val="en-US" w:eastAsia="zh-CN"/>
              </w:rPr>
              <w:t>〔2015〕</w:t>
            </w:r>
            <w:r>
              <w:rPr>
                <w:rFonts w:hint="eastAsia" w:ascii="仿宋" w:hAnsi="仿宋" w:eastAsia="仿宋" w:cs="仿宋"/>
                <w:color w:val="auto"/>
                <w:sz w:val="24"/>
                <w:szCs w:val="24"/>
              </w:rPr>
              <w:t>2号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6105" w:type="dxa"/>
            <w:vAlign w:val="center"/>
          </w:tcPr>
          <w:p>
            <w:pPr>
              <w:keepNext w:val="0"/>
              <w:keepLines w:val="0"/>
              <w:pageBreakBefore w:val="0"/>
              <w:kinsoku/>
              <w:wordWrap/>
              <w:overflowPunct/>
              <w:topLinePunct w:val="0"/>
              <w:autoSpaceDE/>
              <w:autoSpaceDN/>
              <w:bidi w:val="0"/>
              <w:adjustRightInd/>
              <w:snapToGrid/>
              <w:spacing w:line="400" w:lineRule="exact"/>
              <w:jc w:val="left"/>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关于做好煤矿企业主要负责人和安全生产管理人员安全考核工作的通知</w:t>
            </w:r>
          </w:p>
        </w:tc>
        <w:tc>
          <w:tcPr>
            <w:tcW w:w="307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桂安监管煤</w:t>
            </w:r>
            <w:r>
              <w:rPr>
                <w:rFonts w:hint="eastAsia" w:ascii="仿宋" w:hAnsi="仿宋" w:eastAsia="仿宋" w:cs="仿宋"/>
                <w:color w:val="auto"/>
                <w:sz w:val="24"/>
                <w:szCs w:val="24"/>
                <w:vertAlign w:val="baseline"/>
                <w:lang w:val="en-US" w:eastAsia="zh-CN"/>
              </w:rPr>
              <w:t>〔2015〕</w:t>
            </w:r>
            <w:r>
              <w:rPr>
                <w:rFonts w:hint="eastAsia" w:ascii="仿宋" w:hAnsi="仿宋" w:eastAsia="仿宋" w:cs="仿宋"/>
                <w:color w:val="auto"/>
                <w:sz w:val="24"/>
                <w:szCs w:val="24"/>
              </w:rPr>
              <w:t>5号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关于印发《全区油化工企业安全隐患专项排查整治工作方案》的通知</w:t>
            </w:r>
          </w:p>
        </w:tc>
        <w:tc>
          <w:tcPr>
            <w:tcW w:w="307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桂安监管</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vertAlign w:val="baseline"/>
                <w:lang w:val="en-US" w:eastAsia="zh-CN"/>
              </w:rPr>
              <w:t>〔2015〕</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转发国家安全监管总局办公厅关于印发《提升危险化学品领域本质安全水平专项行动等三项重点工作督查方案》的紧急通知</w:t>
            </w:r>
          </w:p>
        </w:tc>
        <w:tc>
          <w:tcPr>
            <w:tcW w:w="307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未编文号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关于危险性较小的非煤矿矿山企业安全生产许可有关问题的函</w:t>
            </w:r>
          </w:p>
        </w:tc>
        <w:tc>
          <w:tcPr>
            <w:tcW w:w="30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未编文号</w:t>
            </w:r>
          </w:p>
        </w:tc>
      </w:tr>
      <w:t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关于印发《广西壮族自治区尾矿库注销及小型尾矿库闭库工作指导意见》的通知</w:t>
            </w:r>
          </w:p>
        </w:tc>
        <w:tc>
          <w:tcPr>
            <w:tcW w:w="3075"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桂安监管一〔2015〕11号</w:t>
            </w:r>
          </w:p>
        </w:tc>
      </w:tr>
    </w:tbl>
    <w:p>
      <w:pPr>
        <w:jc w:val="both"/>
        <w:rPr>
          <w:rFonts w:hint="eastAsia" w:ascii="仿宋" w:hAnsi="仿宋" w:eastAsia="仿宋" w:cs="仿宋"/>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pStyle w:val="5"/>
        <w:rPr>
          <w:rFonts w:hint="eastAsia" w:ascii="方正小标宋简体" w:hAnsi="方正小标宋简体" w:eastAsia="方正小标宋简体" w:cs="方正小标宋简体"/>
          <w:color w:val="auto"/>
          <w:sz w:val="44"/>
          <w:szCs w:val="44"/>
          <w:lang w:val="en-US" w:eastAsia="zh-CN"/>
        </w:rPr>
      </w:pPr>
    </w:p>
    <w:p>
      <w:pPr>
        <w:pStyle w:val="5"/>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宣布失效的安全生产文件目录(2016年)</w:t>
      </w:r>
    </w:p>
    <w:p>
      <w:pPr>
        <w:jc w:val="center"/>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(自治区安全生产监管局发文)</w:t>
      </w:r>
    </w:p>
    <w:tbl>
      <w:tblPr>
        <w:tblStyle w:val="3"/>
        <w:tblW w:w="9841"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060"/>
        <w:gridCol w:w="3090"/>
      </w:tblGrid>
      <w:tr>
        <w:trPr>
          <w:trHeight w:val="686" w:hRule="atLeast"/>
        </w:trPr>
        <w:tc>
          <w:tcPr>
            <w:tcW w:w="691"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06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0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119" w:hRule="atLeast"/>
        </w:trPr>
        <w:tc>
          <w:tcPr>
            <w:tcW w:w="691"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6060"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3090"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关于调整保留、下放、取消行政审批事项目录的通知</w:t>
            </w:r>
          </w:p>
        </w:tc>
        <w:tc>
          <w:tcPr>
            <w:tcW w:w="309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桂安监管法规〔2016〕9号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关于印发安全生产行政审批项目操作规范的通知</w:t>
            </w:r>
          </w:p>
        </w:tc>
        <w:tc>
          <w:tcPr>
            <w:tcW w:w="309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桂安监管法规〔2016〕15号</w:t>
            </w:r>
          </w:p>
        </w:tc>
      </w:tr>
      <w:tr>
        <w:trPr>
          <w:trHeight w:val="0" w:hRule="atLeast"/>
        </w:trP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关于印发《危险化学品企业重大隐患认定指导目录（试行）》的通知</w:t>
            </w:r>
          </w:p>
        </w:tc>
        <w:tc>
          <w:tcPr>
            <w:tcW w:w="309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桂安监管三〔2016〕14号</w:t>
            </w:r>
          </w:p>
        </w:tc>
      </w:tr>
      <w:tr>
        <w:tc>
          <w:tcPr>
            <w:tcW w:w="691"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关于印发《广西烟花爆竹安全生产重大事故隐患判定标准（试行）》的通知</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桂安监管烟爆〔2016〕</w:t>
            </w:r>
            <w:r>
              <w:rPr>
                <w:rFonts w:hint="eastAsia" w:ascii="仿宋" w:hAnsi="仿宋" w:eastAsia="仿宋" w:cs="仿宋"/>
                <w:i w:val="0"/>
                <w:color w:val="auto"/>
                <w:kern w:val="0"/>
                <w:sz w:val="24"/>
                <w:szCs w:val="24"/>
                <w:u w:val="none"/>
                <w:lang w:val="en-US" w:eastAsia="zh-CN" w:bidi="ar"/>
              </w:rPr>
              <w:t>21号</w:t>
            </w:r>
          </w:p>
        </w:tc>
      </w:tr>
    </w:tbl>
    <w:p>
      <w:pPr>
        <w:jc w:val="both"/>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宣布失效的安全生产文件目录(2017年)</w:t>
      </w:r>
    </w:p>
    <w:p>
      <w:pPr>
        <w:ind w:firstLine="1929" w:firstLineChars="603"/>
        <w:jc w:val="both"/>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 (自治区安全生产监管局发文)</w:t>
      </w:r>
    </w:p>
    <w:tbl>
      <w:tblPr>
        <w:tblStyle w:val="3"/>
        <w:tblW w:w="9841"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6105"/>
        <w:gridCol w:w="3060"/>
      </w:tblGrid>
      <w:tr>
        <w:trPr>
          <w:trHeight w:val="686" w:hRule="atLeast"/>
        </w:trPr>
        <w:tc>
          <w:tcPr>
            <w:tcW w:w="676"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610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306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r>
      <w:tr>
        <w:trPr>
          <w:trHeight w:val="119" w:hRule="atLeast"/>
        </w:trPr>
        <w:tc>
          <w:tcPr>
            <w:tcW w:w="676"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6105"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c>
          <w:tcPr>
            <w:tcW w:w="3060" w:type="dxa"/>
            <w:vMerge w:val="continue"/>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宋体" w:hAnsi="宋体" w:eastAsia="宋体" w:cs="宋体"/>
                <w:color w:val="auto"/>
                <w:sz w:val="24"/>
                <w:szCs w:val="24"/>
                <w:vertAlign w:val="baseline"/>
                <w:lang w:val="en-US" w:eastAsia="zh-CN"/>
              </w:rPr>
            </w:pPr>
          </w:p>
        </w:tc>
      </w:tr>
      <w:tr>
        <w:trPr>
          <w:trHeight w:val="0" w:hRule="atLeast"/>
        </w:trPr>
        <w:tc>
          <w:tcPr>
            <w:tcW w:w="67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关于印发《危险化学品安全生产大检查工作指导意见》的通知</w:t>
            </w:r>
          </w:p>
        </w:tc>
        <w:tc>
          <w:tcPr>
            <w:tcW w:w="306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桂安监管三〔2017〕12号</w:t>
            </w:r>
          </w:p>
        </w:tc>
      </w:tr>
      <w:tr>
        <w:trPr>
          <w:trHeight w:val="0" w:hRule="atLeast"/>
        </w:trPr>
        <w:tc>
          <w:tcPr>
            <w:tcW w:w="67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关于加强危险化学品重点安全风险防控工作的通知</w:t>
            </w:r>
          </w:p>
        </w:tc>
        <w:tc>
          <w:tcPr>
            <w:tcW w:w="3060"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桂安监管三〔2017〕16号</w:t>
            </w:r>
          </w:p>
        </w:tc>
      </w:tr>
      <w:tr>
        <w:trPr>
          <w:trHeight w:val="0" w:hRule="atLeast"/>
        </w:trPr>
        <w:tc>
          <w:tcPr>
            <w:tcW w:w="67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关于设布撬装式加油装置的复函</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未编文号</w:t>
            </w:r>
          </w:p>
        </w:tc>
      </w:tr>
      <w:tr>
        <w:tc>
          <w:tcPr>
            <w:tcW w:w="676"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61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关于转发国家安全监管总局关于进一步规范非煤矿山安全生产标准化工作的通知</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i w:val="0"/>
                <w:color w:val="auto"/>
                <w:kern w:val="0"/>
                <w:sz w:val="24"/>
                <w:szCs w:val="24"/>
                <w:u w:val="none"/>
                <w:lang w:val="en-US" w:eastAsia="zh-CN" w:bidi="ar"/>
              </w:rPr>
              <w:t>未编文号</w:t>
            </w:r>
          </w:p>
        </w:tc>
      </w:tr>
    </w:tbl>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pStyle w:val="5"/>
        <w:rPr>
          <w:rFonts w:hint="eastAsia" w:ascii="仿宋" w:hAnsi="仿宋" w:eastAsia="仿宋" w:cs="仿宋"/>
          <w:color w:val="auto"/>
          <w:sz w:val="32"/>
          <w:szCs w:val="32"/>
          <w:lang w:val="en-US" w:eastAsia="zh-CN"/>
        </w:rPr>
      </w:pPr>
    </w:p>
    <w:p>
      <w:pPr>
        <w:pStyle w:val="5"/>
        <w:rPr>
          <w:rFonts w:hint="eastAsia" w:ascii="仿宋" w:hAnsi="仿宋" w:eastAsia="仿宋" w:cs="仿宋"/>
          <w:color w:val="auto"/>
          <w:sz w:val="32"/>
          <w:szCs w:val="32"/>
          <w:lang w:val="en-US" w:eastAsia="zh-CN"/>
        </w:rPr>
      </w:pPr>
    </w:p>
    <w:p>
      <w:pPr>
        <w:pStyle w:val="5"/>
        <w:rPr>
          <w:rFonts w:hint="eastAsia" w:ascii="仿宋" w:hAnsi="仿宋" w:eastAsia="仿宋" w:cs="仿宋"/>
          <w:color w:val="auto"/>
          <w:sz w:val="32"/>
          <w:szCs w:val="32"/>
          <w:lang w:val="en-US" w:eastAsia="zh-CN"/>
        </w:rPr>
      </w:pPr>
    </w:p>
    <w:p>
      <w:pPr>
        <w:pStyle w:val="5"/>
        <w:rPr>
          <w:rFonts w:hint="eastAsia" w:ascii="仿宋" w:hAnsi="仿宋" w:eastAsia="仿宋" w:cs="仿宋"/>
          <w:color w:val="auto"/>
          <w:sz w:val="32"/>
          <w:szCs w:val="32"/>
          <w:lang w:val="en-US" w:eastAsia="zh-CN"/>
        </w:rPr>
      </w:pPr>
    </w:p>
    <w:p>
      <w:pPr>
        <w:pStyle w:val="5"/>
        <w:rPr>
          <w:rFonts w:hint="eastAsia" w:ascii="仿宋" w:hAnsi="仿宋" w:eastAsia="仿宋" w:cs="仿宋"/>
          <w:color w:val="auto"/>
          <w:sz w:val="32"/>
          <w:szCs w:val="32"/>
          <w:lang w:val="en-US" w:eastAsia="zh-CN"/>
        </w:rPr>
      </w:pPr>
    </w:p>
    <w:p>
      <w:pPr>
        <w:pStyle w:val="5"/>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pStyle w:val="5"/>
        <w:rPr>
          <w:rFonts w:hint="eastAsia"/>
          <w:color w:val="auto"/>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altName w:val="汉仪书宋二KW"/>
    <w:panose1 w:val="03000509000000000000"/>
    <w:charset w:val="86"/>
    <w:family w:val="script"/>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70DBB"/>
    <w:rsid w:val="61D70DBB"/>
    <w:rsid w:val="EBFF3F92"/>
    <w:rsid w:val="FCF7A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2018-12-27T23:14:00Z</dcterms:created>
  <dc:creator>NTKO</dc:creator>
  <cp:lastModifiedBy>Kafka</cp:lastModifiedBy>
  <dcterms:modified xsi:type="dcterms:W3CDTF">2023-07-17T10:21:14Z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BD5F0FAA0861051A9AA5B464ADCF0D61_43</vt:lpwstr>
  </property>
</Properties>
</file>