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after="300" w:line="750" w:lineRule="atLeast"/>
        <w:jc w:val="center"/>
        <w:outlineLvl w:val="1"/>
        <w:rPr>
          <w:rFonts w:hint="default" w:ascii="黑体" w:eastAsia="黑体"/>
          <w:kern w:val="36"/>
          <w:sz w:val="52"/>
          <w:szCs w:val="52"/>
        </w:rPr>
      </w:pPr>
      <w:r>
        <w:rPr>
          <w:rFonts w:hint="eastAsia" w:ascii="黑体" w:hAnsi="黑体" w:eastAsia="黑体" w:cs="黑体"/>
          <w:kern w:val="36"/>
          <w:sz w:val="52"/>
          <w:szCs w:val="52"/>
          <w:lang w:eastAsia="zh-CN"/>
        </w:rPr>
        <w:t>煤矿</w:t>
      </w:r>
      <w:r>
        <w:rPr>
          <w:rFonts w:hint="eastAsia" w:ascii="黑体" w:hAnsi="黑体" w:eastAsia="黑体" w:cs="黑体"/>
          <w:kern w:val="36"/>
          <w:sz w:val="52"/>
          <w:szCs w:val="52"/>
        </w:rPr>
        <w:t>企业安全生产许可 (</w:t>
      </w:r>
      <w:r>
        <w:rPr>
          <w:rFonts w:hint="eastAsia" w:ascii="黑体" w:hAnsi="黑体" w:eastAsia="黑体" w:cs="黑体"/>
          <w:kern w:val="36"/>
          <w:sz w:val="52"/>
          <w:szCs w:val="52"/>
          <w:lang w:eastAsia="zh-CN"/>
        </w:rPr>
        <w:t>变更</w:t>
      </w:r>
      <w:r>
        <w:rPr>
          <w:rFonts w:hint="eastAsia" w:ascii="黑体" w:hAnsi="黑体" w:eastAsia="黑体" w:cs="黑体"/>
          <w:kern w:val="36"/>
          <w:sz w:val="52"/>
          <w:szCs w:val="52"/>
          <w:lang w:val="en-US" w:eastAsia="zh-CN"/>
        </w:rPr>
        <w:t>-主要负责人</w:t>
      </w:r>
      <w:r>
        <w:rPr>
          <w:rFonts w:hint="eastAsia" w:ascii="黑体" w:hAnsi="黑体" w:eastAsia="黑体" w:cs="黑体"/>
          <w:kern w:val="36"/>
          <w:sz w:val="52"/>
          <w:szCs w:val="52"/>
        </w:rPr>
        <w:t>)办事指南</w:t>
      </w:r>
    </w:p>
    <w:p>
      <w:pPr>
        <w:tabs>
          <w:tab w:val="center" w:pos="4153"/>
        </w:tabs>
        <w:jc w:val="center"/>
        <w:rPr>
          <w:rFonts w:hint="default" w:ascii="黑体" w:eastAsia="黑体"/>
        </w:rPr>
      </w:pPr>
      <w:r>
        <w:rPr>
          <w:rFonts w:hint="eastAsia" w:ascii="黑体" w:hAnsi="黑体" w:eastAsia="黑体" w:cs="黑体"/>
        </w:rPr>
        <w:t xml:space="preserve">广西壮族自治区应急管理厅 </w:t>
      </w:r>
      <w:r>
        <w:rPr>
          <w:rFonts w:hint="eastAsia" w:ascii="黑体" w:eastAsia="黑体"/>
        </w:rPr>
        <w:t xml:space="preserve">    </w:t>
      </w:r>
      <w:r>
        <w:rPr>
          <w:rFonts w:hint="eastAsia" w:ascii="黑体" w:hAnsi="黑体" w:eastAsia="黑体" w:cs="黑体"/>
        </w:rPr>
        <w:t xml:space="preserve"> </w:t>
      </w:r>
      <w:r>
        <w:rPr>
          <w:rFonts w:hint="eastAsia" w:ascii="黑体" w:eastAsia="黑体"/>
        </w:rPr>
        <w:t xml:space="preserve">    </w:t>
      </w:r>
    </w:p>
    <w:p>
      <w:pPr>
        <w:pStyle w:val="3"/>
        <w:rPr>
          <w:rFonts w:hint="eastAsia"/>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7620</wp:posOffset>
                </wp:positionV>
                <wp:extent cx="53092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09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0.6pt;height:0pt;width:418.05pt;z-index:251658240;mso-width-relative:page;mso-height-relative:page;" filled="f" stroked="t" coordsize="21600,21600" o:gfxdata="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DTL3dIAAAAEAQAADwAAAAAAAAABACAA&#10;AAAiAAAAZHJzL2Rvd25yZXYueG1sUEsBAhQAFAAAAAgAh07iQFK5DaHaAQAAlgMAAA4AAAAAAAAA&#10;AQAgAAAAIQEAAGRycy9lMm9Eb2MueG1sUEsFBgAAAAAGAAYAWQEAAG0FAAAAAA==&#10;">
                <v:fill on="f" focussize="0,0"/>
                <v:stroke color="#000000" joinstyle="round"/>
                <v:imagedata o:title=""/>
                <o:lock v:ext="edit" aspectratio="f"/>
              </v:line>
            </w:pict>
          </mc:Fallback>
        </mc:AlternateContent>
      </w:r>
      <w:r>
        <w:rPr>
          <w:rFonts w:hint="eastAsia"/>
        </w:rPr>
        <w:t>一、</w:t>
      </w:r>
      <w:r>
        <w:rPr>
          <w:rFonts w:hint="eastAsia"/>
          <w:lang w:val="en-US" w:eastAsia="zh-CN"/>
        </w:rPr>
        <w:t>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spacing w:before="300" w:after="300" w:line="750" w:lineRule="atLeast"/>
              <w:jc w:val="both"/>
              <w:outlineLvl w:val="1"/>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事项名称：煤矿企业安全生产许可 (</w:t>
            </w:r>
            <w:r>
              <w:rPr>
                <w:rFonts w:hint="eastAsia" w:cs="宋体"/>
                <w:sz w:val="21"/>
                <w:lang w:val="en-US" w:eastAsia="zh-CN"/>
              </w:rPr>
              <w:t>变更-主要负责人</w:t>
            </w:r>
            <w:r>
              <w:rPr>
                <w:rFonts w:hint="eastAsia" w:ascii="宋体" w:hAnsi="宋体" w:eastAsia="宋体" w:cs="宋体"/>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事项类型：行政许可</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基本编码：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vertAlign w:val="baseline"/>
                <w:lang w:val="en-US" w:eastAsia="zh-CN"/>
              </w:rPr>
            </w:pPr>
            <w:r>
              <w:rPr>
                <w:rFonts w:hint="eastAsia" w:ascii="宋体" w:hAnsi="宋体" w:eastAsia="宋体" w:cs="宋体"/>
                <w:sz w:val="21"/>
                <w:lang w:val="en-US" w:eastAsia="zh-CN"/>
              </w:rPr>
              <w:t>行使层级：自治区级</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是否本级行使：法定机关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实施主体：广西壮族自治区应急管理厅</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实施主体性质：法定机关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业务办理项编码：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权力来源：法定本级行使</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服务对象：企业法人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522" w:type="dxa"/>
            <w:gridSpan w:val="2"/>
            <w:vAlign w:val="top"/>
          </w:tcPr>
          <w:p>
            <w:pPr>
              <w:widowControl w:val="0"/>
              <w:ind w:left="0" w:leftChars="0" w:firstLine="218" w:firstLineChars="104"/>
              <w:jc w:val="both"/>
              <w:rPr>
                <w:rFonts w:hint="eastAsia"/>
                <w:color w:val="000000"/>
                <w:lang w:val="en-US" w:eastAsia="zh-CN"/>
              </w:rPr>
            </w:pPr>
            <w:r>
              <w:rPr>
                <w:rFonts w:hint="default" w:ascii="宋体" w:hAnsi="宋体" w:eastAsia="宋体" w:cs="宋体"/>
                <w:sz w:val="21"/>
                <w:lang w:val="en-US" w:eastAsia="zh-CN"/>
              </w:rPr>
              <w:t>权限划分</w:t>
            </w:r>
            <w:r>
              <w:rPr>
                <w:rFonts w:hint="eastAsia" w:ascii="宋体" w:hAnsi="宋体" w:eastAsia="宋体" w:cs="宋体"/>
                <w:sz w:val="21"/>
                <w:lang w:val="en-US" w:eastAsia="zh-CN"/>
              </w:rPr>
              <w:t>：</w:t>
            </w:r>
            <w:r>
              <w:rPr>
                <w:rFonts w:hint="eastAsia"/>
                <w:color w:val="000000"/>
                <w:lang w:val="en-US" w:eastAsia="zh-CN"/>
              </w:rPr>
              <w:t>《煤矿企业安全生产许可证实施办法》（</w:t>
            </w:r>
            <w:r>
              <w:rPr>
                <w:color w:val="000000"/>
                <w:lang w:val="en-US" w:eastAsia="zh-CN"/>
              </w:rPr>
              <w:t>201</w:t>
            </w:r>
            <w:r>
              <w:rPr>
                <w:rFonts w:hint="eastAsia"/>
                <w:color w:val="000000"/>
                <w:lang w:val="en-US" w:eastAsia="zh-CN"/>
              </w:rPr>
              <w:t>6年2月16日，原国家安全生产监督管理总局令第86号）第五条</w:t>
            </w:r>
            <w:r>
              <w:rPr>
                <w:rFonts w:hint="default"/>
                <w:color w:val="000000"/>
                <w:lang w:val="en-US" w:eastAsia="zh-CN"/>
              </w:rPr>
              <w:t>  </w:t>
            </w:r>
            <w:r>
              <w:rPr>
                <w:rFonts w:hint="eastAsia"/>
                <w:color w:val="000000"/>
                <w:lang w:val="en-US" w:eastAsia="zh-CN"/>
              </w:rPr>
              <w:t>国家煤矿安全监察局指导、监督全国煤矿企业安全生产许可证的颁发管理工作，负责符合本办法第三条规定的中央管理的煤矿企业总部（总公司、集团公司）安全生产许可证的颁发和管理。</w:t>
            </w:r>
          </w:p>
          <w:p>
            <w:pPr>
              <w:widowControl w:val="0"/>
              <w:jc w:val="both"/>
              <w:rPr>
                <w:rFonts w:hint="eastAsia"/>
                <w:color w:val="000000"/>
                <w:lang w:val="en-US" w:eastAsia="zh-CN"/>
              </w:rPr>
            </w:pPr>
            <w:r>
              <w:rPr>
                <w:rFonts w:hint="eastAsia"/>
                <w:color w:val="000000"/>
                <w:lang w:val="en-US" w:eastAsia="zh-CN"/>
              </w:rPr>
              <w:t>省级煤矿安全监察局负责前款规定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w:t>
            </w:r>
          </w:p>
          <w:p>
            <w:pPr>
              <w:widowControl w:val="0"/>
              <w:ind w:firstLine="420" w:firstLineChars="200"/>
              <w:jc w:val="both"/>
              <w:rPr>
                <w:rStyle w:val="5"/>
                <w:rFonts w:hint="eastAsia" w:ascii="宋体" w:hAnsi="宋体" w:eastAsia="宋体" w:cs="宋体"/>
                <w:sz w:val="21"/>
                <w:vertAlign w:val="baseline"/>
                <w:lang w:val="en-US" w:eastAsia="zh-CN"/>
              </w:rPr>
            </w:pPr>
            <w:r>
              <w:rPr>
                <w:rFonts w:hint="eastAsia"/>
                <w:sz w:val="21"/>
                <w:szCs w:val="21"/>
                <w:lang w:eastAsia="zh-CN"/>
              </w:rPr>
              <w:t>按照</w:t>
            </w:r>
            <w:r>
              <w:rPr>
                <w:rFonts w:hint="eastAsia" w:ascii="宋体" w:hAnsi="宋体" w:eastAsia="宋体"/>
                <w:sz w:val="21"/>
                <w:szCs w:val="21"/>
              </w:rPr>
              <w:t>《国务院关于深化“证照分离”改革进一步激发市场主体发展活力的通知》</w:t>
            </w:r>
            <w:r>
              <w:rPr>
                <w:rFonts w:hint="eastAsia"/>
                <w:sz w:val="21"/>
                <w:szCs w:val="21"/>
                <w:lang w:eastAsia="zh-CN"/>
              </w:rPr>
              <w:t>工作部署将煤矿安全生产许可事项移交至省级煤矿安全监管部门承担</w:t>
            </w:r>
            <w:r>
              <w:rPr>
                <w:rFonts w:hint="eastAsia" w:ascii="宋体" w:hAnsi="宋体" w:eastAsia="宋体"/>
                <w:sz w:val="21"/>
                <w:szCs w:val="21"/>
              </w:rPr>
              <w:t>，</w:t>
            </w:r>
            <w:r>
              <w:rPr>
                <w:rFonts w:hint="eastAsia"/>
                <w:sz w:val="21"/>
                <w:szCs w:val="21"/>
                <w:lang w:eastAsia="zh-CN"/>
              </w:rPr>
              <w:t>及</w:t>
            </w:r>
            <w:r>
              <w:rPr>
                <w:rFonts w:hint="eastAsia" w:ascii="宋体" w:hAnsi="宋体" w:eastAsia="宋体"/>
                <w:sz w:val="21"/>
                <w:szCs w:val="21"/>
              </w:rPr>
              <w:t>《国家矿山安全监察局综合司关于开展煤矿安全生产许可事项移交工作的通知》（矿安综[</w:t>
            </w:r>
            <w:r>
              <w:rPr>
                <w:rFonts w:ascii="宋体" w:hAnsi="宋体" w:eastAsia="宋体"/>
                <w:sz w:val="21"/>
                <w:szCs w:val="21"/>
              </w:rPr>
              <w:t>2021]33</w:t>
            </w:r>
            <w:r>
              <w:rPr>
                <w:rFonts w:hint="eastAsia" w:ascii="宋体" w:hAnsi="宋体" w:eastAsia="宋体"/>
                <w:sz w:val="21"/>
                <w:szCs w:val="21"/>
              </w:rPr>
              <w:t>号）工作部署</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行使内容：煤矿企业安全生产许可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前置审批事项名称：1.工商营业执照。2.采矿许可证核发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前置审批实施主体：1.市场监督管理部门。2.自然资源部门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是否容缺受理：否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容缺时限：无</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容缺补正方式：无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办件类型：承诺件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法定办结时限：10 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承诺办结时限：1 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办理形式：窗口办理,网上办理,快递申请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移动端是否对接单点登录：否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移动端办理地址：无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计算机端是否对接单点登录：是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计算机端在线办理跳转地址：http://zwfw.gxzf.gov.cn/gxzwfw/member/login/tologin.do?gotourl=http%3A//zwfw.gxzf.gov.cn/gxzxsb/Apply/tostep1.do?sxbm=11450000739968589Q2000125036005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是否收费：否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到办事现场次数：1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必须现场办理原因说明：到现场提交</w:t>
            </w:r>
            <w:r>
              <w:rPr>
                <w:rFonts w:hint="eastAsia" w:cs="宋体"/>
                <w:sz w:val="21"/>
                <w:lang w:val="en-US" w:eastAsia="zh-CN"/>
              </w:rPr>
              <w:t>纸质</w:t>
            </w:r>
            <w:r>
              <w:rPr>
                <w:rFonts w:hint="eastAsia" w:ascii="宋体" w:hAnsi="宋体" w:eastAsia="宋体" w:cs="宋体"/>
                <w:sz w:val="21"/>
                <w:lang w:val="en-US" w:eastAsia="zh-CN"/>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咨询方式：自治区应急管理厅</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其他咨询方式：自治区应急管理厅网址：http://yjglt.gxzf.gov.cn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监督投诉方式：自治区政务服务中心监察室： 0771-5595845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其他监督投诉方式：应急厅督查室：0771-5659311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办理公示：网上公示</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年检或年审：不年检或年审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公示地址：自治区应急管理厅网址：http://yjglt.gxzf.gov.cn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办理进度查询途径：网上查询,电话查询,现场查询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查询地址：自治区应急管理厅网址http://yjglt.gxzf.gov.cn，</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r>
              <w:rPr>
                <w:rFonts w:hint="eastAsia" w:ascii="宋体" w:hAnsi="宋体" w:eastAsia="宋体" w:cs="宋体"/>
                <w:sz w:val="21"/>
                <w:lang w:val="en-US" w:eastAsia="zh-CN"/>
              </w:rPr>
              <w:t>，自治区政务服务中心2楼综合窗口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诉讼：1.公民、法人或者其他组织不服复议决定的，可以在收到复议决定书之日起十五内向人民法院提起诉讼。复议机关逾期不作决定的，申请人可以在复议期满之日起十五日内向人民法院提起诉讼。2.公民、法人或者其他组织直接向人民法院提起诉讼的，应当知道或者应当知道作出行政行为之日起六个月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行政复议：公民、法人或者其他组织认为具体行政行为侵犯其合法权益，可以自知道该具体行政行为之日起六十日内提出复议申请。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受理条件：根据</w:t>
            </w:r>
            <w:r>
              <w:rPr>
                <w:rFonts w:hint="eastAsia" w:ascii="宋体" w:hAnsi="宋体" w:eastAsia="宋体" w:cs="宋体"/>
                <w:i w:val="0"/>
                <w:caps w:val="0"/>
                <w:color w:val="000000"/>
                <w:spacing w:val="0"/>
                <w:kern w:val="0"/>
                <w:sz w:val="21"/>
                <w:szCs w:val="21"/>
                <w:shd w:val="clear" w:color="auto" w:fill="FFFFFF"/>
                <w:lang w:val="en-US" w:eastAsia="zh-CN" w:bidi="ar"/>
              </w:rPr>
              <w:t>《煤矿企业安全生产许可证实施办法》（原国家安全生产监督管理总局令第86号）第</w:t>
            </w:r>
            <w:r>
              <w:rPr>
                <w:rFonts w:hint="eastAsia" w:cs="宋体"/>
                <w:i w:val="0"/>
                <w:caps w:val="0"/>
                <w:color w:val="000000"/>
                <w:spacing w:val="0"/>
                <w:kern w:val="0"/>
                <w:sz w:val="21"/>
                <w:szCs w:val="21"/>
                <w:shd w:val="clear" w:color="auto" w:fill="FFFFFF"/>
                <w:lang w:val="en-US" w:eastAsia="zh-CN" w:bidi="ar"/>
              </w:rPr>
              <w:t>二十</w:t>
            </w:r>
            <w:r>
              <w:rPr>
                <w:rFonts w:hint="eastAsia" w:ascii="宋体" w:hAnsi="宋体" w:eastAsia="宋体" w:cs="宋体"/>
                <w:i w:val="0"/>
                <w:caps w:val="0"/>
                <w:color w:val="000000"/>
                <w:spacing w:val="0"/>
                <w:kern w:val="0"/>
                <w:sz w:val="21"/>
                <w:szCs w:val="21"/>
                <w:shd w:val="clear" w:color="auto" w:fill="FFFFFF"/>
                <w:lang w:val="en-US" w:eastAsia="zh-CN" w:bidi="ar"/>
              </w:rPr>
              <w:t>条</w:t>
            </w:r>
            <w:r>
              <w:rPr>
                <w:rFonts w:hint="default" w:ascii="Calibri" w:hAnsi="Calibri" w:eastAsia="宋体" w:cs="Calibri"/>
                <w:i w:val="0"/>
                <w:caps w:val="0"/>
                <w:color w:val="000000"/>
                <w:spacing w:val="0"/>
                <w:kern w:val="0"/>
                <w:sz w:val="21"/>
                <w:szCs w:val="21"/>
                <w:shd w:val="clear" w:color="auto" w:fill="FFFFFF"/>
                <w:lang w:val="en-US" w:eastAsia="zh-CN" w:bidi="ar"/>
              </w:rPr>
              <w:t> </w:t>
            </w:r>
            <w:r>
              <w:rPr>
                <w:rFonts w:hint="eastAsia" w:ascii="宋体" w:hAnsi="宋体" w:eastAsia="宋体" w:cs="宋体"/>
                <w:color w:val="000000"/>
                <w:sz w:val="21"/>
                <w:szCs w:val="21"/>
                <w:lang w:val="en-US" w:eastAsia="zh-CN"/>
              </w:rPr>
              <w:t>相关规定,收到</w:t>
            </w:r>
            <w:r>
              <w:rPr>
                <w:rFonts w:hint="eastAsia" w:cs="宋体"/>
                <w:color w:val="000000"/>
                <w:sz w:val="21"/>
                <w:szCs w:val="21"/>
                <w:lang w:val="en-US" w:eastAsia="zh-CN"/>
              </w:rPr>
              <w:t>煤矿企业安全生产许可（变更）相关</w:t>
            </w:r>
            <w:r>
              <w:rPr>
                <w:rFonts w:hint="eastAsia" w:ascii="宋体" w:hAnsi="宋体" w:eastAsia="宋体" w:cs="宋体"/>
                <w:color w:val="000000"/>
                <w:sz w:val="21"/>
                <w:szCs w:val="21"/>
                <w:lang w:val="en-US" w:eastAsia="zh-CN"/>
              </w:rPr>
              <w:t>文件、资料，且材料齐全、符合法定形式的，</w:t>
            </w:r>
            <w:r>
              <w:rPr>
                <w:rFonts w:hint="eastAsia" w:cs="宋体"/>
                <w:color w:val="000000"/>
                <w:sz w:val="21"/>
                <w:szCs w:val="21"/>
                <w:lang w:val="en-US" w:eastAsia="zh-CN"/>
              </w:rPr>
              <w:t>按下列情况</w:t>
            </w:r>
            <w:r>
              <w:rPr>
                <w:rFonts w:hint="eastAsia" w:ascii="宋体" w:hAnsi="宋体" w:eastAsia="宋体" w:cs="宋体"/>
                <w:color w:val="000000"/>
                <w:sz w:val="21"/>
                <w:szCs w:val="21"/>
                <w:lang w:val="en-US" w:eastAsia="zh-CN"/>
              </w:rPr>
              <w:t>予以受理。</w:t>
            </w:r>
          </w:p>
          <w:p>
            <w:pPr>
              <w:widowControl w:val="0"/>
              <w:jc w:val="both"/>
              <w:rPr>
                <w:rFonts w:hint="eastAsia"/>
                <w:sz w:val="21"/>
                <w:szCs w:val="21"/>
                <w:lang w:val="en-US" w:eastAsia="zh-CN"/>
              </w:rPr>
            </w:pPr>
            <w:r>
              <w:rPr>
                <w:rFonts w:hint="eastAsia"/>
                <w:sz w:val="21"/>
                <w:szCs w:val="21"/>
                <w:lang w:val="en-US" w:eastAsia="zh-CN"/>
              </w:rPr>
              <w:t>（二）变更变更隶属关系的、变更经济类型的以及变更煤矿企业名称的。</w:t>
            </w:r>
          </w:p>
          <w:p>
            <w:pPr>
              <w:widowControl w:val="0"/>
              <w:jc w:val="both"/>
              <w:rPr>
                <w:rFonts w:hint="eastAsia"/>
                <w:sz w:val="21"/>
                <w:szCs w:val="21"/>
                <w:lang w:val="en-US" w:eastAsia="zh-CN"/>
              </w:rPr>
            </w:pPr>
            <w:r>
              <w:rPr>
                <w:rFonts w:hint="eastAsia"/>
                <w:sz w:val="21"/>
                <w:szCs w:val="21"/>
                <w:lang w:val="en-US" w:eastAsia="zh-CN"/>
              </w:rPr>
              <w:t>1.变更申请书；</w:t>
            </w:r>
          </w:p>
          <w:p>
            <w:pPr>
              <w:widowControl w:val="0"/>
              <w:jc w:val="both"/>
              <w:rPr>
                <w:rFonts w:hint="eastAsia"/>
                <w:sz w:val="21"/>
                <w:szCs w:val="21"/>
                <w:lang w:val="en-US" w:eastAsia="zh-CN"/>
              </w:rPr>
            </w:pPr>
            <w:r>
              <w:rPr>
                <w:rFonts w:hint="eastAsia"/>
                <w:sz w:val="21"/>
                <w:szCs w:val="21"/>
                <w:lang w:val="en-US" w:eastAsia="zh-CN"/>
              </w:rPr>
              <w:t>2.变更后的工商营业执照副本；</w:t>
            </w:r>
          </w:p>
          <w:p>
            <w:pPr>
              <w:widowControl w:val="0"/>
              <w:jc w:val="both"/>
              <w:rPr>
                <w:rFonts w:hint="eastAsia"/>
                <w:sz w:val="21"/>
                <w:szCs w:val="21"/>
                <w:lang w:val="en-US" w:eastAsia="zh-CN"/>
              </w:rPr>
            </w:pPr>
            <w:r>
              <w:rPr>
                <w:rFonts w:hint="eastAsia"/>
                <w:sz w:val="21"/>
                <w:szCs w:val="21"/>
                <w:lang w:val="en-US" w:eastAsia="zh-CN"/>
              </w:rPr>
              <w:t>3.变更后的主要负责人考核合格材料；</w:t>
            </w:r>
          </w:p>
          <w:p>
            <w:pPr>
              <w:widowControl w:val="0"/>
              <w:jc w:val="both"/>
              <w:rPr>
                <w:rFonts w:hint="eastAsia"/>
                <w:sz w:val="21"/>
                <w:szCs w:val="21"/>
                <w:lang w:val="en-US" w:eastAsia="zh-CN"/>
              </w:rPr>
            </w:pPr>
            <w:r>
              <w:rPr>
                <w:rFonts w:hint="eastAsia"/>
                <w:sz w:val="21"/>
                <w:szCs w:val="21"/>
                <w:lang w:val="en-US" w:eastAsia="zh-CN"/>
              </w:rPr>
              <w:t>4.变更后的主要负责人任命文件或聘书。</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审查方式及标准：一、书面审查的。标准如下：</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申请材料应使用A4幅面、纵向左侧装订成册；所有复印件均应加盖公章；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（一）申请书（表）的审查标准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1.申请人应如实填写各项内容，对提交材料的真实性、完整性负责，不得虚构、伪造或编造事实；</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2.申请书及相关附表应使用钢笔和能够长期保持字迹的墨水填写或打印，做到字迹清楚、文字规范、文面整洁，不得涂改；</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3.申请书应由申请单位法定代表人签名并加盖单位公章。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（二）证明文件等复印件的审查标准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“证明文件”均为复印件，经申请单位加盖公章确认并注明日期.</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（三）专业材料的审查标准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cs="宋体"/>
                <w:sz w:val="21"/>
                <w:lang w:val="en-US" w:eastAsia="zh-CN"/>
              </w:rPr>
              <w:t>该事项无不涉中介服务</w:t>
            </w:r>
            <w:r>
              <w:rPr>
                <w:rFonts w:hint="eastAsia" w:ascii="宋体" w:hAnsi="宋体" w:eastAsia="宋体" w:cs="宋体"/>
                <w:sz w:val="21"/>
                <w:lang w:val="en-US" w:eastAsia="zh-CN"/>
              </w:rPr>
              <w:t>。</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二、</w:t>
            </w:r>
            <w:r>
              <w:rPr>
                <w:rFonts w:hint="eastAsia" w:ascii="宋体" w:hAnsi="宋体" w:eastAsia="宋体" w:cs="宋体"/>
                <w:color w:val="000000"/>
                <w:sz w:val="21"/>
                <w:lang w:val="en-US" w:eastAsia="zh-CN"/>
              </w:rPr>
              <w:t>现场核查。</w:t>
            </w:r>
            <w:r>
              <w:rPr>
                <w:rFonts w:hint="eastAsia" w:cs="宋体"/>
                <w:i w:val="0"/>
                <w:caps w:val="0"/>
                <w:color w:val="000000"/>
                <w:spacing w:val="0"/>
                <w:kern w:val="0"/>
                <w:sz w:val="21"/>
                <w:szCs w:val="21"/>
                <w:shd w:val="clear" w:color="auto" w:fill="FFFFFF"/>
                <w:lang w:val="en-US" w:eastAsia="zh-CN" w:bidi="ar"/>
              </w:rPr>
              <w:t>该事项无需现场核查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计划生效日期：无</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计划取消日期：无</w:t>
            </w:r>
          </w:p>
        </w:tc>
      </w:tr>
    </w:tbl>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lang w:val="en-US" w:eastAsia="zh-CN"/>
        </w:rPr>
      </w:pPr>
    </w:p>
    <w:p>
      <w:pPr>
        <w:pStyle w:val="3"/>
        <w:numPr>
          <w:ilvl w:val="0"/>
          <w:numId w:val="1"/>
        </w:numPr>
        <w:rPr>
          <w:rFonts w:hint="eastAsia"/>
          <w:lang w:val="en-US" w:eastAsia="zh-CN"/>
        </w:rPr>
      </w:pPr>
      <w:r>
        <w:rPr>
          <w:rFonts w:hint="eastAsia"/>
          <w:lang w:val="en-US" w:eastAsia="zh-CN"/>
        </w:rPr>
        <w:t>办事窗口</w:t>
      </w:r>
    </w:p>
    <w:p>
      <w:pPr>
        <w:rPr>
          <w:rFonts w:hint="default"/>
          <w:lang w:eastAsia="zh-CN"/>
        </w:rPr>
      </w:pPr>
      <w:r>
        <w:rPr>
          <w:rFonts w:hint="default"/>
          <w:lang w:eastAsia="zh-CN"/>
        </w:rPr>
        <w:t>窗口名称：自治区政务服务中心2楼综合窗口；</w:t>
      </w:r>
    </w:p>
    <w:p>
      <w:pPr>
        <w:rPr>
          <w:rFonts w:hint="default"/>
          <w:lang w:eastAsia="zh-CN"/>
        </w:rPr>
      </w:pPr>
      <w:r>
        <w:rPr>
          <w:rFonts w:hint="default"/>
          <w:lang w:eastAsia="zh-CN"/>
        </w:rPr>
        <w:t>窗口电话：0771-5595543；</w:t>
      </w:r>
    </w:p>
    <w:p>
      <w:pPr>
        <w:rPr>
          <w:rFonts w:hint="default"/>
          <w:lang w:eastAsia="zh-CN"/>
        </w:rPr>
      </w:pPr>
      <w:r>
        <w:rPr>
          <w:rFonts w:hint="default"/>
          <w:lang w:eastAsia="zh-CN"/>
        </w:rPr>
        <w:t>办理地点：南宁市青秀区怡宾路6号自治区政务服务中心2楼综合窗口；</w:t>
      </w:r>
    </w:p>
    <w:p>
      <w:pPr>
        <w:rPr>
          <w:rFonts w:hint="default"/>
          <w:lang w:eastAsia="zh-CN"/>
        </w:rPr>
      </w:pPr>
      <w:r>
        <w:rPr>
          <w:rFonts w:hint="default"/>
          <w:lang w:eastAsia="zh-CN"/>
        </w:rPr>
        <w:t>办理时间：工作日：上午9:00-12:00、下午13:30-16:30；</w:t>
      </w:r>
    </w:p>
    <w:p>
      <w:pPr>
        <w:rPr>
          <w:rFonts w:hint="default"/>
          <w:lang w:eastAsia="zh-CN"/>
        </w:rPr>
      </w:pPr>
      <w:r>
        <w:rPr>
          <w:rFonts w:hint="default"/>
          <w:lang w:eastAsia="zh-CN"/>
        </w:rPr>
        <w:t>交通指引：可乘南宁地铁1号线至金湖广场站下车C2出口左转步行或骑共享单车沿金浦路至第三个十字路口后转直行约208米即可到达；或乘公交211路、25路、706路车，在区工商局站下车沿怡宾路向前步行约284米即可到达；或乘坐604路车在市一埌东医院站下车，步行或骑共享单车往东行约300米，在十字路口右转约50米即可到达。；</w:t>
      </w:r>
    </w:p>
    <w:p>
      <w:pPr>
        <w:rPr>
          <w:rFonts w:hint="default"/>
          <w:lang w:eastAsia="zh-CN"/>
        </w:rPr>
      </w:pPr>
      <w:r>
        <w:rPr>
          <w:rFonts w:hint="default"/>
          <w:lang w:eastAsia="zh-CN"/>
        </w:rPr>
        <w:t>地图定位链接：https://j.map.baidu.com/bb/f。</w:t>
      </w:r>
    </w:p>
    <w:p>
      <w:pPr>
        <w:pStyle w:val="3"/>
        <w:numPr>
          <w:ilvl w:val="0"/>
          <w:numId w:val="2"/>
        </w:numPr>
        <w:rPr>
          <w:rFonts w:hint="eastAsia"/>
          <w:lang w:val="en-US" w:eastAsia="zh-CN"/>
        </w:rPr>
      </w:pPr>
      <w:r>
        <w:rPr>
          <w:rFonts w:hint="eastAsia"/>
          <w:lang w:val="en-US" w:eastAsia="zh-CN"/>
        </w:rPr>
        <w:t>设定依据</w:t>
      </w:r>
    </w:p>
    <w:p>
      <w:pPr>
        <w:rPr>
          <w:rFonts w:hint="default"/>
          <w:color w:val="000000"/>
          <w:lang w:eastAsia="zh-CN"/>
        </w:rPr>
      </w:pPr>
      <w:r>
        <w:rPr>
          <w:rFonts w:hint="default"/>
          <w:color w:val="000000"/>
          <w:lang w:eastAsia="zh-CN"/>
        </w:rPr>
        <w:t>法律法规名称：安全生产许可证条例</w:t>
      </w:r>
    </w:p>
    <w:p>
      <w:pPr>
        <w:rPr>
          <w:rFonts w:hint="default"/>
          <w:color w:val="000000"/>
          <w:lang w:eastAsia="zh-CN"/>
        </w:rPr>
      </w:pPr>
      <w:r>
        <w:rPr>
          <w:rFonts w:hint="default"/>
          <w:color w:val="000000"/>
          <w:lang w:eastAsia="zh-CN"/>
        </w:rPr>
        <w:t>依据文号：2004年国务院令第397号发布，2014年国务院令第653号修订</w:t>
      </w:r>
    </w:p>
    <w:p>
      <w:pPr>
        <w:rPr>
          <w:rFonts w:hint="default"/>
          <w:color w:val="000000"/>
          <w:lang w:eastAsia="zh-CN"/>
        </w:rPr>
      </w:pPr>
      <w:r>
        <w:rPr>
          <w:rFonts w:hint="default"/>
          <w:color w:val="000000"/>
          <w:lang w:eastAsia="zh-CN"/>
        </w:rPr>
        <w:t>条款号：第二条</w:t>
      </w:r>
    </w:p>
    <w:p>
      <w:pPr>
        <w:rPr>
          <w:rFonts w:hint="default"/>
          <w:color w:val="000000"/>
          <w:lang w:eastAsia="zh-CN"/>
        </w:rPr>
      </w:pPr>
      <w:r>
        <w:rPr>
          <w:rFonts w:hint="default"/>
          <w:color w:val="000000"/>
          <w:lang w:eastAsia="zh-CN"/>
        </w:rPr>
        <w:t>条款内容：国家对矿山企业、建筑施工企业和危险化学品、烟花爆竹、民用爆炸物品生产企业（以下统称企业）实行安全生产许可制度。　　</w:t>
      </w:r>
    </w:p>
    <w:p>
      <w:pPr>
        <w:ind w:firstLine="420" w:firstLineChars="200"/>
        <w:rPr>
          <w:rFonts w:hint="default"/>
          <w:color w:val="000000"/>
        </w:rPr>
      </w:pPr>
      <w:r>
        <w:rPr>
          <w:rFonts w:hint="default"/>
          <w:color w:val="000000"/>
          <w:lang w:eastAsia="zh-CN"/>
        </w:rPr>
        <w:t>企业未取得安全生产许可证的，不得从事生产活动。</w:t>
      </w:r>
    </w:p>
    <w:p>
      <w:pPr>
        <w:ind w:left="0" w:leftChars="0" w:firstLine="0" w:firstLineChars="0"/>
        <w:rPr>
          <w:rFonts w:hint="default"/>
        </w:rPr>
      </w:pPr>
      <w:r>
        <w:rPr>
          <w:rFonts w:hint="eastAsia"/>
          <w:lang w:val="en-US" w:eastAsia="zh-CN"/>
        </w:rPr>
        <w:t>条款号：</w:t>
      </w:r>
      <w:r>
        <w:rPr>
          <w:rFonts w:hint="default"/>
        </w:rPr>
        <w:t>第三条</w:t>
      </w:r>
    </w:p>
    <w:p>
      <w:pPr>
        <w:ind w:left="0" w:leftChars="0" w:firstLine="0" w:firstLineChars="0"/>
        <w:rPr>
          <w:rFonts w:hint="default"/>
        </w:rPr>
      </w:pPr>
      <w:r>
        <w:rPr>
          <w:rFonts w:hint="eastAsia"/>
          <w:lang w:val="en-US" w:eastAsia="zh-CN"/>
        </w:rPr>
        <w:t>条款内容：</w:t>
      </w:r>
      <w:r>
        <w:rPr>
          <w:rFonts w:hint="default"/>
        </w:rPr>
        <w:t>国务院安全生产监督管理部门负责中央管理的非煤矿矿山企业和危险化学品、烟花爆竹生产企业安全生产许可证的颁发和管理。</w:t>
      </w:r>
    </w:p>
    <w:p>
      <w:pPr>
        <w:ind w:left="0" w:leftChars="0" w:firstLine="420" w:firstLineChars="200"/>
        <w:rPr>
          <w:rFonts w:hint="default"/>
          <w:color w:val="000000"/>
        </w:rPr>
      </w:pPr>
      <w:r>
        <w:rPr>
          <w:rFonts w:hint="default"/>
          <w:color w:val="000000"/>
        </w:rPr>
        <w:t>省、自治区、直辖市人民政府安全生产监督管理部门负责前款规定以外的非煤矿矿山企业和危险化学品、烟花爆竹生产企业安全生产许可证的颁发和管理，并接受国务院安全生产监督管理部门的指导和监督。</w:t>
      </w:r>
    </w:p>
    <w:p>
      <w:pPr>
        <w:ind w:left="0" w:leftChars="0" w:firstLine="420" w:firstLineChars="200"/>
        <w:rPr>
          <w:rFonts w:hint="default"/>
          <w:color w:val="000000"/>
        </w:rPr>
      </w:pPr>
      <w:r>
        <w:rPr>
          <w:rFonts w:hint="default"/>
          <w:color w:val="000000"/>
        </w:rPr>
        <w:t>国家煤矿安全监察机构负责中央管理的煤矿企业安全生产许可证的颁发和管理。</w:t>
      </w:r>
    </w:p>
    <w:p>
      <w:pPr>
        <w:ind w:left="0" w:leftChars="0" w:firstLine="420" w:firstLineChars="200"/>
        <w:rPr>
          <w:rFonts w:hint="default" w:ascii="Arial" w:hAnsi="Arial" w:cs="Arial"/>
          <w:i w:val="0"/>
          <w:caps w:val="0"/>
          <w:color w:val="000000"/>
          <w:spacing w:val="0"/>
          <w:szCs w:val="14"/>
        </w:rPr>
      </w:pPr>
      <w:r>
        <w:rPr>
          <w:rFonts w:hint="default"/>
          <w:color w:val="000000"/>
        </w:rPr>
        <w:t>在省、自治区、直辖市设立的煤矿安全监察机构负责前款规定以外的其他煤矿企业安全生产许可证的颁发和管理，并接受国家煤矿安全监察机构的指导和监督。</w:t>
      </w:r>
    </w:p>
    <w:p>
      <w:pPr>
        <w:ind w:left="0" w:leftChars="0" w:firstLine="420" w:firstLineChars="200"/>
        <w:rPr>
          <w:rFonts w:hint="default"/>
          <w:color w:val="000000"/>
          <w:lang w:val="en-US" w:eastAsia="zh-CN"/>
        </w:rPr>
      </w:pPr>
      <w:r>
        <w:rPr>
          <w:rFonts w:hint="default"/>
          <w:color w:val="000000"/>
          <w:lang w:eastAsia="zh-CN"/>
        </w:rPr>
        <w:t>颁布机关：</w:t>
      </w:r>
      <w:r>
        <w:rPr>
          <w:rFonts w:hint="eastAsia"/>
          <w:color w:val="000000"/>
          <w:lang w:val="en-US" w:eastAsia="zh-CN"/>
        </w:rPr>
        <w:t>国务院</w:t>
      </w:r>
    </w:p>
    <w:p>
      <w:pPr>
        <w:ind w:firstLine="420" w:firstLineChars="200"/>
        <w:rPr>
          <w:rFonts w:hint="default"/>
          <w:color w:val="000000"/>
          <w:lang w:eastAsia="zh-CN"/>
        </w:rPr>
      </w:pPr>
      <w:r>
        <w:rPr>
          <w:rFonts w:hint="default"/>
          <w:color w:val="000000"/>
          <w:lang w:eastAsia="zh-CN"/>
        </w:rPr>
        <w:t>实施日期：</w:t>
      </w:r>
      <w:r>
        <w:rPr>
          <w:rFonts w:ascii="Arial" w:hAnsi="Arial" w:eastAsia="宋体" w:cs="Arial"/>
          <w:i w:val="0"/>
          <w:caps w:val="0"/>
          <w:color w:val="000000"/>
          <w:spacing w:val="0"/>
          <w:sz w:val="14"/>
          <w:szCs w:val="14"/>
          <w:shd w:val="clear" w:color="auto" w:fill="FFFFFF"/>
        </w:rPr>
        <w:t>2014年7月29日</w:t>
      </w:r>
    </w:p>
    <w:p>
      <w:pPr>
        <w:ind w:firstLine="420" w:firstLineChars="200"/>
        <w:rPr>
          <w:rFonts w:hint="default"/>
          <w:color w:val="000000"/>
          <w:lang w:eastAsia="zh-CN"/>
        </w:rPr>
      </w:pPr>
      <w:r>
        <w:rPr>
          <w:rFonts w:hint="default"/>
          <w:color w:val="000000"/>
          <w:lang w:eastAsia="zh-CN"/>
        </w:rPr>
        <w:t>设定依据属性：无</w:t>
      </w:r>
    </w:p>
    <w:p>
      <w:pPr>
        <w:pStyle w:val="3"/>
        <w:numPr>
          <w:ilvl w:val="0"/>
          <w:numId w:val="2"/>
        </w:numPr>
        <w:ind w:left="0" w:leftChars="0" w:firstLine="0" w:firstLineChars="0"/>
        <w:rPr>
          <w:rFonts w:hint="eastAsia"/>
          <w:lang w:val="en-US" w:eastAsia="zh-CN"/>
        </w:rPr>
      </w:pPr>
      <w:r>
        <w:rPr>
          <w:rFonts w:hint="eastAsia"/>
          <w:lang w:val="en-US" w:eastAsia="zh-CN"/>
        </w:rPr>
        <w:t>扩展信息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是否进驻政务大厅：是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通办范围：全自治区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是否有数量限制：否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数量限制说明：无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是否证照分离：是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是否证照联办：否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改革方式：优化准入服务</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审批结果类型：证照</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审批结果名称：安全生产许可证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四办：马上办,网上办,一次办</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是否智能审批：否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是否代办、帮办：是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是否支持预约办理：是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是否支持自助终端办理：否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是否支持网上支付：否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是否支持物流快递：是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eastAsia"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送达付费方式：到付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涉密或敏感：否</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是否网办：是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网上办理深度：互联网办理结果信息反馈,互联网办理,互联网受理,互联网预审,互联网收件,互联网咨询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网办地址：http://zwfw.gxzf.gov.cn/gxzwfw/member/login/tologin.do?gotourl=http%3A//zwfw.gxzf.gov.cn/gxzxsb/Apply/tostep1.do?sxbm=11450000739968589Q2000125036005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面向自然人事项主题分类：无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面向法人事项主题分类：安全生产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是否涉及中介事项：是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是否有联办机构：否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乡镇街道代码：无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村居社区代码：无</w:t>
            </w:r>
          </w:p>
        </w:tc>
      </w:tr>
    </w:tbl>
    <w:p>
      <w:pPr>
        <w:ind w:leftChars="0"/>
        <w:rPr>
          <w:rFonts w:hint="default"/>
          <w:lang w:val="en-US"/>
        </w:rPr>
      </w:pPr>
    </w:p>
    <w:p>
      <w:pPr>
        <w:pStyle w:val="3"/>
        <w:numPr>
          <w:ilvl w:val="0"/>
          <w:numId w:val="3"/>
        </w:numPr>
        <w:rPr>
          <w:rFonts w:hint="eastAsia"/>
          <w:lang w:val="en-US" w:eastAsia="zh-CN"/>
        </w:rPr>
      </w:pPr>
      <w:r>
        <w:rPr>
          <w:rFonts w:hint="eastAsia"/>
          <w:lang w:val="en-US" w:eastAsia="zh-CN"/>
        </w:rPr>
        <w:t>申报材料</w:t>
      </w:r>
    </w:p>
    <w:p>
      <w:pPr>
        <w:ind w:firstLine="420" w:firstLineChars="200"/>
        <w:jc w:val="center"/>
        <w:rPr>
          <w:rFonts w:hint="eastAsia" w:ascii="黑体" w:hAnsi="黑体" w:eastAsia="黑体" w:cs="黑体"/>
          <w:sz w:val="21"/>
          <w:szCs w:val="21"/>
        </w:rPr>
      </w:pPr>
      <w:r>
        <w:rPr>
          <w:rFonts w:hint="eastAsia" w:ascii="黑体" w:hAnsi="黑体" w:eastAsia="黑体" w:cs="黑体"/>
          <w:sz w:val="21"/>
          <w:szCs w:val="21"/>
        </w:rPr>
        <w:t>需提交的申请材料</w:t>
      </w:r>
    </w:p>
    <w:tbl>
      <w:tblPr>
        <w:tblStyle w:val="6"/>
        <w:tblW w:w="84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
        <w:gridCol w:w="1055"/>
        <w:gridCol w:w="2650"/>
        <w:gridCol w:w="1583"/>
        <w:gridCol w:w="924"/>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tabs>
                <w:tab w:val="left" w:pos="568"/>
              </w:tabs>
              <w:jc w:val="center"/>
              <w:rPr>
                <w:rStyle w:val="5"/>
                <w:rFonts w:hint="eastAsia" w:ascii="黑体" w:hAnsi="黑体" w:eastAsia="黑体" w:cs="黑体"/>
                <w:b w:val="0"/>
                <w:sz w:val="21"/>
                <w:szCs w:val="21"/>
                <w:lang w:val="en-US" w:eastAsia="zh-CN"/>
              </w:rPr>
            </w:pPr>
            <w:r>
              <w:rPr>
                <w:rFonts w:hint="eastAsia" w:ascii="黑体" w:hAnsi="黑体" w:eastAsia="黑体" w:cs="黑体"/>
                <w:b w:val="0"/>
                <w:sz w:val="21"/>
                <w:szCs w:val="21"/>
                <w:lang w:val="en-US" w:eastAsia="zh-CN"/>
              </w:rPr>
              <w:t>序号</w:t>
            </w: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hint="eastAsia" w:ascii="黑体" w:hAnsi="黑体" w:eastAsia="黑体" w:cs="黑体"/>
                <w:b w:val="0"/>
                <w:sz w:val="21"/>
                <w:szCs w:val="21"/>
                <w:lang w:val="en-US" w:eastAsia="zh-CN"/>
              </w:rPr>
            </w:pPr>
            <w:r>
              <w:rPr>
                <w:rFonts w:hint="eastAsia" w:ascii="黑体" w:hAnsi="黑体" w:eastAsia="黑体" w:cs="黑体"/>
                <w:b w:val="0"/>
                <w:sz w:val="21"/>
                <w:szCs w:val="21"/>
                <w:lang w:val="en-US" w:eastAsia="zh-CN"/>
              </w:rPr>
              <w:t>材料名称</w:t>
            </w:r>
          </w:p>
        </w:tc>
        <w:tc>
          <w:tcPr>
            <w:tcW w:w="2650"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hint="default" w:ascii="黑体" w:hAnsi="黑体" w:eastAsia="黑体" w:cs="黑体"/>
                <w:b w:val="0"/>
                <w:sz w:val="21"/>
                <w:szCs w:val="21"/>
                <w:lang w:val="en-US" w:eastAsia="zh-CN"/>
              </w:rPr>
            </w:pPr>
            <w:r>
              <w:rPr>
                <w:rFonts w:hint="eastAsia" w:ascii="黑体" w:hAnsi="黑体" w:eastAsia="黑体" w:cs="黑体"/>
                <w:b w:val="0"/>
                <w:sz w:val="21"/>
                <w:szCs w:val="21"/>
                <w:lang w:val="en-US" w:eastAsia="zh-CN"/>
              </w:rPr>
              <w:t>材料内容</w:t>
            </w:r>
          </w:p>
        </w:tc>
        <w:tc>
          <w:tcPr>
            <w:tcW w:w="158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hint="default" w:ascii="黑体" w:hAnsi="黑体" w:eastAsia="黑体" w:cs="黑体"/>
                <w:b w:val="0"/>
                <w:sz w:val="21"/>
                <w:szCs w:val="21"/>
                <w:lang w:val="en-US" w:eastAsia="zh-CN"/>
              </w:rPr>
            </w:pPr>
            <w:r>
              <w:rPr>
                <w:rFonts w:hint="eastAsia" w:ascii="黑体" w:hAnsi="黑体" w:eastAsia="黑体" w:cs="黑体"/>
                <w:b w:val="0"/>
                <w:sz w:val="21"/>
                <w:szCs w:val="21"/>
                <w:lang w:val="en-US" w:eastAsia="zh-CN"/>
              </w:rPr>
              <w:t>来源渠道</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hint="default" w:ascii="黑体" w:hAnsi="黑体" w:eastAsia="黑体" w:cs="黑体"/>
                <w:b w:val="0"/>
                <w:sz w:val="21"/>
                <w:szCs w:val="21"/>
                <w:lang w:val="en-US" w:eastAsia="zh-CN"/>
              </w:rPr>
            </w:pPr>
            <w:r>
              <w:rPr>
                <w:rFonts w:hint="eastAsia" w:ascii="黑体" w:hAnsi="黑体" w:eastAsia="黑体" w:cs="黑体"/>
                <w:b w:val="0"/>
                <w:sz w:val="21"/>
                <w:szCs w:val="21"/>
                <w:lang w:val="en-US" w:eastAsia="zh-CN"/>
              </w:rPr>
              <w:t>材料必要性</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hint="eastAsia" w:ascii="黑体" w:hAnsi="黑体" w:eastAsia="黑体" w:cs="黑体"/>
                <w:b w:val="0"/>
                <w:sz w:val="21"/>
                <w:szCs w:val="21"/>
                <w:lang w:val="en-US" w:eastAsia="zh-CN"/>
              </w:rPr>
            </w:pPr>
            <w:r>
              <w:rPr>
                <w:rFonts w:hint="eastAsia" w:ascii="黑体" w:hAnsi="黑体" w:eastAsia="黑体" w:cs="黑体"/>
                <w:b w:val="0"/>
                <w:sz w:val="21"/>
                <w:szCs w:val="21"/>
                <w:lang w:val="en-US" w:eastAsia="zh-CN"/>
              </w:rPr>
              <w:t>要求提供材料的依据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tabs>
                <w:tab w:val="left" w:pos="568"/>
              </w:tabs>
              <w:jc w:val="center"/>
              <w:rPr>
                <w:rFonts w:hint="eastAsia" w:ascii="黑体" w:hAnsi="黑体" w:eastAsia="黑体" w:cs="黑体"/>
                <w:b w:val="0"/>
                <w:sz w:val="21"/>
                <w:szCs w:val="21"/>
                <w:lang w:val="en-US" w:eastAsia="zh-CN"/>
              </w:rPr>
            </w:pPr>
            <w:r>
              <w:rPr>
                <w:rFonts w:hint="eastAsia" w:ascii="黑体" w:hAnsi="黑体" w:eastAsia="黑体" w:cs="黑体"/>
                <w:b w:val="0"/>
                <w:sz w:val="21"/>
                <w:szCs w:val="21"/>
                <w:lang w:val="en-US" w:eastAsia="zh-CN"/>
              </w:rPr>
              <w:t>1</w:t>
            </w: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sz w:val="21"/>
                <w:szCs w:val="21"/>
                <w:lang w:val="en-US" w:eastAsia="zh-CN"/>
              </w:rPr>
            </w:pPr>
            <w:r>
              <w:rPr>
                <w:rFonts w:hint="default" w:ascii="宋体" w:hAnsi="宋体" w:eastAsia="宋体" w:cs="宋体"/>
                <w:sz w:val="18"/>
                <w:szCs w:val="18"/>
                <w:lang w:val="en-US" w:eastAsia="zh-CN"/>
              </w:rPr>
              <w:t>变更申请书</w:t>
            </w:r>
          </w:p>
        </w:tc>
        <w:tc>
          <w:tcPr>
            <w:tcW w:w="2650"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材料形式：纸质</w:t>
            </w:r>
          </w:p>
          <w:p>
            <w:pPr>
              <w:jc w:val="center"/>
              <w:rPr>
                <w:rStyle w:val="5"/>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材料类型：原件</w:t>
            </w:r>
          </w:p>
          <w:p>
            <w:pPr>
              <w:jc w:val="center"/>
              <w:rPr>
                <w:rStyle w:val="5"/>
                <w:rFonts w:hint="default" w:ascii="宋体" w:hAnsi="宋体" w:eastAsia="宋体" w:cs="宋体"/>
                <w:sz w:val="18"/>
                <w:szCs w:val="18"/>
                <w:lang w:val="en-US" w:eastAsia="zh-CN"/>
              </w:rPr>
            </w:pPr>
            <w:r>
              <w:rPr>
                <w:rFonts w:hint="default" w:ascii="宋体" w:hAnsi="宋体" w:eastAsia="宋体" w:cs="宋体"/>
                <w:sz w:val="18"/>
                <w:szCs w:val="18"/>
                <w:lang w:val="en-US" w:eastAsia="zh-CN"/>
              </w:rPr>
              <w:t>原件份数：1</w:t>
            </w:r>
          </w:p>
          <w:p>
            <w:pPr>
              <w:jc w:val="center"/>
              <w:rPr>
                <w:rFonts w:hint="eastAsia" w:ascii="黑体" w:hAnsi="黑体" w:eastAsia="黑体" w:cs="黑体"/>
                <w:b w:val="0"/>
                <w:sz w:val="21"/>
                <w:szCs w:val="21"/>
                <w:lang w:val="en-US" w:eastAsia="zh-CN"/>
              </w:rPr>
            </w:pPr>
            <w:r>
              <w:rPr>
                <w:rFonts w:hint="default" w:ascii="宋体" w:hAnsi="宋体" w:eastAsia="宋体" w:cs="宋体"/>
                <w:sz w:val="18"/>
                <w:szCs w:val="18"/>
                <w:lang w:val="en-US" w:eastAsia="zh-CN"/>
              </w:rPr>
              <w:t>复印件份数：0</w:t>
            </w:r>
          </w:p>
        </w:tc>
        <w:tc>
          <w:tcPr>
            <w:tcW w:w="158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hint="default" w:ascii="宋体" w:hAnsi="宋体" w:eastAsia="宋体" w:cs="宋体"/>
                <w:sz w:val="18"/>
                <w:szCs w:val="18"/>
                <w:lang w:val="en-US" w:eastAsia="zh-CN"/>
              </w:rPr>
            </w:pPr>
            <w:r>
              <w:rPr>
                <w:rFonts w:hint="default" w:ascii="宋体" w:hAnsi="宋体" w:eastAsia="宋体" w:cs="宋体"/>
                <w:sz w:val="18"/>
                <w:szCs w:val="18"/>
                <w:lang w:val="en-US" w:eastAsia="zh-CN"/>
              </w:rPr>
              <w:t>申请人自备</w:t>
            </w:r>
          </w:p>
          <w:p>
            <w:pPr>
              <w:jc w:val="center"/>
              <w:rPr>
                <w:rFonts w:hint="eastAsia" w:ascii="黑体" w:hAnsi="黑体" w:eastAsia="黑体" w:cs="黑体"/>
                <w:b w:val="0"/>
                <w:sz w:val="21"/>
                <w:szCs w:val="21"/>
                <w:lang w:val="en-US" w:eastAsia="zh-CN"/>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color w:val="000000"/>
                <w:sz w:val="21"/>
                <w:szCs w:val="21"/>
                <w:lang w:val="en-US" w:eastAsia="zh-CN"/>
              </w:rPr>
            </w:pPr>
            <w:r>
              <w:rPr>
                <w:rFonts w:hint="default" w:ascii="宋体" w:hAnsi="宋体" w:eastAsia="宋体" w:cs="宋体"/>
                <w:color w:val="000000"/>
                <w:sz w:val="21"/>
                <w:szCs w:val="21"/>
                <w:lang w:val="en-US" w:eastAsia="zh-CN"/>
              </w:rPr>
              <w:t>必要</w:t>
            </w: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黑体" w:eastAsia="黑体" w:cs="黑体"/>
                <w:b w:val="0"/>
                <w:color w:val="000000"/>
                <w:sz w:val="21"/>
                <w:szCs w:val="21"/>
                <w:lang w:val="en-US" w:eastAsia="zh-CN"/>
              </w:rPr>
            </w:pPr>
            <w:r>
              <w:rPr>
                <w:rFonts w:hint="eastAsia" w:ascii="宋体" w:hAnsi="宋体" w:eastAsia="宋体" w:cs="宋体"/>
                <w:i w:val="0"/>
                <w:caps w:val="0"/>
                <w:color w:val="000000"/>
                <w:spacing w:val="0"/>
                <w:kern w:val="0"/>
                <w:sz w:val="21"/>
                <w:szCs w:val="21"/>
                <w:shd w:val="clear" w:color="auto" w:fill="FFFFFF"/>
                <w:lang w:val="en-US" w:eastAsia="zh-CN" w:bidi="ar"/>
              </w:rPr>
              <w:t>《煤矿企业安全生产许可证实施办法》第</w:t>
            </w:r>
            <w:r>
              <w:rPr>
                <w:rFonts w:hint="eastAsia" w:cs="宋体"/>
                <w:i w:val="0"/>
                <w:caps w:val="0"/>
                <w:color w:val="000000"/>
                <w:spacing w:val="0"/>
                <w:kern w:val="0"/>
                <w:sz w:val="21"/>
                <w:szCs w:val="21"/>
                <w:shd w:val="clear" w:color="auto" w:fill="FFFFFF"/>
                <w:lang w:val="en-US" w:eastAsia="zh-CN" w:bidi="ar"/>
              </w:rPr>
              <w:t>十一条第一款第一项第1目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变更后的工商营业执照副本</w:t>
            </w:r>
          </w:p>
        </w:tc>
        <w:tc>
          <w:tcPr>
            <w:tcW w:w="26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材料形式：纸质</w:t>
            </w:r>
          </w:p>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材料类型：复印件</w:t>
            </w:r>
          </w:p>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原件份数：0</w:t>
            </w:r>
          </w:p>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复印件份数：1</w:t>
            </w:r>
          </w:p>
        </w:tc>
        <w:tc>
          <w:tcPr>
            <w:tcW w:w="15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政府部门核发</w:t>
            </w:r>
          </w:p>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来源说明：市场管理部门；</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必要</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《煤矿企业安全生产许可证实施办法》第二十条第三款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变更后主要负责人</w:t>
            </w:r>
            <w:r>
              <w:rPr>
                <w:rFonts w:hint="eastAsia" w:cs="宋体"/>
                <w:sz w:val="18"/>
                <w:szCs w:val="18"/>
                <w:lang w:val="en-US" w:eastAsia="zh-CN"/>
              </w:rPr>
              <w:t>名单</w:t>
            </w:r>
          </w:p>
        </w:tc>
        <w:tc>
          <w:tcPr>
            <w:tcW w:w="26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材料形式：纸质</w:t>
            </w:r>
          </w:p>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材料类型：复印件</w:t>
            </w:r>
          </w:p>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原件份数：0</w:t>
            </w:r>
          </w:p>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复印件份数：1</w:t>
            </w:r>
          </w:p>
        </w:tc>
        <w:tc>
          <w:tcPr>
            <w:tcW w:w="15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部门</w:t>
            </w:r>
            <w:r>
              <w:rPr>
                <w:rFonts w:hint="eastAsia" w:cs="宋体"/>
                <w:sz w:val="18"/>
                <w:szCs w:val="18"/>
                <w:lang w:val="en-US" w:eastAsia="zh-CN"/>
              </w:rPr>
              <w:t>内部</w:t>
            </w:r>
            <w:r>
              <w:rPr>
                <w:rFonts w:hint="default" w:ascii="宋体" w:hAnsi="宋体" w:eastAsia="宋体" w:cs="宋体"/>
                <w:sz w:val="18"/>
                <w:szCs w:val="18"/>
                <w:lang w:val="en-US" w:eastAsia="zh-CN"/>
              </w:rPr>
              <w:t>核发</w:t>
            </w:r>
          </w:p>
          <w:p>
            <w:pPr>
              <w:jc w:val="center"/>
              <w:rPr>
                <w:rFonts w:hint="default" w:ascii="宋体" w:hAnsi="宋体" w:eastAsia="宋体" w:cs="宋体"/>
                <w:sz w:val="18"/>
                <w:szCs w:val="18"/>
                <w:lang w:val="en-US" w:eastAsia="zh-CN"/>
              </w:rPr>
            </w:pPr>
            <w:bookmarkStart w:id="0" w:name="_GoBack"/>
            <w:bookmarkEnd w:id="0"/>
            <w:r>
              <w:rPr>
                <w:rFonts w:hint="eastAsia" w:cs="宋体"/>
                <w:sz w:val="18"/>
                <w:szCs w:val="18"/>
                <w:lang w:val="en-US" w:eastAsia="zh-CN"/>
              </w:rPr>
              <w:t>核查</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心要</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《煤矿企业安全生产许可证实施办法》第二十条第三款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变更后主要负责人任命书或聘书</w:t>
            </w:r>
          </w:p>
        </w:tc>
        <w:tc>
          <w:tcPr>
            <w:tcW w:w="26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材料形式：纸质</w:t>
            </w:r>
          </w:p>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材料类型：复印件</w:t>
            </w:r>
          </w:p>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原件份数：0</w:t>
            </w:r>
          </w:p>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复印件份数：1</w:t>
            </w:r>
          </w:p>
        </w:tc>
        <w:tc>
          <w:tcPr>
            <w:tcW w:w="15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申请人自备</w:t>
            </w:r>
          </w:p>
          <w:p>
            <w:pPr>
              <w:jc w:val="center"/>
              <w:rPr>
                <w:rFonts w:hint="default" w:ascii="宋体" w:hAnsi="宋体" w:eastAsia="宋体" w:cs="宋体"/>
                <w:sz w:val="18"/>
                <w:szCs w:val="18"/>
                <w:lang w:val="en-US" w:eastAsia="zh-CN"/>
              </w:rPr>
            </w:pP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心要</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《煤矿企业安全生产许可证实施办法》第二十条第三款</w:t>
            </w:r>
          </w:p>
        </w:tc>
      </w:tr>
    </w:tbl>
    <w:p>
      <w:pPr>
        <w:pStyle w:val="2"/>
        <w:rPr>
          <w:rFonts w:hint="eastAsia" w:ascii="黑体" w:hAnsi="黑体" w:eastAsia="黑体" w:cs="黑体"/>
          <w:sz w:val="21"/>
          <w:szCs w:val="21"/>
          <w:lang w:eastAsia="zh-CN"/>
        </w:rPr>
      </w:pPr>
    </w:p>
    <w:p>
      <w:pPr>
        <w:rPr>
          <w:rFonts w:hint="eastAsia"/>
          <w:lang w:val="en-US" w:eastAsia="zh-CN"/>
        </w:rPr>
      </w:pPr>
    </w:p>
    <w:p>
      <w:pPr>
        <w:pStyle w:val="3"/>
        <w:numPr>
          <w:ilvl w:val="0"/>
          <w:numId w:val="3"/>
        </w:numPr>
        <w:rPr>
          <w:rFonts w:hint="eastAsia"/>
          <w:vertAlign w:val="baseline"/>
        </w:rPr>
      </w:pPr>
      <w:r>
        <w:rPr>
          <w:rFonts w:hint="eastAsia"/>
          <w:lang w:val="en-US" w:eastAsia="zh-CN"/>
        </w:rPr>
        <w:t>特别程序</w:t>
      </w:r>
      <w:r>
        <w:rPr>
          <w:rFonts w:hint="eastAsia"/>
        </w:rPr>
        <w:fldChar w:fldCharType="begin"/>
      </w:r>
      <w:r>
        <w:rPr>
          <w:rFonts w:hint="eastAsia"/>
        </w:rPr>
        <w:instrText xml:space="preserve"> MERGEFIELD bsck \* MERGEFORMAT </w:instrText>
      </w:r>
      <w:r>
        <w:rPr>
          <w:rFonts w:hint="eastAsia"/>
        </w:rPr>
        <w:fldChar w:fldCharType="separate"/>
      </w:r>
    </w:p>
    <w:p>
      <w:pPr>
        <w:rPr>
          <w:rFonts w:hint="eastAsia"/>
          <w:color w:val="000000"/>
        </w:rPr>
      </w:pPr>
      <w:r>
        <w:rPr>
          <w:rFonts w:hint="eastAsia"/>
        </w:rPr>
        <w:fldChar w:fldCharType="end"/>
      </w:r>
      <w:r>
        <w:rPr>
          <w:rFonts w:hint="eastAsia"/>
          <w:color w:val="000000"/>
        </w:rPr>
        <w:t>环节名称：</w:t>
      </w:r>
      <w:r>
        <w:rPr>
          <w:rFonts w:hint="eastAsia"/>
          <w:color w:val="000000"/>
          <w:lang w:eastAsia="zh-CN"/>
        </w:rPr>
        <w:t>无</w:t>
      </w:r>
      <w:r>
        <w:rPr>
          <w:rFonts w:hint="eastAsia"/>
          <w:color w:val="000000"/>
        </w:rPr>
        <w:t>；</w:t>
      </w:r>
    </w:p>
    <w:p>
      <w:pPr>
        <w:rPr>
          <w:rFonts w:hint="eastAsia"/>
        </w:rPr>
      </w:pPr>
    </w:p>
    <w:p>
      <w:pPr>
        <w:rPr>
          <w:rFonts w:hint="eastAsia" w:ascii="宋体" w:hAnsi="宋体" w:eastAsia="宋体" w:cs="宋体"/>
          <w:b/>
          <w:bCs/>
          <w:i w:val="0"/>
          <w:caps w:val="0"/>
          <w:color w:val="333333"/>
          <w:spacing w:val="0"/>
          <w:sz w:val="36"/>
          <w:szCs w:val="36"/>
        </w:rPr>
      </w:pPr>
      <w:r>
        <w:rPr>
          <w:rFonts w:hint="eastAsia"/>
          <w:b/>
          <w:bCs/>
          <w:lang w:val="en-US" w:eastAsia="zh-CN"/>
        </w:rPr>
        <w:t>七、中介服务</w:t>
      </w:r>
    </w:p>
    <w:p>
      <w:pPr>
        <w:rPr>
          <w:rFonts w:hint="default" w:eastAsia="宋体"/>
          <w:lang w:eastAsia="zh-CN"/>
        </w:rPr>
      </w:pPr>
      <w:r>
        <w:rPr>
          <w:rFonts w:hint="eastAsia"/>
          <w:lang w:eastAsia="zh-CN"/>
        </w:rPr>
        <w:t>无</w:t>
      </w:r>
    </w:p>
    <w:p>
      <w:pPr>
        <w:rPr>
          <w:rFonts w:hint="default" w:eastAsia="宋体"/>
          <w:lang w:eastAsia="zh-CN"/>
        </w:rPr>
      </w:pPr>
    </w:p>
    <w:p>
      <w:pPr>
        <w:pStyle w:val="3"/>
        <w:rPr>
          <w:rFonts w:hint="eastAsia" w:eastAsia="黑体"/>
          <w:lang w:val="en-US" w:eastAsia="zh-CN"/>
        </w:rPr>
      </w:pPr>
      <w:r>
        <w:rPr>
          <w:rFonts w:hint="eastAsia"/>
          <w:lang w:val="en-US" w:eastAsia="zh-CN"/>
        </w:rPr>
        <w:t>八、</w:t>
      </w:r>
      <w:r>
        <w:rPr>
          <w:rFonts w:hint="eastAsia"/>
        </w:rPr>
        <w:t>收费</w:t>
      </w:r>
      <w:r>
        <w:rPr>
          <w:rFonts w:hint="eastAsia"/>
          <w:lang w:val="en-US" w:eastAsia="zh-CN"/>
        </w:rPr>
        <w:t>信息</w:t>
      </w:r>
    </w:p>
    <w:p>
      <w:pPr>
        <w:rPr>
          <w:rFonts w:hint="eastAsia" w:eastAsia="宋体"/>
          <w:lang w:eastAsia="zh-CN"/>
        </w:rPr>
      </w:pPr>
      <w:r>
        <w:rPr>
          <w:rFonts w:hint="eastAsia" w:eastAsia="宋体"/>
          <w:lang w:eastAsia="zh-CN"/>
        </w:rPr>
        <w:t>本事项不收费。</w:t>
      </w:r>
    </w:p>
    <w:p>
      <w:pPr>
        <w:pStyle w:val="3"/>
        <w:rPr>
          <w:rFonts w:hint="default"/>
          <w:lang w:val="en-US"/>
        </w:rPr>
      </w:pPr>
      <w:r>
        <w:rPr>
          <w:rFonts w:hint="eastAsia"/>
          <w:lang w:val="en-US" w:eastAsia="zh-CN"/>
        </w:rPr>
        <w:t>九、常见问题解答</w:t>
      </w: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pPr>
      <w:r>
        <w:rPr>
          <w:rFonts w:hint="default" w:ascii="宋体" w:hAnsi="宋体" w:eastAsia="宋体" w:cs="宋体"/>
          <w:sz w:val="21"/>
          <w:szCs w:val="21"/>
          <w:lang w:eastAsia="zh-CN"/>
        </w:rPr>
        <w:t>1问题：</w:t>
      </w:r>
      <w:r>
        <w:rPr>
          <w:rFonts w:hint="eastAsia" w:cs="宋体"/>
          <w:sz w:val="21"/>
          <w:szCs w:val="21"/>
          <w:lang w:eastAsia="zh-CN"/>
        </w:rPr>
        <w:t>煤矿</w:t>
      </w:r>
      <w:r>
        <w:rPr>
          <w:rFonts w:hint="default" w:ascii="宋体" w:hAnsi="宋体" w:eastAsia="宋体" w:cs="宋体"/>
          <w:sz w:val="21"/>
          <w:szCs w:val="21"/>
          <w:lang w:eastAsia="zh-CN"/>
        </w:rPr>
        <w:t>企业安全生产许可证什么情况下</w:t>
      </w:r>
      <w:r>
        <w:rPr>
          <w:rFonts w:hint="eastAsia" w:cs="宋体"/>
          <w:sz w:val="21"/>
          <w:szCs w:val="21"/>
          <w:lang w:eastAsia="zh-CN"/>
        </w:rPr>
        <w:t>应当</w:t>
      </w:r>
      <w:r>
        <w:rPr>
          <w:rFonts w:hint="default" w:ascii="宋体" w:hAnsi="宋体" w:eastAsia="宋体" w:cs="宋体"/>
          <w:sz w:val="21"/>
          <w:szCs w:val="21"/>
          <w:lang w:eastAsia="zh-CN"/>
        </w:rPr>
        <w:t>申请变更？</w:t>
      </w:r>
    </w:p>
    <w:p>
      <w:pPr>
        <w:rPr>
          <w:rFonts w:hint="eastAsia"/>
        </w:rPr>
      </w:pPr>
      <w:r>
        <w:rPr>
          <w:rFonts w:hint="default"/>
          <w:lang w:eastAsia="zh-CN"/>
        </w:rPr>
        <w:t>解答：答：</w:t>
      </w:r>
      <w:r>
        <w:rPr>
          <w:rFonts w:hint="default"/>
          <w:lang w:val="en-US" w:eastAsia="zh-CN"/>
        </w:rPr>
        <w:t> </w:t>
      </w:r>
      <w:r>
        <w:rPr>
          <w:rFonts w:hint="eastAsia"/>
          <w:lang w:val="en-US" w:eastAsia="zh-CN"/>
        </w:rPr>
        <w:t>煤矿企业在安全生产许可证有效期内有下列情形之一的，应当向原安全生产许可证颁发管理机关申请变更安全生产许可证：</w:t>
      </w:r>
    </w:p>
    <w:p>
      <w:pPr>
        <w:rPr>
          <w:rFonts w:hint="eastAsia"/>
        </w:rPr>
      </w:pPr>
      <w:r>
        <w:rPr>
          <w:rFonts w:hint="eastAsia"/>
          <w:lang w:val="en-US" w:eastAsia="zh-CN"/>
        </w:rPr>
        <w:t>（一）变更主要负责人的；</w:t>
      </w:r>
    </w:p>
    <w:p>
      <w:pPr>
        <w:rPr>
          <w:rFonts w:hint="eastAsia"/>
        </w:rPr>
      </w:pPr>
      <w:r>
        <w:rPr>
          <w:rFonts w:hint="eastAsia"/>
          <w:lang w:val="en-US" w:eastAsia="zh-CN"/>
        </w:rPr>
        <w:t>（二）变更隶属关系的；</w:t>
      </w:r>
    </w:p>
    <w:p>
      <w:pPr>
        <w:rPr>
          <w:rFonts w:hint="eastAsia"/>
        </w:rPr>
      </w:pPr>
      <w:r>
        <w:rPr>
          <w:rFonts w:hint="eastAsia"/>
          <w:lang w:val="en-US" w:eastAsia="zh-CN"/>
        </w:rPr>
        <w:t>（三）变更经济类型的；</w:t>
      </w:r>
    </w:p>
    <w:p>
      <w:pPr>
        <w:rPr>
          <w:rFonts w:hint="eastAsia"/>
        </w:rPr>
      </w:pPr>
      <w:r>
        <w:rPr>
          <w:rFonts w:hint="eastAsia"/>
          <w:lang w:val="en-US" w:eastAsia="zh-CN"/>
        </w:rPr>
        <w:t>（四）变更煤矿企业名称的；</w:t>
      </w:r>
    </w:p>
    <w:p>
      <w:pPr>
        <w:rPr>
          <w:rFonts w:hint="eastAsia"/>
        </w:rPr>
      </w:pPr>
      <w:r>
        <w:rPr>
          <w:rFonts w:hint="eastAsia"/>
          <w:lang w:val="en-US" w:eastAsia="zh-CN"/>
        </w:rPr>
        <w:t>（五）煤矿改建、扩建工程经验收合格的。</w:t>
      </w:r>
    </w:p>
    <w:p>
      <w:pPr>
        <w:ind w:firstLine="420" w:firstLineChars="200"/>
        <w:rPr>
          <w:rFonts w:hint="eastAsia"/>
        </w:rPr>
      </w:pPr>
      <w:r>
        <w:rPr>
          <w:rFonts w:hint="eastAsia"/>
          <w:lang w:val="en-US" w:eastAsia="zh-CN"/>
        </w:rPr>
        <w:t>变更本条第一款第一、二、三、四项的，自工商营业执照变更之日起</w:t>
      </w:r>
      <w:r>
        <w:rPr>
          <w:rFonts w:hint="default"/>
          <w:lang w:val="en-US" w:eastAsia="zh-CN"/>
        </w:rPr>
        <w:t>10</w:t>
      </w:r>
      <w:r>
        <w:rPr>
          <w:rFonts w:hint="eastAsia"/>
          <w:lang w:val="en-US" w:eastAsia="zh-CN"/>
        </w:rPr>
        <w:t>个工作日内提出申请；变更本条第一款第五项的，应当在改建、扩建工程验收合格后</w:t>
      </w:r>
      <w:r>
        <w:rPr>
          <w:rFonts w:hint="default"/>
          <w:lang w:val="en-US" w:eastAsia="zh-CN"/>
        </w:rPr>
        <w:t>10</w:t>
      </w:r>
      <w:r>
        <w:rPr>
          <w:rFonts w:hint="eastAsia"/>
          <w:lang w:val="en-US" w:eastAsia="zh-CN"/>
        </w:rPr>
        <w:t>个工作日内提出申请。</w:t>
      </w:r>
    </w:p>
    <w:p>
      <w:pPr>
        <w:ind w:firstLine="420" w:firstLineChars="200"/>
        <w:rPr>
          <w:rFonts w:hint="eastAsia"/>
        </w:rPr>
      </w:pPr>
      <w:r>
        <w:rPr>
          <w:rFonts w:hint="eastAsia"/>
          <w:lang w:val="en-US" w:eastAsia="zh-CN"/>
        </w:rPr>
        <w:t>申请变更本条第一款第一项的，应提供变更后的工商营业执照副本和主要负责人任命文件（或者聘书）；申请变更本条第一款第二、三、四项的，应提供变更后的工商营业执照副本；申请变更本条第一款第五项的，应提供改建、扩建工程安全设施及条件竣工验收合格的证明材料。</w:t>
      </w: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pPr>
      <w:r>
        <w:rPr>
          <w:rFonts w:hint="default" w:ascii="宋体" w:hAnsi="宋体" w:eastAsia="宋体" w:cs="宋体"/>
          <w:sz w:val="21"/>
          <w:szCs w:val="21"/>
          <w:lang w:eastAsia="zh-CN"/>
        </w:rPr>
        <w:t>常见错误示例：变更</w:t>
      </w:r>
      <w:r>
        <w:rPr>
          <w:rFonts w:hint="eastAsia"/>
          <w:lang w:val="en-US" w:eastAsia="zh-CN"/>
        </w:rPr>
        <w:t>隶属关系</w:t>
      </w:r>
      <w:r>
        <w:rPr>
          <w:rFonts w:hint="default" w:ascii="宋体" w:hAnsi="宋体" w:eastAsia="宋体" w:cs="宋体"/>
          <w:sz w:val="21"/>
          <w:szCs w:val="21"/>
          <w:lang w:eastAsia="zh-CN"/>
        </w:rPr>
        <w:t>时未申报变更安全生产许可证。</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2问题：变更主要负责人要提交什么材料？</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解答：答：</w:t>
      </w:r>
      <w:r>
        <w:rPr>
          <w:rFonts w:hint="eastAsia" w:cs="宋体"/>
          <w:sz w:val="21"/>
          <w:szCs w:val="21"/>
          <w:lang w:eastAsia="zh-CN"/>
        </w:rPr>
        <w:t>煤矿</w:t>
      </w:r>
      <w:r>
        <w:rPr>
          <w:rFonts w:hint="default" w:ascii="宋体" w:hAnsi="宋体" w:eastAsia="宋体" w:cs="宋体"/>
          <w:sz w:val="21"/>
          <w:szCs w:val="21"/>
          <w:lang w:eastAsia="zh-CN"/>
        </w:rPr>
        <w:t>企业申请变更主要负责人时，应当提交下列文件、资料：</w:t>
      </w:r>
    </w:p>
    <w:p>
      <w:pPr>
        <w:rPr>
          <w:rFonts w:hint="eastAsia"/>
          <w:lang w:val="en-US" w:eastAsia="zh-CN"/>
        </w:rPr>
      </w:pPr>
      <w:r>
        <w:rPr>
          <w:rFonts w:hint="eastAsia"/>
          <w:lang w:val="en-US" w:eastAsia="zh-CN"/>
        </w:rPr>
        <w:t>1.变更申请书；</w:t>
      </w:r>
    </w:p>
    <w:p>
      <w:pPr>
        <w:rPr>
          <w:rFonts w:hint="eastAsia"/>
          <w:lang w:val="en-US" w:eastAsia="zh-CN"/>
        </w:rPr>
      </w:pPr>
      <w:r>
        <w:rPr>
          <w:rFonts w:hint="eastAsia"/>
          <w:lang w:val="en-US" w:eastAsia="zh-CN"/>
        </w:rPr>
        <w:t>2.变更后的工商营业执照副本和主要负责人任命文件（或者聘书）。</w:t>
      </w: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pPr>
    </w:p>
    <w:p>
      <w:pPr>
        <w:pStyle w:val="2"/>
        <w:sectPr>
          <w:headerReference r:id="rId3" w:type="default"/>
          <w:footerReference r:id="rId4" w:type="default"/>
          <w:pgSz w:w="11906" w:h="16838"/>
          <w:pgMar w:top="1440" w:right="1800" w:bottom="1440" w:left="1800" w:header="851" w:footer="992" w:gutter="0"/>
          <w:cols w:space="720" w:num="1"/>
          <w:docGrid w:linePitch="312" w:charSpace="0"/>
        </w:sectPr>
      </w:pPr>
    </w:p>
    <w:p>
      <w:pPr>
        <w:pStyle w:val="2"/>
      </w:pPr>
    </w:p>
    <w:p>
      <w:pPr>
        <w:widowControl/>
        <w:spacing w:before="100" w:beforeAutospacing="1" w:after="100" w:afterAutospacing="1" w:line="600" w:lineRule="exact"/>
        <w:contextualSpacing/>
        <w:jc w:val="center"/>
        <w:rPr>
          <w:rFonts w:ascii="方正小标宋简体" w:hAnsi="宋体" w:eastAsia="方正小标宋简体" w:cs="Times New Roman"/>
          <w:spacing w:val="-10"/>
          <w:sz w:val="44"/>
          <w:szCs w:val="44"/>
        </w:rPr>
      </w:pPr>
      <w:r>
        <w:rPr>
          <w:rFonts w:hint="eastAsia" w:ascii="方正小标宋简体" w:eastAsia="方正小标宋简体" w:cs="Times New Roman"/>
          <w:sz w:val="44"/>
          <w:szCs w:val="44"/>
          <w:lang w:eastAsia="zh-CN"/>
        </w:rPr>
        <w:t>煤矿企业</w:t>
      </w:r>
      <w:r>
        <w:rPr>
          <w:rFonts w:ascii="方正小标宋简体" w:hAnsi="宋体" w:eastAsia="方正小标宋简体" w:cs="Times New Roman"/>
          <w:sz w:val="44"/>
          <w:szCs w:val="44"/>
        </w:rPr>
        <w:t>安全生产许可</w:t>
      </w:r>
      <w:r>
        <w:rPr>
          <w:rFonts w:hint="eastAsia" w:ascii="方正小标宋简体" w:hAnsi="宋体" w:eastAsia="方正小标宋简体" w:cs="Times New Roman"/>
          <w:sz w:val="44"/>
          <w:szCs w:val="44"/>
          <w:lang w:eastAsia="zh-CN"/>
        </w:rPr>
        <w:t>（</w:t>
      </w:r>
      <w:r>
        <w:rPr>
          <w:rFonts w:ascii="方正小标宋简体" w:hAnsi="宋体" w:eastAsia="方正小标宋简体" w:cs="Times New Roman"/>
          <w:sz w:val="44"/>
          <w:szCs w:val="44"/>
        </w:rPr>
        <w:t>变更</w:t>
      </w:r>
      <w:r>
        <w:rPr>
          <w:rFonts w:hint="eastAsia" w:ascii="方正小标宋简体" w:eastAsia="方正小标宋简体" w:cs="Times New Roman"/>
          <w:sz w:val="44"/>
          <w:szCs w:val="44"/>
          <w:lang w:val="en-US" w:eastAsia="zh-CN"/>
        </w:rPr>
        <w:t>-主要负责人</w:t>
      </w:r>
      <w:r>
        <w:rPr>
          <w:rFonts w:hint="eastAsia" w:ascii="方正小标宋简体" w:hAnsi="宋体" w:eastAsia="方正小标宋简体" w:cs="Times New Roman"/>
          <w:sz w:val="44"/>
          <w:szCs w:val="44"/>
          <w:lang w:eastAsia="zh-CN"/>
        </w:rPr>
        <w:t>）</w:t>
      </w:r>
      <w:r>
        <w:rPr>
          <w:rFonts w:hint="eastAsia" w:ascii="方正小标宋简体" w:hAnsi="宋体" w:eastAsia="方正小标宋简体" w:cs="Times New Roman"/>
          <w:spacing w:val="-10"/>
          <w:sz w:val="44"/>
          <w:szCs w:val="44"/>
          <w:lang w:eastAsia="zh-CN"/>
        </w:rPr>
        <w:t>办理</w:t>
      </w:r>
      <w:r>
        <w:rPr>
          <w:rFonts w:ascii="方正小标宋简体" w:hAnsi="宋体" w:eastAsia="方正小标宋简体" w:cs="Times New Roman"/>
          <w:spacing w:val="-10"/>
          <w:sz w:val="44"/>
          <w:szCs w:val="44"/>
        </w:rPr>
        <w:t>流程图</w:t>
      </w:r>
    </w:p>
    <w:p>
      <w:pPr>
        <w:widowControl/>
        <w:spacing w:before="100" w:beforeAutospacing="1" w:after="100" w:afterAutospacing="1" w:line="400" w:lineRule="exact"/>
        <w:contextualSpacing/>
        <w:jc w:val="center"/>
      </w:pPr>
      <w:r>
        <w:rPr>
          <w:rFonts w:ascii="仿宋_GB2312" w:hAnsi="宋体" w:eastAsia="仿宋_GB2312" w:cs="Times New Roman"/>
          <w:sz w:val="32"/>
          <w:szCs w:val="32"/>
        </w:rPr>
        <w:t>（法定办结时限</w:t>
      </w:r>
      <w:r>
        <w:rPr>
          <w:rFonts w:hint="eastAsia" w:ascii="仿宋_GB2312" w:eastAsia="仿宋_GB2312" w:cs="Times New Roman"/>
          <w:sz w:val="32"/>
          <w:szCs w:val="32"/>
          <w:lang w:val="en-US" w:eastAsia="zh-CN"/>
        </w:rPr>
        <w:t>20</w:t>
      </w:r>
      <w:r>
        <w:rPr>
          <w:rFonts w:ascii="仿宋_GB2312" w:hAnsi="宋体" w:eastAsia="仿宋_GB2312" w:cs="Times New Roman"/>
          <w:sz w:val="32"/>
          <w:szCs w:val="32"/>
        </w:rPr>
        <w:t>个工作日；承诺办结时限：</w:t>
      </w:r>
      <w:r>
        <w:rPr>
          <w:rFonts w:hint="eastAsia" w:ascii="仿宋_GB2312" w:eastAsia="仿宋_GB2312" w:cs="Times New Roman"/>
          <w:sz w:val="32"/>
          <w:szCs w:val="32"/>
          <w:lang w:val="en-US" w:eastAsia="zh-CN"/>
        </w:rPr>
        <w:t>1个工作日</w:t>
      </w:r>
      <w:r>
        <w:rPr>
          <w:rFonts w:ascii="仿宋_GB2312" w:hAnsi="宋体" w:eastAsia="仿宋_GB2312" w:cs="Times New Roman"/>
          <w:sz w:val="32"/>
          <w:szCs w:val="32"/>
        </w:rPr>
        <w:t>）</w:t>
      </w:r>
      <w:r>
        <w:rPr>
          <w:rFonts w:ascii="宋体" w:hAnsi="宋体" w:eastAsia="Times New Roman" w:cs="Times New Roman"/>
          <w:sz w:val="24"/>
          <w:szCs w:val="20"/>
        </w:rPr>
        <mc:AlternateContent>
          <mc:Choice Requires="wpg">
            <w:drawing>
              <wp:anchor distT="0" distB="0" distL="114300" distR="114300" simplePos="0" relativeHeight="251660288" behindDoc="1" locked="0" layoutInCell="1" allowOverlap="1">
                <wp:simplePos x="0" y="0"/>
                <wp:positionH relativeFrom="column">
                  <wp:posOffset>71755</wp:posOffset>
                </wp:positionH>
                <wp:positionV relativeFrom="paragraph">
                  <wp:posOffset>372745</wp:posOffset>
                </wp:positionV>
                <wp:extent cx="8753475" cy="5273675"/>
                <wp:effectExtent l="0" t="0" r="0" b="0"/>
                <wp:wrapTight wrapText="bothSides">
                  <wp:wrapPolygon>
                    <wp:start x="238" y="208"/>
                    <wp:lineTo x="21363" y="208"/>
                    <wp:lineTo x="21363" y="21395"/>
                    <wp:lineTo x="238" y="21395"/>
                    <wp:lineTo x="238" y="208"/>
                  </wp:wrapPolygon>
                </wp:wrapTight>
                <wp:docPr id="48" name="组合 48"/>
                <wp:cNvGraphicFramePr/>
                <a:graphic xmlns:a="http://schemas.openxmlformats.org/drawingml/2006/main">
                  <a:graphicData uri="http://schemas.microsoft.com/office/word/2010/wordprocessingGroup">
                    <wpg:wgp>
                      <wpg:cNvGrpSpPr/>
                      <wpg:grpSpPr>
                        <a:xfrm>
                          <a:off x="0" y="0"/>
                          <a:ext cx="8753475" cy="5273675"/>
                          <a:chOff x="476" y="2286"/>
                          <a:chExt cx="87535" cy="52736"/>
                        </a:xfrm>
                      </wpg:grpSpPr>
                      <wps:wsp>
                        <wps:cNvPr id="24" name="矩形 24"/>
                        <wps:cNvSpPr>
                          <a:spLocks noChangeAspect="1"/>
                        </wps:cNvSpPr>
                        <wps:spPr>
                          <a:xfrm>
                            <a:off x="476" y="2286"/>
                            <a:ext cx="87535" cy="52736"/>
                          </a:xfrm>
                          <a:prstGeom prst="rect">
                            <a:avLst/>
                          </a:prstGeom>
                          <a:noFill/>
                          <a:ln w="9525">
                            <a:noFill/>
                          </a:ln>
                        </wps:spPr>
                        <wps:bodyPr upright="1"/>
                      </wps:wsp>
                      <wps:wsp>
                        <wps:cNvPr id="25" name="直接连接符 25"/>
                        <wps:cNvCnPr/>
                        <wps:spPr>
                          <a:xfrm flipH="1">
                            <a:off x="22574" y="13449"/>
                            <a:ext cx="14180" cy="13"/>
                          </a:xfrm>
                          <a:prstGeom prst="line">
                            <a:avLst/>
                          </a:prstGeom>
                          <a:ln w="9525" cap="flat" cmpd="sng">
                            <a:solidFill>
                              <a:srgbClr val="000000"/>
                            </a:solidFill>
                            <a:prstDash val="solid"/>
                            <a:headEnd type="none" w="med" len="med"/>
                            <a:tailEnd type="triangle" w="med" len="med"/>
                          </a:ln>
                        </wps:spPr>
                        <wps:bodyPr/>
                      </wps:wsp>
                      <wps:wsp>
                        <wps:cNvPr id="26" name="直接连接符 26"/>
                        <wps:cNvCnPr/>
                        <wps:spPr>
                          <a:xfrm>
                            <a:off x="52845" y="13449"/>
                            <a:ext cx="13716" cy="0"/>
                          </a:xfrm>
                          <a:prstGeom prst="line">
                            <a:avLst/>
                          </a:prstGeom>
                          <a:ln w="9525" cap="flat" cmpd="sng">
                            <a:solidFill>
                              <a:srgbClr val="000000"/>
                            </a:solidFill>
                            <a:prstDash val="solid"/>
                            <a:headEnd type="none" w="med" len="med"/>
                            <a:tailEnd type="triangle" w="med" len="med"/>
                          </a:ln>
                        </wps:spPr>
                        <wps:bodyPr/>
                      </wps:wsp>
                      <wps:wsp>
                        <wps:cNvPr id="27" name="文本框 27"/>
                        <wps:cNvSpPr txBox="1"/>
                        <wps:spPr>
                          <a:xfrm>
                            <a:off x="32588" y="18732"/>
                            <a:ext cx="25229" cy="46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w w:val="90"/>
                                </w:rPr>
                              </w:pPr>
                              <w:r>
                                <w:rPr>
                                  <w:rFonts w:ascii="仿宋_GB2312" w:eastAsia="仿宋_GB2312"/>
                                  <w:w w:val="90"/>
                                </w:rPr>
                                <w:t>窗口首席代表</w:t>
                              </w:r>
                              <w:r>
                                <w:rPr>
                                  <w:rFonts w:hint="eastAsia" w:ascii="仿宋_GB2312" w:eastAsia="仿宋_GB2312"/>
                                  <w:w w:val="90"/>
                                  <w:lang w:eastAsia="zh-CN"/>
                                </w:rPr>
                                <w:t>作出予以许可或不予许可</w:t>
                              </w:r>
                              <w:r>
                                <w:rPr>
                                  <w:rFonts w:ascii="仿宋_GB2312" w:eastAsia="仿宋_GB2312"/>
                                  <w:w w:val="90"/>
                                </w:rPr>
                                <w:t>决定（</w:t>
                              </w:r>
                              <w:r>
                                <w:rPr>
                                  <w:rFonts w:hint="eastAsia" w:ascii="仿宋_GB2312" w:eastAsia="仿宋_GB2312"/>
                                  <w:w w:val="90"/>
                                  <w:lang w:val="en-US" w:eastAsia="zh-CN"/>
                                </w:rPr>
                                <w:t>1个工作日</w:t>
                              </w:r>
                              <w:r>
                                <w:rPr>
                                  <w:rFonts w:ascii="仿宋_GB2312" w:eastAsia="仿宋_GB2312"/>
                                  <w:w w:val="90"/>
                                </w:rPr>
                                <w:t>）</w:t>
                              </w:r>
                            </w:p>
                            <w:p>
                              <w:pPr>
                                <w:pStyle w:val="2"/>
                                <w:tabs>
                                  <w:tab w:val="center" w:pos="4153"/>
                                  <w:tab w:val="right" w:pos="8306"/>
                                </w:tabs>
                              </w:pPr>
                            </w:p>
                          </w:txbxContent>
                        </wps:txbx>
                        <wps:bodyPr upright="1"/>
                      </wps:wsp>
                      <wps:wsp>
                        <wps:cNvPr id="28" name="文本框 28"/>
                        <wps:cNvSpPr txBox="1"/>
                        <wps:spPr>
                          <a:xfrm>
                            <a:off x="48673" y="16116"/>
                            <a:ext cx="27527" cy="3277"/>
                          </a:xfrm>
                          <a:prstGeom prst="rect">
                            <a:avLst/>
                          </a:prstGeom>
                          <a:noFill/>
                          <a:ln w="9525">
                            <a:noFill/>
                          </a:ln>
                        </wps:spPr>
                        <wps:txbx>
                          <w:txbxContent>
                            <w:p>
                              <w:pPr>
                                <w:rPr>
                                  <w:rFonts w:ascii="仿宋_GB2312" w:eastAsia="仿宋_GB2312"/>
                                </w:rPr>
                              </w:pPr>
                              <w:r>
                                <w:rPr>
                                  <w:rFonts w:ascii="仿宋_GB2312" w:eastAsia="仿宋_GB2312"/>
                                </w:rPr>
                                <w:t>申请材料齐全，符合法定形式，决定受理。</w:t>
                              </w:r>
                            </w:p>
                          </w:txbxContent>
                        </wps:txbx>
                        <wps:bodyPr upright="1"/>
                      </wps:wsp>
                      <wps:wsp>
                        <wps:cNvPr id="29" name="直接连接符 29"/>
                        <wps:cNvCnPr/>
                        <wps:spPr>
                          <a:xfrm>
                            <a:off x="43430" y="12878"/>
                            <a:ext cx="13" cy="1981"/>
                          </a:xfrm>
                          <a:prstGeom prst="line">
                            <a:avLst/>
                          </a:prstGeom>
                          <a:ln w="9525" cap="flat" cmpd="sng">
                            <a:solidFill>
                              <a:srgbClr val="000000"/>
                            </a:solidFill>
                            <a:prstDash val="solid"/>
                            <a:headEnd type="none" w="med" len="med"/>
                            <a:tailEnd type="triangle" w="med" len="med"/>
                          </a:ln>
                        </wps:spPr>
                        <wps:bodyPr/>
                      </wps:wsp>
                      <wps:wsp>
                        <wps:cNvPr id="30" name="直接连接符 30"/>
                        <wps:cNvCnPr/>
                        <wps:spPr>
                          <a:xfrm>
                            <a:off x="43430" y="12878"/>
                            <a:ext cx="13" cy="1981"/>
                          </a:xfrm>
                          <a:prstGeom prst="line">
                            <a:avLst/>
                          </a:prstGeom>
                          <a:ln w="9525" cap="flat" cmpd="sng">
                            <a:solidFill>
                              <a:srgbClr val="000000"/>
                            </a:solidFill>
                            <a:prstDash val="solid"/>
                            <a:headEnd type="none" w="med" len="med"/>
                            <a:tailEnd type="triangle" w="med" len="med"/>
                          </a:ln>
                        </wps:spPr>
                        <wps:bodyPr/>
                      </wps:wsp>
                      <wps:wsp>
                        <wps:cNvPr id="31" name="直接连接符 31"/>
                        <wps:cNvCnPr/>
                        <wps:spPr>
                          <a:xfrm>
                            <a:off x="43430" y="12878"/>
                            <a:ext cx="13" cy="1981"/>
                          </a:xfrm>
                          <a:prstGeom prst="line">
                            <a:avLst/>
                          </a:prstGeom>
                          <a:ln w="9525" cap="flat" cmpd="sng">
                            <a:solidFill>
                              <a:srgbClr val="000000"/>
                            </a:solidFill>
                            <a:prstDash val="solid"/>
                            <a:headEnd type="none" w="med" len="med"/>
                            <a:tailEnd type="triangle" w="med" len="med"/>
                          </a:ln>
                        </wps:spPr>
                        <wps:bodyPr/>
                      </wps:wsp>
                      <wps:wsp>
                        <wps:cNvPr id="32" name="直接连接符 32"/>
                        <wps:cNvCnPr/>
                        <wps:spPr>
                          <a:xfrm>
                            <a:off x="43430" y="12878"/>
                            <a:ext cx="13" cy="1859"/>
                          </a:xfrm>
                          <a:prstGeom prst="line">
                            <a:avLst/>
                          </a:prstGeom>
                          <a:ln w="9525" cap="flat" cmpd="sng">
                            <a:solidFill>
                              <a:srgbClr val="000000"/>
                            </a:solidFill>
                            <a:prstDash val="solid"/>
                            <a:headEnd type="none" w="med" len="med"/>
                            <a:tailEnd type="triangle" w="med" len="med"/>
                          </a:ln>
                        </wps:spPr>
                        <wps:bodyPr/>
                      </wps:wsp>
                      <wps:wsp>
                        <wps:cNvPr id="33" name="文本框 33"/>
                        <wps:cNvSpPr txBox="1"/>
                        <wps:spPr>
                          <a:xfrm>
                            <a:off x="55048" y="7163"/>
                            <a:ext cx="12579" cy="4096"/>
                          </a:xfrm>
                          <a:prstGeom prst="rect">
                            <a:avLst/>
                          </a:prstGeom>
                          <a:noFill/>
                          <a:ln w="9525">
                            <a:noFill/>
                          </a:ln>
                        </wps:spPr>
                        <wps:txbx>
                          <w:txbxContent>
                            <w:p>
                              <w:pPr>
                                <w:rPr>
                                  <w:rFonts w:ascii="仿宋_GB2312" w:eastAsia="仿宋_GB2312"/>
                                </w:rPr>
                              </w:pPr>
                              <w:r>
                                <w:rPr>
                                  <w:rFonts w:ascii="仿宋_GB2312" w:eastAsia="仿宋_GB2312"/>
                                </w:rPr>
                                <w:t>申请材料不齐全、不符合法定形式</w:t>
                              </w:r>
                            </w:p>
                          </w:txbxContent>
                        </wps:txbx>
                        <wps:bodyPr upright="1"/>
                      </wps:wsp>
                      <wps:wsp>
                        <wps:cNvPr id="34" name="文本框 34"/>
                        <wps:cNvSpPr txBox="1"/>
                        <wps:spPr>
                          <a:xfrm>
                            <a:off x="7512" y="11227"/>
                            <a:ext cx="14853" cy="39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仿宋_GB2312" w:eastAsia="仿宋_GB2312"/>
                                </w:rPr>
                              </w:pPr>
                              <w:r>
                                <w:rPr>
                                  <w:rFonts w:ascii="仿宋_GB2312" w:eastAsia="仿宋_GB2312"/>
                                </w:rPr>
                                <w:t>作出不予受理决定，并告知向有关单位申请</w:t>
                              </w:r>
                            </w:p>
                          </w:txbxContent>
                        </wps:txbx>
                        <wps:bodyPr upright="1"/>
                      </wps:wsp>
                      <wps:wsp>
                        <wps:cNvPr id="35" name="文本框 35"/>
                        <wps:cNvSpPr txBox="1"/>
                        <wps:spPr>
                          <a:xfrm>
                            <a:off x="66751" y="11316"/>
                            <a:ext cx="16402" cy="39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仿宋_GB2312" w:eastAsia="仿宋_GB2312"/>
                                </w:rPr>
                              </w:pPr>
                              <w:r>
                                <w:rPr>
                                  <w:rFonts w:ascii="仿宋_GB2312" w:eastAsia="仿宋_GB2312"/>
                                </w:rPr>
                                <w:t>一次性告知申请人补正的全部内容</w:t>
                              </w:r>
                            </w:p>
                          </w:txbxContent>
                        </wps:txbx>
                        <wps:bodyPr upright="1"/>
                      </wps:wsp>
                      <wps:wsp>
                        <wps:cNvPr id="36" name="直接连接符 36"/>
                        <wps:cNvCnPr/>
                        <wps:spPr>
                          <a:xfrm>
                            <a:off x="45358" y="22879"/>
                            <a:ext cx="13" cy="2972"/>
                          </a:xfrm>
                          <a:prstGeom prst="line">
                            <a:avLst/>
                          </a:prstGeom>
                          <a:ln w="9525" cap="flat" cmpd="sng">
                            <a:solidFill>
                              <a:srgbClr val="000000"/>
                            </a:solidFill>
                            <a:prstDash val="solid"/>
                            <a:headEnd type="none" w="med" len="med"/>
                            <a:tailEnd type="triangle" w="med" len="med"/>
                          </a:ln>
                        </wps:spPr>
                        <wps:bodyPr/>
                      </wps:wsp>
                      <wps:wsp>
                        <wps:cNvPr id="37" name="文本框 37"/>
                        <wps:cNvSpPr txBox="1"/>
                        <wps:spPr>
                          <a:xfrm>
                            <a:off x="32283" y="25755"/>
                            <a:ext cx="26105" cy="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ascii="仿宋_GB2312" w:eastAsia="仿宋_GB2312"/>
                                </w:rPr>
                                <w:t>服务窗口制作证书或决定文件                           （2个工作日，不计算在承诺办结时限内）</w:t>
                              </w:r>
                            </w:p>
                          </w:txbxContent>
                        </wps:txbx>
                        <wps:bodyPr upright="1"/>
                      </wps:wsp>
                      <wps:wsp>
                        <wps:cNvPr id="38" name="文本框 38"/>
                        <wps:cNvSpPr txBox="1"/>
                        <wps:spPr>
                          <a:xfrm>
                            <a:off x="31832" y="33870"/>
                            <a:ext cx="27134" cy="4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w:t>
                              </w:r>
                              <w:r>
                                <w:rPr>
                                  <w:rFonts w:ascii="仿宋_GB2312" w:eastAsia="仿宋_GB2312"/>
                                </w:rPr>
                                <w:t>申请人</w:t>
                              </w:r>
                              <w:r>
                                <w:rPr>
                                  <w:rFonts w:hint="eastAsia" w:ascii="仿宋_GB2312" w:eastAsia="仿宋_GB2312"/>
                                  <w:lang w:eastAsia="zh-CN"/>
                                </w:rPr>
                                <w:t>邮寄</w:t>
                              </w:r>
                              <w:r>
                                <w:rPr>
                                  <w:rFonts w:ascii="仿宋_GB2312" w:eastAsia="仿宋_GB2312"/>
                                </w:rPr>
                                <w:t>证书或决定文件（</w:t>
                              </w:r>
                              <w:r>
                                <w:rPr>
                                  <w:rFonts w:hint="eastAsia" w:ascii="仿宋_GB2312" w:eastAsia="仿宋_GB2312"/>
                                </w:rPr>
                                <w:t>5</w:t>
                              </w:r>
                              <w:r>
                                <w:rPr>
                                  <w:rFonts w:ascii="仿宋_GB2312" w:eastAsia="仿宋_GB2312"/>
                                </w:rPr>
                                <w:t>个工作日，不计算在承诺办结时限内）</w:t>
                              </w:r>
                            </w:p>
                          </w:txbxContent>
                        </wps:txbx>
                        <wps:bodyPr upright="1"/>
                      </wps:wsp>
                      <wps:wsp>
                        <wps:cNvPr id="39" name="直接连接符 39"/>
                        <wps:cNvCnPr/>
                        <wps:spPr>
                          <a:xfrm>
                            <a:off x="45098" y="30765"/>
                            <a:ext cx="13" cy="2972"/>
                          </a:xfrm>
                          <a:prstGeom prst="line">
                            <a:avLst/>
                          </a:prstGeom>
                          <a:ln w="9525" cap="flat" cmpd="sng">
                            <a:solidFill>
                              <a:srgbClr val="000000"/>
                            </a:solidFill>
                            <a:prstDash val="solid"/>
                            <a:headEnd type="none" w="med" len="med"/>
                            <a:tailEnd type="triangle" w="med" len="med"/>
                          </a:ln>
                        </wps:spPr>
                        <wps:bodyPr/>
                      </wps:wsp>
                      <wpg:grpSp>
                        <wpg:cNvPr id="44" name="组合 44"/>
                        <wpg:cNvGrpSpPr/>
                        <wpg:grpSpPr>
                          <a:xfrm>
                            <a:off x="25336" y="5018"/>
                            <a:ext cx="32375" cy="10520"/>
                            <a:chOff x="6678" y="1754"/>
                            <a:chExt cx="2649" cy="687"/>
                          </a:xfrm>
                        </wpg:grpSpPr>
                        <wps:wsp>
                          <wps:cNvPr id="40" name="文本框 40"/>
                          <wps:cNvSpPr txBox="1"/>
                          <wps:spPr>
                            <a:xfrm>
                              <a:off x="7635" y="1754"/>
                              <a:ext cx="1272" cy="2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ascii="仿宋_GB2312" w:eastAsia="仿宋_GB2312"/>
                                  </w:rPr>
                                </w:pPr>
                                <w:r>
                                  <w:rPr>
                                    <w:rFonts w:ascii="仿宋_GB2312" w:eastAsia="仿宋_GB2312"/>
                                  </w:rPr>
                                  <w:t>申请人提出申请</w:t>
                                </w:r>
                              </w:p>
                            </w:txbxContent>
                          </wps:txbx>
                          <wps:bodyPr upright="1"/>
                        </wps:wsp>
                        <wps:wsp>
                          <wps:cNvPr id="41" name="文本框 41"/>
                          <wps:cNvSpPr txBox="1"/>
                          <wps:spPr>
                            <a:xfrm>
                              <a:off x="6678" y="1942"/>
                              <a:ext cx="748" cy="281"/>
                            </a:xfrm>
                            <a:prstGeom prst="rect">
                              <a:avLst/>
                            </a:prstGeom>
                            <a:noFill/>
                            <a:ln w="9525">
                              <a:noFill/>
                            </a:ln>
                          </wps:spPr>
                          <wps:txbx>
                            <w:txbxContent>
                              <w:p>
                                <w:pPr>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wps:txbx>
                          <wps:bodyPr upright="1"/>
                        </wps:wsp>
                        <wps:wsp>
                          <wps:cNvPr id="42" name="文本框 42"/>
                          <wps:cNvSpPr txBox="1"/>
                          <wps:spPr>
                            <a:xfrm>
                              <a:off x="7286" y="2198"/>
                              <a:ext cx="2041" cy="2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rPr>
                                </w:pPr>
                                <w:r>
                                  <w:rPr>
                                    <w:rFonts w:ascii="仿宋_GB2312" w:eastAsia="仿宋_GB2312"/>
                                    <w:w w:val="90"/>
                                  </w:rPr>
                                  <w:t>服务窗口对申请当场审查作出处理</w:t>
                                </w:r>
                              </w:p>
                            </w:txbxContent>
                          </wps:txbx>
                          <wps:bodyPr upright="1"/>
                        </wps:wsp>
                        <wps:wsp>
                          <wps:cNvPr id="43" name="直接连接符 43"/>
                          <wps:cNvCnPr/>
                          <wps:spPr>
                            <a:xfrm>
                              <a:off x="8371" y="1997"/>
                              <a:ext cx="0" cy="187"/>
                            </a:xfrm>
                            <a:prstGeom prst="line">
                              <a:avLst/>
                            </a:prstGeom>
                            <a:ln w="9525" cap="flat" cmpd="sng">
                              <a:solidFill>
                                <a:srgbClr val="000000"/>
                              </a:solidFill>
                              <a:prstDash val="solid"/>
                              <a:headEnd type="none" w="med" len="med"/>
                              <a:tailEnd type="triangle" w="med" len="med"/>
                            </a:ln>
                          </wps:spPr>
                          <wps:bodyPr/>
                        </wps:wsp>
                      </wpg:grpSp>
                      <wps:wsp>
                        <wps:cNvPr id="45" name="直接箭头连接符 45"/>
                        <wps:cNvCnPr/>
                        <wps:spPr>
                          <a:xfrm>
                            <a:off x="45720" y="15538"/>
                            <a:ext cx="0" cy="2261"/>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5.65pt;margin-top:29.35pt;height:415.25pt;width:689.25pt;mso-wrap-distance-left:9pt;mso-wrap-distance-right:9pt;z-index:-251656192;mso-width-relative:page;mso-height-relative:page;" coordorigin="476,2286" coordsize="87535,52736" wrapcoords="238 208 21363 208 21363 21395 238 21395 238 208" o:gfxdata="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">
                <o:lock v:ext="edit" aspectratio="f"/>
                <v:rect id="_x0000_s1026" o:spid="_x0000_s1026" o:spt="1" style="position:absolute;left:476;top:2286;height:52736;width:87535;" filled="f" stroked="f" coordsize="21600,21600" o:gfxdata="UEsDBAoAAAAAAIdO4kAAAAAAAAAAAAAAAAAEAAAAZHJzL1BLAwQUAAAACACHTuJAoWhorr0AAADb&#10;AAAADwAAAGRycy9kb3ducmV2LnhtbEWPQYvCMBSE7wv+h/CEvSyaKot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GiuvQAA&#10;ANsAAAAPAAAAAAAAAAEAIAAAACIAAABkcnMvZG93bnJldi54bWxQSwECFAAUAAAACACHTuJAMy8F&#10;njsAAAA5AAAAEAAAAAAAAAABACAAAAAMAQAAZHJzL3NoYXBleG1sLnhtbFBLBQYAAAAABgAGAFsB&#10;AAC2AwAAAAA=&#10;">
                  <v:fill on="f" focussize="0,0"/>
                  <v:stroke on="f"/>
                  <v:imagedata o:title=""/>
                  <o:lock v:ext="edit" aspectratio="t"/>
                </v:rect>
                <v:line id="_x0000_s1026" o:spid="_x0000_s1026" o:spt="20" style="position:absolute;left:22574;top:13449;flip:x;height:13;width:14180;" filled="f" stroked="t" coordsize="21600,21600" o:gfxdata="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mzU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52845;top:13449;height:0;width:13716;"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32588;top:18732;height:4699;width:25229;"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仿宋_GB2312" w:eastAsia="仿宋_GB2312"/>
                            <w:w w:val="90"/>
                          </w:rPr>
                        </w:pPr>
                        <w:r>
                          <w:rPr>
                            <w:rFonts w:ascii="仿宋_GB2312" w:eastAsia="仿宋_GB2312"/>
                            <w:w w:val="90"/>
                          </w:rPr>
                          <w:t>窗口首席代表</w:t>
                        </w:r>
                        <w:r>
                          <w:rPr>
                            <w:rFonts w:hint="eastAsia" w:ascii="仿宋_GB2312" w:eastAsia="仿宋_GB2312"/>
                            <w:w w:val="90"/>
                            <w:lang w:eastAsia="zh-CN"/>
                          </w:rPr>
                          <w:t>作出予以许可或不予许可</w:t>
                        </w:r>
                        <w:r>
                          <w:rPr>
                            <w:rFonts w:ascii="仿宋_GB2312" w:eastAsia="仿宋_GB2312"/>
                            <w:w w:val="90"/>
                          </w:rPr>
                          <w:t>决定（</w:t>
                        </w:r>
                        <w:r>
                          <w:rPr>
                            <w:rFonts w:hint="eastAsia" w:ascii="仿宋_GB2312" w:eastAsia="仿宋_GB2312"/>
                            <w:w w:val="90"/>
                            <w:lang w:val="en-US" w:eastAsia="zh-CN"/>
                          </w:rPr>
                          <w:t>1个工作日</w:t>
                        </w:r>
                        <w:r>
                          <w:rPr>
                            <w:rFonts w:ascii="仿宋_GB2312" w:eastAsia="仿宋_GB2312"/>
                            <w:w w:val="90"/>
                          </w:rPr>
                          <w:t>）</w:t>
                        </w:r>
                      </w:p>
                      <w:p>
                        <w:pPr>
                          <w:pStyle w:val="2"/>
                          <w:tabs>
                            <w:tab w:val="center" w:pos="4153"/>
                            <w:tab w:val="right" w:pos="8306"/>
                          </w:tabs>
                        </w:pPr>
                      </w:p>
                    </w:txbxContent>
                  </v:textbox>
                </v:shape>
                <v:shape id="_x0000_s1026" o:spid="_x0000_s1026" o:spt="202" type="#_x0000_t202" style="position:absolute;left:48673;top:16116;height:3277;width:27527;"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仿宋_GB2312" w:eastAsia="仿宋_GB2312"/>
                          </w:rPr>
                        </w:pPr>
                        <w:r>
                          <w:rPr>
                            <w:rFonts w:ascii="仿宋_GB2312" w:eastAsia="仿宋_GB2312"/>
                          </w:rPr>
                          <w:t>申请材料齐全，符合法定形式，决定受理。</w:t>
                        </w:r>
                      </w:p>
                    </w:txbxContent>
                  </v:textbox>
                </v:shape>
                <v:line id="_x0000_s1026" o:spid="_x0000_s1026" o:spt="20" style="position:absolute;left:43430;top:12878;height:1981;width:13;"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3430;top:12878;height:1981;width:13;"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43430;top:12878;height:1981;width:13;"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3430;top:12878;height:1859;width:13;"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55048;top:7163;height:4096;width:12579;"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仿宋_GB2312" w:eastAsia="仿宋_GB2312"/>
                          </w:rPr>
                        </w:pPr>
                        <w:r>
                          <w:rPr>
                            <w:rFonts w:ascii="仿宋_GB2312" w:eastAsia="仿宋_GB2312"/>
                          </w:rPr>
                          <w:t>申请材料不齐全、不符合法定形式</w:t>
                        </w:r>
                      </w:p>
                    </w:txbxContent>
                  </v:textbox>
                </v:shape>
                <v:shape id="_x0000_s1026" o:spid="_x0000_s1026" o:spt="202" type="#_x0000_t202" style="position:absolute;left:7512;top:11227;height:3962;width:14853;"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作出不予受理决定，并告知向有关单位申请</w:t>
                        </w:r>
                      </w:p>
                    </w:txbxContent>
                  </v:textbox>
                </v:shape>
                <v:shape id="_x0000_s1026" o:spid="_x0000_s1026" o:spt="202" type="#_x0000_t202" style="position:absolute;left:66751;top:11316;height:3962;width:16402;"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一次性告知申请人补正的全部内容</w:t>
                        </w:r>
                      </w:p>
                    </w:txbxContent>
                  </v:textbox>
                </v:shape>
                <v:line id="_x0000_s1026" o:spid="_x0000_s1026" o:spt="20" style="position:absolute;left:45358;top:22879;height:2972;width:13;"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32283;top:25755;height:4350;width:26105;"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_GB2312" w:eastAsia="仿宋_GB2312"/>
                          </w:rPr>
                        </w:pPr>
                        <w:r>
                          <w:rPr>
                            <w:rFonts w:ascii="仿宋_GB2312" w:eastAsia="仿宋_GB2312"/>
                          </w:rPr>
                          <w:t>服务窗口制作证书或决定文件                           （2个工作日，不计算在承诺办结时限内）</w:t>
                        </w:r>
                      </w:p>
                    </w:txbxContent>
                  </v:textbox>
                </v:shape>
                <v:shape id="_x0000_s1026" o:spid="_x0000_s1026" o:spt="202" type="#_x0000_t202" style="position:absolute;left:31832;top:33870;height:4445;width:27134;"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w:t>
                        </w:r>
                        <w:r>
                          <w:rPr>
                            <w:rFonts w:ascii="仿宋_GB2312" w:eastAsia="仿宋_GB2312"/>
                          </w:rPr>
                          <w:t>申请人</w:t>
                        </w:r>
                        <w:r>
                          <w:rPr>
                            <w:rFonts w:hint="eastAsia" w:ascii="仿宋_GB2312" w:eastAsia="仿宋_GB2312"/>
                            <w:lang w:eastAsia="zh-CN"/>
                          </w:rPr>
                          <w:t>邮寄</w:t>
                        </w:r>
                        <w:r>
                          <w:rPr>
                            <w:rFonts w:ascii="仿宋_GB2312" w:eastAsia="仿宋_GB2312"/>
                          </w:rPr>
                          <w:t>证书或决定文件（</w:t>
                        </w:r>
                        <w:r>
                          <w:rPr>
                            <w:rFonts w:hint="eastAsia" w:ascii="仿宋_GB2312" w:eastAsia="仿宋_GB2312"/>
                          </w:rPr>
                          <w:t>5</w:t>
                        </w:r>
                        <w:r>
                          <w:rPr>
                            <w:rFonts w:ascii="仿宋_GB2312" w:eastAsia="仿宋_GB2312"/>
                          </w:rPr>
                          <w:t>个工作日，不计算在承诺办结时限内）</w:t>
                        </w:r>
                      </w:p>
                    </w:txbxContent>
                  </v:textbox>
                </v:shape>
                <v:line id="_x0000_s1026" o:spid="_x0000_s1026" o:spt="20" style="position:absolute;left:45098;top:30765;height:2972;width:13;" filled="f" stroked="t" coordsize="21600,21600" o:gfxdata="UEsDBAoAAAAAAIdO4kAAAAAAAAAAAAAAAAAEAAAAZHJzL1BLAwQUAAAACACHTuJAsyYJVr8AAADb&#10;AAAADwAAAGRycy9kb3ducmV2LnhtbEWPT2vCQBTE7wW/w/KE3uomF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mCV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id="_x0000_s1026" o:spid="_x0000_s1026" o:spt="203" style="position:absolute;left:25336;top:5018;height:10520;width:32375;" coordorigin="6678,1754" coordsize="2649,687"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7635;top:1754;height:243;width:1272;"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ind w:firstLine="210" w:firstLineChars="100"/>
                            <w:rPr>
                              <w:rFonts w:ascii="仿宋_GB2312" w:eastAsia="仿宋_GB2312"/>
                            </w:rPr>
                          </w:pPr>
                          <w:r>
                            <w:rPr>
                              <w:rFonts w:ascii="仿宋_GB2312" w:eastAsia="仿宋_GB2312"/>
                            </w:rPr>
                            <w:t>申请人提出申请</w:t>
                          </w:r>
                        </w:p>
                      </w:txbxContent>
                    </v:textbox>
                  </v:shape>
                  <v:shape id="_x0000_s1026" o:spid="_x0000_s1026" o:spt="202" type="#_x0000_t202" style="position:absolute;left:6678;top:1942;height:281;width:748;"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v:textbox>
                  </v:shape>
                  <v:shape id="_x0000_s1026" o:spid="_x0000_s1026" o:spt="202" type="#_x0000_t202" style="position:absolute;left:7286;top:2198;height:243;width:2041;"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仿宋_GB2312" w:eastAsia="仿宋_GB2312"/>
                            </w:rPr>
                          </w:pPr>
                          <w:r>
                            <w:rPr>
                              <w:rFonts w:ascii="仿宋_GB2312" w:eastAsia="仿宋_GB2312"/>
                              <w:w w:val="90"/>
                            </w:rPr>
                            <w:t>服务窗口对申请当场审查作出处理</w:t>
                          </w:r>
                        </w:p>
                      </w:txbxContent>
                    </v:textbox>
                  </v:shape>
                  <v:line id="_x0000_s1026" o:spid="_x0000_s1026" o:spt="20" style="position:absolute;left:8371;top:1997;height:187;width:0;"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shape id="_x0000_s1026" o:spid="_x0000_s1026" o:spt="32" type="#_x0000_t32" style="position:absolute;left:45720;top:15538;height:2261;width:0;"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w10:wrap type="tight"/>
              </v:group>
            </w:pict>
          </mc:Fallback>
        </mc:AlternateContent>
      </w:r>
    </w:p>
    <w:p>
      <w:pPr>
        <w:pStyle w:val="2"/>
      </w:pPr>
    </w:p>
    <w:p/>
    <w:p/>
    <w:sectPr>
      <w:pgSz w:w="16838" w:h="11906" w:orient="landscape"/>
      <w:pgMar w:top="1800" w:right="1440" w:bottom="180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C508C"/>
    <w:rsid w:val="1BAE5FD0"/>
    <w:rsid w:val="5FBD68E5"/>
    <w:rsid w:val="72FC5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default" w:ascii="宋体" w:hAnsi="宋体" w:eastAsia="宋体" w:cs="宋体"/>
      <w:sz w:val="21"/>
      <w:szCs w:val="24"/>
      <w:lang w:val="en-US" w:eastAsia="zh-CN"/>
    </w:rPr>
  </w:style>
  <w:style w:type="paragraph" w:styleId="3">
    <w:name w:val="heading 4"/>
    <w:basedOn w:val="1"/>
    <w:next w:val="1"/>
    <w:unhideWhenUsed/>
    <w:qFormat/>
    <w:uiPriority w:val="0"/>
    <w:pPr>
      <w:spacing w:before="100" w:beforeAutospacing="1" w:after="100" w:afterAutospacing="1"/>
      <w:outlineLvl w:val="3"/>
    </w:pPr>
    <w:rPr>
      <w:rFonts w:hint="default" w:eastAsia="黑体"/>
      <w:b/>
      <w:sz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snapToGrid w:val="0"/>
    </w:pPr>
    <w:rPr>
      <w:sz w:val="18"/>
      <w:szCs w:val="18"/>
    </w:rPr>
  </w:style>
  <w:style w:type="paragraph" w:styleId="4">
    <w:name w:val="header"/>
    <w:basedOn w:val="1"/>
    <w:qFormat/>
    <w:uiPriority w:val="0"/>
    <w:pPr>
      <w:pBdr>
        <w:bottom w:val="single" w:color="auto" w:sz="6" w:space="1"/>
      </w:pBdr>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2021-06-23T01:40:00Z</dcterms:created>
  <dc:creator>冯忠明</dc:creator>
  <cp:lastModifiedBy>冯忠明</cp:lastModifiedBy>
  <dcterms:modified xsi:type="dcterms:W3CDTF">2021-08-30T01:24:44Z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